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91E72" w14:textId="5DAD8D27" w:rsidR="00632B85" w:rsidRPr="00632B85" w:rsidRDefault="00632B85" w:rsidP="00E67E67">
      <w:pPr>
        <w:pStyle w:val="ArticleTitle"/>
        <w:rPr>
          <w:i/>
          <w:iCs/>
          <w:sz w:val="28"/>
          <w:szCs w:val="28"/>
        </w:rPr>
      </w:pPr>
      <w:r>
        <w:rPr>
          <w:i/>
          <w:iCs/>
          <w:sz w:val="28"/>
          <w:szCs w:val="28"/>
        </w:rPr>
        <w:t>Draft</w:t>
      </w:r>
      <w:r w:rsidR="00B8059D">
        <w:rPr>
          <w:i/>
          <w:iCs/>
          <w:sz w:val="28"/>
          <w:szCs w:val="28"/>
        </w:rPr>
        <w:t xml:space="preserve"> for AALS</w:t>
      </w:r>
      <w:r>
        <w:rPr>
          <w:i/>
          <w:iCs/>
          <w:sz w:val="28"/>
          <w:szCs w:val="28"/>
        </w:rPr>
        <w:t xml:space="preserve">: </w:t>
      </w:r>
      <w:r w:rsidR="00002F2D" w:rsidRPr="00002F2D">
        <w:rPr>
          <w:i/>
          <w:iCs/>
          <w:caps w:val="0"/>
          <w:sz w:val="28"/>
          <w:szCs w:val="28"/>
        </w:rPr>
        <w:t>Please do not cite without permission</w:t>
      </w:r>
      <w:r w:rsidR="00B8059D">
        <w:rPr>
          <w:i/>
          <w:iCs/>
          <w:caps w:val="0"/>
          <w:sz w:val="28"/>
          <w:szCs w:val="28"/>
        </w:rPr>
        <w:t>.</w:t>
      </w:r>
    </w:p>
    <w:p w14:paraId="2CA6275D" w14:textId="77777777" w:rsidR="00632B85" w:rsidRDefault="00632B85" w:rsidP="00E67E67">
      <w:pPr>
        <w:pStyle w:val="ArticleTitle"/>
        <w:rPr>
          <w:sz w:val="28"/>
          <w:szCs w:val="28"/>
        </w:rPr>
      </w:pPr>
    </w:p>
    <w:p w14:paraId="4A47B21F" w14:textId="0551C2AD" w:rsidR="00E67E67" w:rsidRPr="00471E15" w:rsidRDefault="007231B4" w:rsidP="00E67E67">
      <w:pPr>
        <w:pStyle w:val="ArticleTitle"/>
        <w:rPr>
          <w:sz w:val="28"/>
          <w:szCs w:val="28"/>
        </w:rPr>
      </w:pPr>
      <w:r>
        <w:rPr>
          <w:sz w:val="28"/>
          <w:szCs w:val="28"/>
        </w:rPr>
        <w:t xml:space="preserve">The Right to </w:t>
      </w:r>
      <w:r w:rsidR="00D464F6">
        <w:rPr>
          <w:sz w:val="28"/>
          <w:szCs w:val="28"/>
        </w:rPr>
        <w:t xml:space="preserve">Seek </w:t>
      </w:r>
      <w:r w:rsidR="00E05026">
        <w:rPr>
          <w:sz w:val="28"/>
          <w:szCs w:val="28"/>
        </w:rPr>
        <w:t>Joy</w:t>
      </w:r>
    </w:p>
    <w:p w14:paraId="3B892F52" w14:textId="77777777" w:rsidR="00E67E67" w:rsidRDefault="00E67E67" w:rsidP="00E67E67">
      <w:pPr>
        <w:rPr>
          <w:caps/>
        </w:rPr>
      </w:pPr>
    </w:p>
    <w:p w14:paraId="18E93163" w14:textId="2E1A6EC9" w:rsidR="00E67E67" w:rsidRPr="00DE478D" w:rsidRDefault="007231B4" w:rsidP="00E67E67">
      <w:pPr>
        <w:pStyle w:val="YourName"/>
        <w:rPr>
          <w:i w:val="0"/>
          <w:sz w:val="26"/>
          <w:szCs w:val="26"/>
        </w:rPr>
      </w:pPr>
      <w:r>
        <w:rPr>
          <w:sz w:val="26"/>
          <w:szCs w:val="26"/>
        </w:rPr>
        <w:t>Tyler Rose Clemons</w:t>
      </w:r>
      <w:r w:rsidR="00E67E67" w:rsidRPr="00DE478D">
        <w:rPr>
          <w:rStyle w:val="FootnoteReference"/>
          <w:sz w:val="26"/>
          <w:szCs w:val="26"/>
        </w:rPr>
        <w:footnoteReference w:customMarkFollows="1" w:id="2"/>
        <w:t>*</w:t>
      </w:r>
    </w:p>
    <w:p w14:paraId="522359F0" w14:textId="77777777" w:rsidR="00471E15" w:rsidRDefault="00471E15" w:rsidP="00E67E67"/>
    <w:p w14:paraId="3859CB4F" w14:textId="433E1E95" w:rsidR="00E67E67" w:rsidRDefault="00E67E67" w:rsidP="00E67E67">
      <w:pPr>
        <w:pStyle w:val="Heading1"/>
      </w:pPr>
      <w:r>
        <w:t>Introduction</w:t>
      </w:r>
    </w:p>
    <w:p w14:paraId="0AAE13E0" w14:textId="77777777" w:rsidR="00A96128" w:rsidRDefault="00A96128" w:rsidP="00E67E67"/>
    <w:p w14:paraId="6F228FAF" w14:textId="78BC21B9" w:rsidR="002D1519" w:rsidRPr="002D1519" w:rsidRDefault="002D1519" w:rsidP="002D1519">
      <w:pPr>
        <w:ind w:firstLine="720"/>
      </w:pPr>
      <w:r w:rsidRPr="002D1519">
        <w:t>On a predictably sweltering summer day in 2020, I stood in front of a full-length mirror in a shotgun house on First Street in New Orleans. As the COVID-19 pandemic</w:t>
      </w:r>
      <w:r w:rsidR="000065D3">
        <w:t xml:space="preserve"> wrought suffering on the world around me</w:t>
      </w:r>
      <w:r w:rsidRPr="002D1519">
        <w:t>,</w:t>
      </w:r>
      <w:r w:rsidR="004339F9">
        <w:rPr>
          <w:rStyle w:val="FootnoteReference"/>
        </w:rPr>
        <w:footnoteReference w:id="3"/>
      </w:r>
      <w:r w:rsidRPr="002D1519">
        <w:t xml:space="preserve"> I held a simply cut navy blue dress with white polka dots. I had started hormone replacement therapy a few months </w:t>
      </w:r>
      <w:proofErr w:type="gramStart"/>
      <w:r w:rsidRPr="002D1519">
        <w:t>earlier—mere days</w:t>
      </w:r>
      <w:proofErr w:type="gramEnd"/>
      <w:r w:rsidRPr="002D1519">
        <w:t>, in fact, before the shutdowns began. Besides a couple of amateur theatrical roles, I had never worn a dress before. Now I was terrified.</w:t>
      </w:r>
    </w:p>
    <w:p w14:paraId="1BEF1780" w14:textId="77777777" w:rsidR="002D1519" w:rsidRPr="002D1519" w:rsidRDefault="002D1519" w:rsidP="002D1519">
      <w:pPr>
        <w:ind w:firstLine="720"/>
      </w:pPr>
    </w:p>
    <w:p w14:paraId="3E6544C5" w14:textId="02745C2A" w:rsidR="002D1519" w:rsidRPr="002D1519" w:rsidRDefault="002D1519" w:rsidP="002D1519">
      <w:pPr>
        <w:ind w:firstLine="720"/>
      </w:pPr>
      <w:r w:rsidRPr="002D1519">
        <w:t>I slipped the dress over my curvy frame. As I evaluated its effect in the mirror, fear succumbed to an emotion I did not at first recognize. I turned this way and that, looking over my shoulder and brushing my growing bangs out of my eyes. Then I smiled and twirled. I felt my chest loosen and a pleasant warmth bubbled up from my stomach. Above all, I felt a pervasive sense of rightness, as if my entire body suddenly agreed that yes, this was how things should be.</w:t>
      </w:r>
    </w:p>
    <w:p w14:paraId="4E0C070B" w14:textId="77777777" w:rsidR="002D1519" w:rsidRPr="002D1519" w:rsidRDefault="002D1519" w:rsidP="002D1519">
      <w:pPr>
        <w:ind w:firstLine="720"/>
      </w:pPr>
    </w:p>
    <w:p w14:paraId="3E7703CB" w14:textId="4807D33F" w:rsidR="002D1519" w:rsidRPr="002D1519" w:rsidRDefault="002D1519" w:rsidP="002D1519">
      <w:pPr>
        <w:ind w:firstLine="720"/>
      </w:pPr>
      <w:r w:rsidRPr="002D1519">
        <w:t>As it happens, I discovered Marie Kondo’s viral decluttering technique that same summer.</w:t>
      </w:r>
      <w:bookmarkStart w:id="0" w:name="_Ref184644716"/>
      <w:r w:rsidR="00A52FD0">
        <w:rPr>
          <w:rStyle w:val="FootnoteReference"/>
        </w:rPr>
        <w:footnoteReference w:id="4"/>
      </w:r>
      <w:bookmarkEnd w:id="0"/>
      <w:r w:rsidRPr="002D1519">
        <w:t xml:space="preserve"> For those unfamiliar, the method requires </w:t>
      </w:r>
      <w:r w:rsidR="00F25A97">
        <w:t xml:space="preserve">physically </w:t>
      </w:r>
      <w:r w:rsidRPr="002D1519">
        <w:t xml:space="preserve">holding each item in one’s home </w:t>
      </w:r>
      <w:r w:rsidR="00F25A97">
        <w:t>while</w:t>
      </w:r>
      <w:r w:rsidRPr="002D1519">
        <w:t xml:space="preserve"> asking, “Does this spark joy?”</w:t>
      </w:r>
      <w:r w:rsidR="00F25A97">
        <w:rPr>
          <w:rStyle w:val="FootnoteReference"/>
        </w:rPr>
        <w:footnoteReference w:id="5"/>
      </w:r>
      <w:r w:rsidRPr="002D1519">
        <w:t xml:space="preserve"> I possessed sufficient privilege to be stuck at home with copious free time that summer,</w:t>
      </w:r>
      <w:r w:rsidR="00F25A97">
        <w:rPr>
          <w:rStyle w:val="FootnoteReference"/>
        </w:rPr>
        <w:footnoteReference w:id="6"/>
      </w:r>
      <w:r w:rsidRPr="002D1519">
        <w:t xml:space="preserve"> so I rolled up my metaphorical sleeves and began </w:t>
      </w:r>
      <w:r w:rsidRPr="002D1519">
        <w:lastRenderedPageBreak/>
        <w:t>sorting. As I paused to evaluate each item according to the assigned criterion, I realized I was scanning for the same subjective emotional response I experienced when wearing a dress for the first time. That realization led me to a name for the feeling. What I felt was joy.</w:t>
      </w:r>
    </w:p>
    <w:p w14:paraId="76D95191" w14:textId="77777777" w:rsidR="002D1519" w:rsidRPr="002D1519" w:rsidRDefault="002D1519" w:rsidP="002D1519">
      <w:pPr>
        <w:ind w:firstLine="720"/>
      </w:pPr>
    </w:p>
    <w:p w14:paraId="39CC602E" w14:textId="2AE63EEE" w:rsidR="00A96128" w:rsidRDefault="002D1519" w:rsidP="002D1519">
      <w:pPr>
        <w:ind w:firstLine="720"/>
      </w:pPr>
      <w:r w:rsidRPr="002D1519">
        <w:t>How is it that I discovered joy for the first time a</w:t>
      </w:r>
      <w:r w:rsidR="00A2741C">
        <w:t>s a transgender woman</w:t>
      </w:r>
      <w:r w:rsidR="002D0D22">
        <w:t xml:space="preserve"> at</w:t>
      </w:r>
      <w:r w:rsidRPr="002D1519">
        <w:t xml:space="preserve"> the age of thirty-two? I do not mean to imply melodramatically that I had never experienced joy before I began transitioning. Rather, it had never occurred to me that my own joy should serve as my primary </w:t>
      </w:r>
      <w:proofErr w:type="spellStart"/>
      <w:proofErr w:type="gramStart"/>
      <w:r w:rsidRPr="002D1519">
        <w:t>decisionmaking</w:t>
      </w:r>
      <w:proofErr w:type="spellEnd"/>
      <w:proofErr w:type="gramEnd"/>
      <w:r w:rsidRPr="002D1519">
        <w:t xml:space="preserve"> criteria for anything at all, much less my </w:t>
      </w:r>
      <w:r w:rsidR="001512FB">
        <w:t xml:space="preserve">own </w:t>
      </w:r>
      <w:r w:rsidRPr="002D1519">
        <w:t>life.</w:t>
      </w:r>
      <w:r w:rsidR="001512FB">
        <w:t xml:space="preserve"> </w:t>
      </w:r>
      <w:r w:rsidR="000B3D7D">
        <w:t xml:space="preserve">The relevance of joy was revolutionary. </w:t>
      </w:r>
      <w:r w:rsidR="00660371">
        <w:t>It changed</w:t>
      </w:r>
      <w:r w:rsidR="0076505A">
        <w:t xml:space="preserve"> </w:t>
      </w:r>
      <w:r w:rsidR="00660371">
        <w:t>and continues to change</w:t>
      </w:r>
      <w:r w:rsidR="0076505A">
        <w:t xml:space="preserve"> </w:t>
      </w:r>
      <w:r w:rsidR="00660371">
        <w:t>my life.</w:t>
      </w:r>
      <w:bookmarkStart w:id="1" w:name="_Ref184733882"/>
      <w:r w:rsidR="008A3765">
        <w:rPr>
          <w:rStyle w:val="FootnoteReference"/>
        </w:rPr>
        <w:footnoteReference w:id="7"/>
      </w:r>
      <w:bookmarkEnd w:id="1"/>
    </w:p>
    <w:p w14:paraId="43A69261" w14:textId="77777777" w:rsidR="00660371" w:rsidRDefault="00660371" w:rsidP="002D1519">
      <w:pPr>
        <w:ind w:firstLine="720"/>
      </w:pPr>
    </w:p>
    <w:p w14:paraId="0AD163BC" w14:textId="4F22E654" w:rsidR="00660371" w:rsidRDefault="0076505A" w:rsidP="002D1519">
      <w:pPr>
        <w:ind w:firstLine="720"/>
      </w:pPr>
      <w:r>
        <w:t xml:space="preserve">My central claim in this article is that the experience of joy is </w:t>
      </w:r>
      <w:r w:rsidR="00C11DAC">
        <w:t xml:space="preserve">not </w:t>
      </w:r>
      <w:r w:rsidR="00D74CC6">
        <w:lastRenderedPageBreak/>
        <w:t>just</w:t>
      </w:r>
      <w:r w:rsidR="00C11DAC">
        <w:t xml:space="preserve"> personally relevant but also </w:t>
      </w:r>
      <w:r w:rsidR="00C11DAC">
        <w:rPr>
          <w:i/>
          <w:iCs/>
        </w:rPr>
        <w:t>legally</w:t>
      </w:r>
      <w:r w:rsidR="00C11DAC">
        <w:t xml:space="preserve">, even </w:t>
      </w:r>
      <w:r w:rsidR="00C11DAC">
        <w:rPr>
          <w:i/>
          <w:iCs/>
        </w:rPr>
        <w:t>constitutionally</w:t>
      </w:r>
      <w:r w:rsidR="00AF315C">
        <w:t>,</w:t>
      </w:r>
      <w:r w:rsidR="00C11DAC">
        <w:t xml:space="preserve"> relevant.</w:t>
      </w:r>
      <w:r w:rsidR="00A30C43">
        <w:t xml:space="preserve"> </w:t>
      </w:r>
      <w:r w:rsidR="00D92010">
        <w:t xml:space="preserve">Specifically, </w:t>
      </w:r>
      <w:r w:rsidR="000B4A3B">
        <w:t xml:space="preserve">I </w:t>
      </w:r>
      <w:r w:rsidR="00193198">
        <w:t xml:space="preserve">claim that the liberty </w:t>
      </w:r>
      <w:r w:rsidR="00006179">
        <w:t>protected</w:t>
      </w:r>
      <w:r w:rsidR="00193198">
        <w:t xml:space="preserve"> by the Due Process Clauses of the Fifth and Fourteenth Amendments to the U.S. Constitution</w:t>
      </w:r>
      <w:r w:rsidR="009F6B26">
        <w:rPr>
          <w:rStyle w:val="FootnoteReference"/>
        </w:rPr>
        <w:footnoteReference w:id="8"/>
      </w:r>
      <w:r w:rsidR="00193198">
        <w:t xml:space="preserve"> </w:t>
      </w:r>
      <w:r w:rsidR="00F15314">
        <w:t xml:space="preserve">is properly </w:t>
      </w:r>
      <w:r w:rsidR="00211644">
        <w:t>defined</w:t>
      </w:r>
      <w:r w:rsidR="00F15314">
        <w:t xml:space="preserve"> as </w:t>
      </w:r>
      <w:r w:rsidR="009F6B26">
        <w:t xml:space="preserve">the right </w:t>
      </w:r>
      <w:r w:rsidR="001707EE">
        <w:t xml:space="preserve">to seek joy—that is, the right of </w:t>
      </w:r>
      <w:proofErr w:type="gramStart"/>
      <w:r w:rsidR="001707EE">
        <w:t>each individual</w:t>
      </w:r>
      <w:proofErr w:type="gramEnd"/>
      <w:r w:rsidR="001707EE">
        <w:t xml:space="preserve"> to </w:t>
      </w:r>
      <w:r w:rsidR="00D01709">
        <w:t>define their</w:t>
      </w:r>
      <w:bookmarkStart w:id="2" w:name="_Ref184724873"/>
      <w:r w:rsidR="00D851DC">
        <w:rPr>
          <w:rStyle w:val="FootnoteReference"/>
        </w:rPr>
        <w:footnoteReference w:id="9"/>
      </w:r>
      <w:bookmarkEnd w:id="2"/>
      <w:r w:rsidR="00D01709">
        <w:t xml:space="preserve"> own conception of happiness and to make choices that align with that </w:t>
      </w:r>
      <w:r w:rsidR="00D851DC">
        <w:t>conception.</w:t>
      </w:r>
      <w:r w:rsidR="00A47E94">
        <w:t xml:space="preserve"> </w:t>
      </w:r>
      <w:r w:rsidR="00B22D64">
        <w:t xml:space="preserve">This claim </w:t>
      </w:r>
      <w:r w:rsidR="00492315">
        <w:t xml:space="preserve">is most pertinent to the class of </w:t>
      </w:r>
      <w:r w:rsidR="006A38EF">
        <w:t>claims</w:t>
      </w:r>
      <w:r w:rsidR="00C24C0D">
        <w:t xml:space="preserve"> commonly </w:t>
      </w:r>
      <w:r w:rsidR="006A38EF">
        <w:t>labeled</w:t>
      </w:r>
      <w:r w:rsidR="00C24C0D">
        <w:t xml:space="preserve"> “substantive due process”</w:t>
      </w:r>
      <w:r w:rsidR="00C24C0D">
        <w:rPr>
          <w:rStyle w:val="FootnoteReference"/>
        </w:rPr>
        <w:footnoteReference w:id="10"/>
      </w:r>
      <w:r w:rsidR="006A38EF">
        <w:t xml:space="preserve"> cases,</w:t>
      </w:r>
      <w:r w:rsidR="00E135E8">
        <w:t xml:space="preserve"> though Jamal Greene has rightly rejected the substantive/procedural due process </w:t>
      </w:r>
      <w:r w:rsidR="00D979A2">
        <w:t>distinction</w:t>
      </w:r>
      <w:r w:rsidR="00E135E8">
        <w:t xml:space="preserve"> as a false dichotomy.</w:t>
      </w:r>
      <w:r w:rsidR="00E135E8">
        <w:rPr>
          <w:rStyle w:val="FootnoteReference"/>
        </w:rPr>
        <w:footnoteReference w:id="11"/>
      </w:r>
    </w:p>
    <w:p w14:paraId="0F8EBCA6" w14:textId="77777777" w:rsidR="000427A1" w:rsidRDefault="000427A1" w:rsidP="002D1519">
      <w:pPr>
        <w:ind w:firstLine="720"/>
      </w:pPr>
    </w:p>
    <w:p w14:paraId="7741C55E" w14:textId="1D5D2865" w:rsidR="00387364" w:rsidRDefault="002F10EA" w:rsidP="002D1519">
      <w:pPr>
        <w:ind w:firstLine="720"/>
      </w:pPr>
      <w:r>
        <w:t>As substantive due process doctrine currently stands, t</w:t>
      </w:r>
      <w:r w:rsidR="00FF0A5F">
        <w:t xml:space="preserve">he definition of constitutional liberty as the right to seek joy </w:t>
      </w:r>
      <w:r>
        <w:t xml:space="preserve">is as legally revolutionary as my </w:t>
      </w:r>
      <w:r w:rsidR="00A91DC7">
        <w:t xml:space="preserve">discovery of joy was personally revolutionary. </w:t>
      </w:r>
      <w:r w:rsidR="00427449">
        <w:t>Tangled in</w:t>
      </w:r>
      <w:r w:rsidR="00392258">
        <w:t xml:space="preserve"> its</w:t>
      </w:r>
      <w:r w:rsidR="00427449">
        <w:t xml:space="preserve"> self-spun web of originalism,</w:t>
      </w:r>
      <w:bookmarkStart w:id="3" w:name="_Ref184741631"/>
      <w:r w:rsidR="009532CC">
        <w:rPr>
          <w:rStyle w:val="FootnoteReference"/>
        </w:rPr>
        <w:footnoteReference w:id="12"/>
      </w:r>
      <w:bookmarkEnd w:id="3"/>
      <w:r w:rsidR="00427449">
        <w:t xml:space="preserve"> </w:t>
      </w:r>
      <w:r w:rsidR="00392258">
        <w:t xml:space="preserve">the Supreme Court’s conservative majority </w:t>
      </w:r>
      <w:r w:rsidR="000C2635">
        <w:t xml:space="preserve">defines </w:t>
      </w:r>
      <w:r w:rsidR="00E63CD2">
        <w:t xml:space="preserve">liberty based not on the feelings of living people but </w:t>
      </w:r>
      <w:r w:rsidR="00DA4A13">
        <w:t xml:space="preserve">on the feelings of </w:t>
      </w:r>
      <w:r w:rsidR="00B254E9">
        <w:t>people</w:t>
      </w:r>
      <w:r w:rsidR="00DA4A13">
        <w:t xml:space="preserve"> who </w:t>
      </w:r>
      <w:r w:rsidR="00B254E9">
        <w:t>died</w:t>
      </w:r>
      <w:r w:rsidR="00DA4A13">
        <w:t xml:space="preserve"> centuries ago</w:t>
      </w:r>
      <w:r w:rsidR="003C5D56">
        <w:t>.</w:t>
      </w:r>
      <w:r w:rsidR="003C5D56">
        <w:rPr>
          <w:rStyle w:val="FootnoteReference"/>
        </w:rPr>
        <w:footnoteReference w:id="13"/>
      </w:r>
      <w:r w:rsidR="004B07AB">
        <w:t xml:space="preserve"> </w:t>
      </w:r>
      <w:r w:rsidR="00630657">
        <w:t xml:space="preserve">Emboldened by </w:t>
      </w:r>
      <w:r w:rsidR="003B01EE">
        <w:t xml:space="preserve">the Court’s </w:t>
      </w:r>
      <w:r w:rsidR="006B173A">
        <w:t>stingy</w:t>
      </w:r>
      <w:r w:rsidR="003B01EE">
        <w:t xml:space="preserve"> </w:t>
      </w:r>
      <w:r w:rsidR="003B01EE">
        <w:lastRenderedPageBreak/>
        <w:t xml:space="preserve">understanding of individual liberty, governments at every level of the American federal system have </w:t>
      </w:r>
      <w:r w:rsidR="006A7EA6">
        <w:t xml:space="preserve">ramped up </w:t>
      </w:r>
      <w:r w:rsidR="00DB0A2D">
        <w:t xml:space="preserve">legislative </w:t>
      </w:r>
      <w:r w:rsidR="0062695E">
        <w:t>efforts to enforce conformity and hierarchy.</w:t>
      </w:r>
    </w:p>
    <w:p w14:paraId="116FF095" w14:textId="77777777" w:rsidR="00064906" w:rsidRDefault="00064906" w:rsidP="002D1519">
      <w:pPr>
        <w:ind w:firstLine="720"/>
      </w:pPr>
    </w:p>
    <w:p w14:paraId="0EDE4847" w14:textId="01E102B4" w:rsidR="00064906" w:rsidRDefault="00E35A6B" w:rsidP="002D1519">
      <w:pPr>
        <w:ind w:firstLine="720"/>
      </w:pPr>
      <w:r>
        <w:t>As a prime example,</w:t>
      </w:r>
      <w:r w:rsidR="00A15723">
        <w:t xml:space="preserve"> twenty-five U.S. states have banned gender-affirming healthcare for minors within the past three years.</w:t>
      </w:r>
      <w:r w:rsidR="00A15723">
        <w:rPr>
          <w:rStyle w:val="FootnoteReference"/>
        </w:rPr>
        <w:footnoteReference w:id="14"/>
      </w:r>
      <w:r w:rsidR="00A15723">
        <w:t xml:space="preserve"> </w:t>
      </w:r>
      <w:r w:rsidR="00693B1C">
        <w:t>These bans prevent transgender and gender-nonconforming</w:t>
      </w:r>
      <w:bookmarkStart w:id="4" w:name="_Ref184808065"/>
      <w:r w:rsidR="007039C6">
        <w:rPr>
          <w:rStyle w:val="FootnoteReference"/>
        </w:rPr>
        <w:footnoteReference w:id="15"/>
      </w:r>
      <w:bookmarkEnd w:id="4"/>
      <w:r w:rsidR="00693B1C">
        <w:t xml:space="preserve"> children from </w:t>
      </w:r>
      <w:r w:rsidR="00780A2A">
        <w:t xml:space="preserve">accessing </w:t>
      </w:r>
      <w:r w:rsidR="00A9080E">
        <w:t>puberty-blocking medication</w:t>
      </w:r>
      <w:r w:rsidR="00F20CB4">
        <w:t xml:space="preserve"> and other treatments</w:t>
      </w:r>
      <w:bookmarkStart w:id="5" w:name="_Ref184739380"/>
      <w:r w:rsidR="0077791A">
        <w:rPr>
          <w:rStyle w:val="FootnoteReference"/>
        </w:rPr>
        <w:footnoteReference w:id="16"/>
      </w:r>
      <w:bookmarkEnd w:id="5"/>
      <w:r w:rsidR="00F20CB4">
        <w:t xml:space="preserve"> </w:t>
      </w:r>
      <w:r w:rsidR="00C10DB9">
        <w:t xml:space="preserve">regardless of the wishes </w:t>
      </w:r>
      <w:r w:rsidR="00B3542C">
        <w:t xml:space="preserve">or feelings </w:t>
      </w:r>
      <w:r w:rsidR="00C10DB9">
        <w:t xml:space="preserve">of their parents, </w:t>
      </w:r>
      <w:r w:rsidR="00744B97">
        <w:t>doctors, or—most importantly—the children themselves.</w:t>
      </w:r>
      <w:r w:rsidR="00EF59CE">
        <w:t xml:space="preserve"> </w:t>
      </w:r>
      <w:r w:rsidR="00FD547D">
        <w:t>G</w:t>
      </w:r>
      <w:r w:rsidR="00F16F8F">
        <w:t>ender-affirming care ban</w:t>
      </w:r>
      <w:r w:rsidR="00FD547D">
        <w:t>s constitute</w:t>
      </w:r>
      <w:r w:rsidR="00F16F8F">
        <w:t xml:space="preserve"> </w:t>
      </w:r>
      <w:r w:rsidR="00FD547D">
        <w:t xml:space="preserve">a governmental </w:t>
      </w:r>
      <w:r w:rsidR="00F16F8F">
        <w:t xml:space="preserve">invasion </w:t>
      </w:r>
      <w:r w:rsidR="00FD547D">
        <w:t>of</w:t>
      </w:r>
      <w:r w:rsidR="00F16F8F">
        <w:t xml:space="preserve"> </w:t>
      </w:r>
      <w:r w:rsidR="009E2159">
        <w:t xml:space="preserve">one of </w:t>
      </w:r>
      <w:r w:rsidR="00EF59CE">
        <w:t xml:space="preserve">the most intimate </w:t>
      </w:r>
      <w:r w:rsidR="009E2159">
        <w:t>areas of</w:t>
      </w:r>
      <w:r w:rsidR="00201485">
        <w:t xml:space="preserve"> a young person’s existence, one that will invariably have</w:t>
      </w:r>
      <w:r w:rsidR="00A85282">
        <w:t xml:space="preserve"> profound and far-ranging consequences</w:t>
      </w:r>
      <w:r w:rsidR="00F732C6">
        <w:t xml:space="preserve"> for their lives</w:t>
      </w:r>
      <w:r w:rsidR="00201485">
        <w:t>.</w:t>
      </w:r>
      <w:r w:rsidR="00F732C6">
        <w:t xml:space="preserve"> </w:t>
      </w:r>
      <w:r w:rsidR="0002346E">
        <w:t xml:space="preserve">Yet the </w:t>
      </w:r>
      <w:r w:rsidR="005B060C">
        <w:t>notion</w:t>
      </w:r>
      <w:r w:rsidR="0002346E">
        <w:t xml:space="preserve"> that the Due Process Clause might protect </w:t>
      </w:r>
      <w:r w:rsidR="00CB1448">
        <w:t xml:space="preserve">the liberty of young people to make such decisions for themselves </w:t>
      </w:r>
      <w:r w:rsidR="005B060C">
        <w:t xml:space="preserve">is so foreign to contemporary constitutional doctrine that none have dared suggest </w:t>
      </w:r>
      <w:r w:rsidR="00F97E05">
        <w:t>it.</w:t>
      </w:r>
      <w:r w:rsidR="0001453B">
        <w:rPr>
          <w:rStyle w:val="FootnoteReference"/>
        </w:rPr>
        <w:footnoteReference w:id="17"/>
      </w:r>
      <w:r w:rsidR="006878F5">
        <w:t xml:space="preserve"> </w:t>
      </w:r>
      <w:r w:rsidR="007B6C13">
        <w:t xml:space="preserve">Indeed, when the Supreme Court granted certiorari to </w:t>
      </w:r>
      <w:r w:rsidR="004253B3">
        <w:t>decide</w:t>
      </w:r>
      <w:r w:rsidR="008F760A">
        <w:t xml:space="preserve"> the constitutionality of such bans </w:t>
      </w:r>
      <w:r w:rsidR="004253B3">
        <w:t>in</w:t>
      </w:r>
      <w:r w:rsidR="008F760A">
        <w:t xml:space="preserve"> its October 2024 term, it did so only </w:t>
      </w:r>
      <w:r w:rsidR="004253B3">
        <w:t xml:space="preserve">to consider whether </w:t>
      </w:r>
      <w:r w:rsidR="00DE2D75">
        <w:t>the bans violate the Equal Protection Clause of the Fourteenth Amendment.</w:t>
      </w:r>
      <w:r w:rsidR="00387117">
        <w:rPr>
          <w:rStyle w:val="FootnoteReference"/>
        </w:rPr>
        <w:footnoteReference w:id="18"/>
      </w:r>
    </w:p>
    <w:p w14:paraId="0A6383BD" w14:textId="77777777" w:rsidR="00F9430B" w:rsidRDefault="00F9430B" w:rsidP="002D1519">
      <w:pPr>
        <w:ind w:firstLine="720"/>
      </w:pPr>
    </w:p>
    <w:p w14:paraId="23E8E3CC" w14:textId="54091AAE" w:rsidR="00E877CD" w:rsidRDefault="00E046D5" w:rsidP="004A3224">
      <w:pPr>
        <w:ind w:firstLine="720"/>
      </w:pPr>
      <w:r>
        <w:t>Th</w:t>
      </w:r>
      <w:r w:rsidR="00FF60DF">
        <w:t>o</w:t>
      </w:r>
      <w:r>
        <w:t xml:space="preserve">se bans </w:t>
      </w:r>
      <w:r w:rsidR="002F3F29">
        <w:t xml:space="preserve">were the catalyst for this article, and they provide the context </w:t>
      </w:r>
      <w:r w:rsidR="00996269">
        <w:t>through which I develop and examine my central claim</w:t>
      </w:r>
      <w:r w:rsidR="0007133E">
        <w:t xml:space="preserve"> that liberty is the right to seek joy. </w:t>
      </w:r>
      <w:r w:rsidR="00AB6F2F">
        <w:t>On the scale of decades,</w:t>
      </w:r>
      <w:r w:rsidR="002757A0">
        <w:t xml:space="preserve"> that claim is </w:t>
      </w:r>
      <w:r w:rsidR="0057385C">
        <w:t>quite</w:t>
      </w:r>
      <w:r w:rsidR="002757A0">
        <w:t xml:space="preserve"> new: </w:t>
      </w:r>
      <w:r w:rsidR="003C2E92">
        <w:t xml:space="preserve">It tracks the </w:t>
      </w:r>
      <w:r w:rsidR="005A2BD1">
        <w:t xml:space="preserve">phenomenological </w:t>
      </w:r>
      <w:r w:rsidR="003C2E92">
        <w:t>insistence</w:t>
      </w:r>
      <w:r w:rsidR="005A2BD1">
        <w:t xml:space="preserve"> of critical legal scholars, especially </w:t>
      </w:r>
      <w:r w:rsidR="00512B3E">
        <w:t xml:space="preserve">some </w:t>
      </w:r>
      <w:r w:rsidR="005A2BD1">
        <w:t>feminist</w:t>
      </w:r>
      <w:bookmarkStart w:id="6" w:name="_Ref185421893"/>
      <w:r w:rsidR="00174245">
        <w:rPr>
          <w:rStyle w:val="FootnoteReference"/>
        </w:rPr>
        <w:footnoteReference w:id="19"/>
      </w:r>
      <w:bookmarkEnd w:id="6"/>
      <w:r w:rsidR="005A2BD1">
        <w:t xml:space="preserve"> and critical </w:t>
      </w:r>
      <w:r w:rsidR="003C4BBE">
        <w:t>race</w:t>
      </w:r>
      <w:r w:rsidR="009023E1">
        <w:rPr>
          <w:rStyle w:val="FootnoteReference"/>
        </w:rPr>
        <w:footnoteReference w:id="20"/>
      </w:r>
      <w:r w:rsidR="003C4BBE">
        <w:t xml:space="preserve"> scholars</w:t>
      </w:r>
      <w:r w:rsidR="003C2E92">
        <w:t>, that</w:t>
      </w:r>
      <w:r w:rsidR="00A14C74">
        <w:t xml:space="preserve"> real people’s lived experiences are legally relevant</w:t>
      </w:r>
      <w:r w:rsidR="003C4BBE">
        <w:t xml:space="preserve">. </w:t>
      </w:r>
      <w:r w:rsidR="00AD2037">
        <w:t>But</w:t>
      </w:r>
      <w:r w:rsidR="00CF680F">
        <w:t xml:space="preserve"> on the scale</w:t>
      </w:r>
      <w:r w:rsidR="003364DE">
        <w:t xml:space="preserve"> </w:t>
      </w:r>
      <w:r w:rsidR="00CF680F">
        <w:t xml:space="preserve">of human history, </w:t>
      </w:r>
      <w:r w:rsidR="005C4246">
        <w:t>the</w:t>
      </w:r>
      <w:r w:rsidR="0057385C">
        <w:t xml:space="preserve"> claim is also very old, stretching back through </w:t>
      </w:r>
      <w:r w:rsidR="007D0B16">
        <w:t xml:space="preserve">the American Framers and John Locke to the Ancient Greek philosophers </w:t>
      </w:r>
      <w:r w:rsidR="00846247">
        <w:t>such as</w:t>
      </w:r>
      <w:r w:rsidR="00E93DA7">
        <w:t xml:space="preserve"> Aristotle and Epicurus</w:t>
      </w:r>
      <w:r w:rsidR="007D0B16">
        <w:t>.</w:t>
      </w:r>
      <w:r w:rsidR="007B44D5">
        <w:rPr>
          <w:rStyle w:val="FootnoteReference"/>
        </w:rPr>
        <w:footnoteReference w:id="21"/>
      </w:r>
      <w:r w:rsidR="00095A84">
        <w:t xml:space="preserve"> </w:t>
      </w:r>
      <w:r w:rsidR="00351484">
        <w:t xml:space="preserve">It is part of a </w:t>
      </w:r>
      <w:r w:rsidR="002C734B">
        <w:t xml:space="preserve">normative </w:t>
      </w:r>
      <w:r w:rsidR="00351484">
        <w:t>tradition,</w:t>
      </w:r>
      <w:r w:rsidR="00E412FF">
        <w:t xml:space="preserve"> </w:t>
      </w:r>
      <w:r w:rsidR="00E857C1">
        <w:t>uncontroversial</w:t>
      </w:r>
      <w:r w:rsidR="00351484">
        <w:t xml:space="preserve"> until </w:t>
      </w:r>
      <w:r w:rsidR="00DE1987">
        <w:t xml:space="preserve">relatively recently, </w:t>
      </w:r>
      <w:r w:rsidR="00A060C1">
        <w:t xml:space="preserve">which </w:t>
      </w:r>
      <w:r w:rsidR="00F14203">
        <w:t xml:space="preserve">accepts human flourishing as the ultimate point of the law and </w:t>
      </w:r>
      <w:r w:rsidR="00512453">
        <w:t>the facilitation of human flourishing as the</w:t>
      </w:r>
      <w:r w:rsidR="00E00711">
        <w:t xml:space="preserve"> fundamental</w:t>
      </w:r>
      <w:r w:rsidR="00E412FF">
        <w:t xml:space="preserve"> </w:t>
      </w:r>
      <w:r w:rsidR="00223FD1">
        <w:t xml:space="preserve">subject </w:t>
      </w:r>
      <w:r w:rsidR="002170E2">
        <w:t>of legal scholarship.</w:t>
      </w:r>
      <w:bookmarkStart w:id="7" w:name="_Ref184740956"/>
      <w:r w:rsidR="002170E2">
        <w:rPr>
          <w:rStyle w:val="FootnoteReference"/>
        </w:rPr>
        <w:footnoteReference w:id="22"/>
      </w:r>
      <w:bookmarkEnd w:id="7"/>
    </w:p>
    <w:p w14:paraId="2DC5F49A" w14:textId="77777777" w:rsidR="00DC120E" w:rsidRDefault="00DC120E" w:rsidP="004A3224">
      <w:pPr>
        <w:ind w:firstLine="720"/>
      </w:pPr>
    </w:p>
    <w:p w14:paraId="6DCB7FA1" w14:textId="69D1B298" w:rsidR="00DC120E" w:rsidRDefault="003C7C91" w:rsidP="004A3224">
      <w:pPr>
        <w:ind w:firstLine="720"/>
      </w:pPr>
      <w:r>
        <w:t xml:space="preserve">This article proceeds in three parts. In Part I, </w:t>
      </w:r>
      <w:r w:rsidR="008F5B87">
        <w:t>I</w:t>
      </w:r>
      <w:r w:rsidR="0084713B">
        <w:t xml:space="preserve"> show that gender transition, the process whereby transgender individuals</w:t>
      </w:r>
      <w:r w:rsidR="00A81700">
        <w:t xml:space="preserve"> align their</w:t>
      </w:r>
      <w:r w:rsidR="0044190B">
        <w:t xml:space="preserve"> bodies and</w:t>
      </w:r>
      <w:r w:rsidR="00302467">
        <w:t xml:space="preserve"> external gender presentation with their internal</w:t>
      </w:r>
      <w:r w:rsidR="003C330A">
        <w:t xml:space="preserve"> </w:t>
      </w:r>
      <w:r w:rsidR="00B454A6">
        <w:t xml:space="preserve">sense of </w:t>
      </w:r>
      <w:r w:rsidR="00F802CC">
        <w:t xml:space="preserve">gender, </w:t>
      </w:r>
      <w:r w:rsidR="00911822">
        <w:t xml:space="preserve">is </w:t>
      </w:r>
      <w:r w:rsidR="002966CC">
        <w:t>driven by endogenous</w:t>
      </w:r>
      <w:r w:rsidR="00737977">
        <w:t xml:space="preserve">, or </w:t>
      </w:r>
      <w:r w:rsidR="00834971">
        <w:t xml:space="preserve">“within the self,” criteria. </w:t>
      </w:r>
      <w:r w:rsidR="0019208A">
        <w:t>In other words, the only measure of the correctness of an individual’s decision about gender transition is their own subjective emotional response</w:t>
      </w:r>
      <w:r w:rsidR="00C43C6B">
        <w:t>. I contrast th</w:t>
      </w:r>
      <w:r w:rsidR="00397C0D">
        <w:t xml:space="preserve">e endogenous process of gender transition with the </w:t>
      </w:r>
      <w:r w:rsidR="0025161F">
        <w:rPr>
          <w:i/>
          <w:iCs/>
        </w:rPr>
        <w:t>ex</w:t>
      </w:r>
      <w:r w:rsidR="0025161F">
        <w:t xml:space="preserve">ogenous process of religious conversion, the decision to conform one’s conduct and choices to a set of external criteria </w:t>
      </w:r>
      <w:r w:rsidR="008926C4">
        <w:t xml:space="preserve">that may diminish or totally disregard </w:t>
      </w:r>
      <w:r w:rsidR="00627E78">
        <w:t xml:space="preserve">one’s subjective emotional response. </w:t>
      </w:r>
      <w:r w:rsidR="00DC4A2C">
        <w:t>I conclude that t</w:t>
      </w:r>
      <w:r w:rsidR="00FF1D48">
        <w:t xml:space="preserve">he endogenous nature of </w:t>
      </w:r>
      <w:r w:rsidR="00DC4A2C">
        <w:t xml:space="preserve">gender transition belies the commonly held notion that it is a </w:t>
      </w:r>
      <w:r w:rsidR="00884E1A">
        <w:t xml:space="preserve">decision to </w:t>
      </w:r>
      <w:r w:rsidR="00884E1A" w:rsidRPr="00191350">
        <w:t>change</w:t>
      </w:r>
      <w:r w:rsidR="00CD1049">
        <w:t xml:space="preserve"> </w:t>
      </w:r>
      <w:r w:rsidR="00191350">
        <w:t>who one is instead of a</w:t>
      </w:r>
      <w:r w:rsidR="00383685">
        <w:t xml:space="preserve"> decision</w:t>
      </w:r>
      <w:r w:rsidR="00191350">
        <w:t xml:space="preserve"> </w:t>
      </w:r>
      <w:r w:rsidR="00383685">
        <w:t xml:space="preserve">to </w:t>
      </w:r>
      <w:r w:rsidR="00383685">
        <w:rPr>
          <w:i/>
          <w:iCs/>
        </w:rPr>
        <w:t>become</w:t>
      </w:r>
      <w:r w:rsidR="00383685">
        <w:t xml:space="preserve"> who one is</w:t>
      </w:r>
      <w:r w:rsidR="0025041A">
        <w:t xml:space="preserve"> instead of pretending to be someone else.</w:t>
      </w:r>
    </w:p>
    <w:p w14:paraId="75EC84FF" w14:textId="77777777" w:rsidR="0025041A" w:rsidRDefault="0025041A" w:rsidP="004A3224">
      <w:pPr>
        <w:ind w:firstLine="720"/>
      </w:pPr>
    </w:p>
    <w:p w14:paraId="45835C68" w14:textId="455C4743" w:rsidR="0025041A" w:rsidRDefault="0025041A" w:rsidP="004A3224">
      <w:pPr>
        <w:ind w:firstLine="720"/>
      </w:pPr>
      <w:r>
        <w:t xml:space="preserve">In Part II, </w:t>
      </w:r>
      <w:r w:rsidR="001E643B">
        <w:t xml:space="preserve">I contend that </w:t>
      </w:r>
      <w:r w:rsidR="009454DB">
        <w:t xml:space="preserve">the individual’s </w:t>
      </w:r>
      <w:r w:rsidR="001D233E">
        <w:t>right</w:t>
      </w:r>
      <w:r w:rsidR="009454DB">
        <w:t xml:space="preserve"> to </w:t>
      </w:r>
      <w:r w:rsidR="00370533">
        <w:t xml:space="preserve">choose according to their own subjective </w:t>
      </w:r>
      <w:r w:rsidR="001D233E">
        <w:t>preferences</w:t>
      </w:r>
      <w:r w:rsidR="00370533">
        <w:t xml:space="preserve">, as in gender transition, is </w:t>
      </w:r>
      <w:r w:rsidR="00DF3B23">
        <w:t>the substantive content of the liberty protected by the Due Process Clause</w:t>
      </w:r>
      <w:r w:rsidR="008F14F5">
        <w:t>.</w:t>
      </w:r>
      <w:r w:rsidR="008667BC">
        <w:t xml:space="preserve"> </w:t>
      </w:r>
      <w:r w:rsidR="00142611">
        <w:t xml:space="preserve">John </w:t>
      </w:r>
      <w:r w:rsidR="00E3351E">
        <w:t>Locke</w:t>
      </w:r>
      <w:r w:rsidR="000A2021">
        <w:t xml:space="preserve"> defined </w:t>
      </w:r>
      <w:r w:rsidR="00F56F0B">
        <w:t xml:space="preserve">liberty as the pursuit of happiness—a phrase that famously made it into the Declaration of Independence—and explicitly acknowledged </w:t>
      </w:r>
      <w:r w:rsidR="002F3633">
        <w:t xml:space="preserve">that </w:t>
      </w:r>
      <w:r w:rsidR="0056607C">
        <w:t>what</w:t>
      </w:r>
      <w:r w:rsidR="000C54F1">
        <w:t xml:space="preserve"> makes people happy</w:t>
      </w:r>
      <w:r w:rsidR="002F3633">
        <w:t xml:space="preserve"> is highly subjective</w:t>
      </w:r>
      <w:r w:rsidR="000C54F1">
        <w:t>.</w:t>
      </w:r>
      <w:r w:rsidR="005C3942">
        <w:t xml:space="preserve"> </w:t>
      </w:r>
      <w:r w:rsidR="000C54F1">
        <w:t xml:space="preserve">Locke’s </w:t>
      </w:r>
      <w:r w:rsidR="00E77B66">
        <w:t>writings</w:t>
      </w:r>
      <w:r w:rsidR="001A2FB0">
        <w:t xml:space="preserve"> reflect </w:t>
      </w:r>
      <w:r w:rsidR="000303FC">
        <w:t>a</w:t>
      </w:r>
      <w:r w:rsidR="001A2FB0">
        <w:t xml:space="preserve"> much broader </w:t>
      </w:r>
      <w:r w:rsidR="00BD2220">
        <w:t xml:space="preserve">seventeenth- and eighteenth-century fascination with the </w:t>
      </w:r>
      <w:r w:rsidR="00E77B66">
        <w:t xml:space="preserve">teachings of Epicurus, the Ancient Greek philosopher who </w:t>
      </w:r>
      <w:r w:rsidR="00A710CB">
        <w:t xml:space="preserve">emphasized </w:t>
      </w:r>
      <w:r w:rsidR="00020960">
        <w:t xml:space="preserve">the fulfillment of </w:t>
      </w:r>
      <w:r w:rsidR="000303FC">
        <w:t>subjective desire</w:t>
      </w:r>
      <w:r w:rsidR="006E3C24">
        <w:t>s</w:t>
      </w:r>
      <w:r w:rsidR="000303FC">
        <w:t xml:space="preserve"> as the </w:t>
      </w:r>
      <w:r w:rsidR="00E77A1F">
        <w:t xml:space="preserve">surest path to </w:t>
      </w:r>
      <w:r w:rsidR="005B0CA4">
        <w:t>human happiness</w:t>
      </w:r>
      <w:r w:rsidR="00A75964">
        <w:t xml:space="preserve">. </w:t>
      </w:r>
      <w:r w:rsidR="00CC6C5A">
        <w:t xml:space="preserve">But Epicurus shared his Greek contemporaries’ understanding that not all desires </w:t>
      </w:r>
      <w:r w:rsidR="007F3800">
        <w:t xml:space="preserve">lead to happiness. </w:t>
      </w:r>
      <w:r w:rsidR="0066713D">
        <w:t xml:space="preserve">Rather, </w:t>
      </w:r>
      <w:r w:rsidR="00D40C33">
        <w:t xml:space="preserve">Epicurus </w:t>
      </w:r>
      <w:r w:rsidR="00F81C0E">
        <w:t xml:space="preserve">sorted desires into natural </w:t>
      </w:r>
      <w:r w:rsidR="00FA1094">
        <w:t xml:space="preserve">ones, desires over which humans have little </w:t>
      </w:r>
      <w:proofErr w:type="gramStart"/>
      <w:r w:rsidR="00FA1094">
        <w:t>control</w:t>
      </w:r>
      <w:proofErr w:type="gramEnd"/>
      <w:r w:rsidR="00FA1094">
        <w:t xml:space="preserve"> and which cause pain when unfulfilled, and empty ones, those which actually cause suffering through their fulfillment. He further </w:t>
      </w:r>
      <w:r w:rsidR="00F11D3E">
        <w:t>classified</w:t>
      </w:r>
      <w:r w:rsidR="00FA1094">
        <w:t xml:space="preserve"> desires </w:t>
      </w:r>
      <w:r w:rsidR="00F11D3E">
        <w:t xml:space="preserve">based on how necessary </w:t>
      </w:r>
      <w:r w:rsidR="00BE191E">
        <w:t>they were to fulfill a natural desire.</w:t>
      </w:r>
    </w:p>
    <w:p w14:paraId="3D488E72" w14:textId="77777777" w:rsidR="003A4361" w:rsidRDefault="003A4361" w:rsidP="004A3224">
      <w:pPr>
        <w:ind w:firstLine="720"/>
      </w:pPr>
    </w:p>
    <w:p w14:paraId="08A80FFE" w14:textId="00A975D6" w:rsidR="003A4361" w:rsidRDefault="00FB45B7" w:rsidP="004A3224">
      <w:pPr>
        <w:ind w:firstLine="720"/>
      </w:pPr>
      <w:r>
        <w:t>Epicurus’ classification of desires provides a</w:t>
      </w:r>
      <w:r w:rsidR="00987172">
        <w:t xml:space="preserve"> </w:t>
      </w:r>
      <w:r>
        <w:t xml:space="preserve">principled approach to </w:t>
      </w:r>
      <w:r w:rsidR="00BA7EFD">
        <w:t xml:space="preserve">evaluating </w:t>
      </w:r>
      <w:r w:rsidR="00D20AD1">
        <w:t xml:space="preserve">the relative importance of </w:t>
      </w:r>
      <w:r w:rsidR="00BA7EFD">
        <w:t>liberty interests</w:t>
      </w:r>
      <w:r w:rsidR="00987172">
        <w:t xml:space="preserve"> in</w:t>
      </w:r>
      <w:r w:rsidR="00BA7EFD">
        <w:t xml:space="preserve"> </w:t>
      </w:r>
      <w:r w:rsidR="00165452">
        <w:t xml:space="preserve">substantive </w:t>
      </w:r>
      <w:r>
        <w:t xml:space="preserve">due process </w:t>
      </w:r>
      <w:r w:rsidR="00165452">
        <w:t>cases</w:t>
      </w:r>
      <w:r>
        <w:t xml:space="preserve">. </w:t>
      </w:r>
      <w:r w:rsidR="00BA7EFD">
        <w:t>The more natural and necessary a desire</w:t>
      </w:r>
      <w:r w:rsidR="00D20AD1">
        <w:t xml:space="preserve"> is, the </w:t>
      </w:r>
      <w:r w:rsidR="00A35B83">
        <w:t xml:space="preserve">more process the government must </w:t>
      </w:r>
      <w:r w:rsidR="00BA1720">
        <w:t xml:space="preserve">undergo before infringing upon it. </w:t>
      </w:r>
      <w:r w:rsidR="006A0233">
        <w:t xml:space="preserve">I </w:t>
      </w:r>
      <w:r w:rsidR="006E158C">
        <w:t xml:space="preserve">establish that </w:t>
      </w:r>
      <w:r w:rsidR="0051433B">
        <w:t>pursuing</w:t>
      </w:r>
      <w:r w:rsidR="00FB019A">
        <w:t xml:space="preserve"> gender-affirming healthcare to align one’s body with one’s internal gender sense is a natural, necessary desire, </w:t>
      </w:r>
      <w:r w:rsidR="0098748B">
        <w:t>state</w:t>
      </w:r>
      <w:r w:rsidR="00FB019A">
        <w:t xml:space="preserve"> infringement of which therefore requires more than standard legislative and judicial procedures. </w:t>
      </w:r>
      <w:r w:rsidR="0095387C">
        <w:t xml:space="preserve">I </w:t>
      </w:r>
      <w:r w:rsidR="006A0233">
        <w:t xml:space="preserve">spend the remainder of Part II demonstrating the superiority of the Epicurean approach to the originalist approach, </w:t>
      </w:r>
      <w:r w:rsidR="0095387C">
        <w:t xml:space="preserve">most notably through the parallel examples of </w:t>
      </w:r>
      <w:r w:rsidR="0095387C">
        <w:rPr>
          <w:i/>
          <w:iCs/>
        </w:rPr>
        <w:t>Bowers v. Hardwick</w:t>
      </w:r>
      <w:r w:rsidR="0095387C">
        <w:t xml:space="preserve"> and </w:t>
      </w:r>
      <w:r w:rsidR="0095387C">
        <w:rPr>
          <w:i/>
          <w:iCs/>
        </w:rPr>
        <w:t>Lawrence v. Texas</w:t>
      </w:r>
      <w:r w:rsidR="0095387C">
        <w:t>.</w:t>
      </w:r>
    </w:p>
    <w:p w14:paraId="04928164" w14:textId="77777777" w:rsidR="00C10BD2" w:rsidRDefault="00C10BD2" w:rsidP="004A3224">
      <w:pPr>
        <w:ind w:firstLine="720"/>
      </w:pPr>
    </w:p>
    <w:p w14:paraId="11A9134B" w14:textId="69B54D28" w:rsidR="00C10BD2" w:rsidRPr="00383685" w:rsidRDefault="00C10BD2" w:rsidP="004A3224">
      <w:pPr>
        <w:ind w:firstLine="720"/>
      </w:pPr>
      <w:r>
        <w:lastRenderedPageBreak/>
        <w:t xml:space="preserve">In Part III, </w:t>
      </w:r>
      <w:r w:rsidR="005D039A">
        <w:t xml:space="preserve">I suggest that the </w:t>
      </w:r>
      <w:r w:rsidR="0026024F">
        <w:t xml:space="preserve">Epicurean approach to due process I develop in Part II </w:t>
      </w:r>
      <w:r w:rsidR="005C5574">
        <w:t xml:space="preserve">highlights the inadequacy of </w:t>
      </w:r>
      <w:r w:rsidR="00B23C93">
        <w:t xml:space="preserve">our constitutional treatment of children. </w:t>
      </w:r>
      <w:r w:rsidR="00C17567">
        <w:t>Through play, c</w:t>
      </w:r>
      <w:r w:rsidR="00A6126F">
        <w:t xml:space="preserve">hildren quickly develop the </w:t>
      </w:r>
      <w:r w:rsidR="00050C0F">
        <w:t xml:space="preserve">ability to identify and express their subjective preferences, especially about </w:t>
      </w:r>
      <w:r w:rsidR="005151C3">
        <w:t xml:space="preserve">highly personal characteristics such as gender. </w:t>
      </w:r>
      <w:r w:rsidR="004A5BF4">
        <w:t>Yet the law gives children’s parents and the state near-total control</w:t>
      </w:r>
      <w:r w:rsidR="00C54A1C">
        <w:t xml:space="preserve"> of their lives </w:t>
      </w:r>
      <w:r w:rsidR="0035793A">
        <w:t xml:space="preserve">up </w:t>
      </w:r>
      <w:r w:rsidR="00C54A1C">
        <w:t>until</w:t>
      </w:r>
      <w:r w:rsidR="0035793A">
        <w:t xml:space="preserve"> 11:59 p.m. </w:t>
      </w:r>
      <w:r w:rsidR="000B34A9">
        <w:t xml:space="preserve">on the night before their eighteenth birthday, after which </w:t>
      </w:r>
      <w:r w:rsidR="007238DF">
        <w:t xml:space="preserve">that </w:t>
      </w:r>
      <w:r w:rsidR="007A4C67">
        <w:t xml:space="preserve">authority transfers </w:t>
      </w:r>
      <w:proofErr w:type="gramStart"/>
      <w:r w:rsidR="007A4C67">
        <w:t>automatically, Cinderella-</w:t>
      </w:r>
      <w:proofErr w:type="gramEnd"/>
      <w:r w:rsidR="007A4C67">
        <w:t>like, to the now-adult</w:t>
      </w:r>
      <w:r w:rsidR="00A23815">
        <w:t xml:space="preserve">. </w:t>
      </w:r>
      <w:r w:rsidR="000C02DD">
        <w:t xml:space="preserve">The Epicurean approach </w:t>
      </w:r>
      <w:r w:rsidR="00CE1E75">
        <w:t xml:space="preserve">indicates that </w:t>
      </w:r>
      <w:r w:rsidR="00E63A7A">
        <w:t>the</w:t>
      </w:r>
      <w:r w:rsidR="00B27C72">
        <w:t xml:space="preserve"> age-of-majority </w:t>
      </w:r>
      <w:r w:rsidR="0069726F">
        <w:t>process is</w:t>
      </w:r>
      <w:r w:rsidR="00B27C72">
        <w:t xml:space="preserve"> insufficient to </w:t>
      </w:r>
      <w:r w:rsidR="0069726F">
        <w:t xml:space="preserve">justify </w:t>
      </w:r>
      <w:r w:rsidR="00B27C72">
        <w:t>infringe</w:t>
      </w:r>
      <w:r w:rsidR="0069726F">
        <w:t>ment</w:t>
      </w:r>
      <w:r w:rsidR="00B27C72">
        <w:t xml:space="preserve"> upon children’s natural and necessary desires</w:t>
      </w:r>
      <w:r w:rsidR="00E63A7A">
        <w:t xml:space="preserve">, including </w:t>
      </w:r>
      <w:r w:rsidR="0069726F">
        <w:t>the desire to pursue gender-affirming healthcare.</w:t>
      </w:r>
      <w:r w:rsidR="00762C5E">
        <w:t xml:space="preserve"> Taking liberty seriously means taking </w:t>
      </w:r>
      <w:r w:rsidR="00114A3A">
        <w:t>joy seriously, including children’s joy.</w:t>
      </w:r>
    </w:p>
    <w:p w14:paraId="6CDC3AF6" w14:textId="77777777" w:rsidR="00A96128" w:rsidRDefault="00A96128" w:rsidP="00E67E67"/>
    <w:p w14:paraId="53783B0E" w14:textId="77777777" w:rsidR="0027494A" w:rsidRDefault="0027494A" w:rsidP="0027494A">
      <w:pPr>
        <w:pStyle w:val="Heading1"/>
      </w:pPr>
      <w:r>
        <w:t>I.  Inside Out</w:t>
      </w:r>
      <w:r>
        <w:rPr>
          <w:rStyle w:val="FootnoteReference"/>
        </w:rPr>
        <w:footnoteReference w:id="23"/>
      </w:r>
    </w:p>
    <w:p w14:paraId="5F7FA163" w14:textId="77777777" w:rsidR="0027494A" w:rsidRPr="0027494A" w:rsidRDefault="0027494A" w:rsidP="0027494A"/>
    <w:p w14:paraId="76D5B157" w14:textId="70149E24" w:rsidR="001A339B" w:rsidRPr="0099012B" w:rsidRDefault="001A339B" w:rsidP="00732502">
      <w:pPr>
        <w:ind w:left="1080" w:firstLine="0"/>
        <w:rPr>
          <w:sz w:val="21"/>
          <w:szCs w:val="21"/>
        </w:rPr>
      </w:pPr>
      <w:r w:rsidRPr="0099012B">
        <w:rPr>
          <w:sz w:val="21"/>
          <w:szCs w:val="21"/>
        </w:rPr>
        <w:t>Kids aren’t ready to make big, life-altering decisions.</w:t>
      </w:r>
      <w:r w:rsidR="004959EF">
        <w:rPr>
          <w:sz w:val="21"/>
          <w:szCs w:val="21"/>
        </w:rPr>
        <w:t xml:space="preserve"> </w:t>
      </w:r>
      <w:r w:rsidRPr="0099012B">
        <w:rPr>
          <w:sz w:val="21"/>
          <w:szCs w:val="21"/>
        </w:rPr>
        <w:t xml:space="preserve">That’s why we don’t let kids get tattoos, consume alcohol, or smoke cigarettes. Kids can’t even buy cough syrup over the counter. </w:t>
      </w:r>
      <w:r w:rsidRPr="0099012B">
        <w:rPr>
          <w:i/>
          <w:iCs/>
          <w:sz w:val="21"/>
          <w:szCs w:val="21"/>
        </w:rPr>
        <w:t xml:space="preserve">Why would we encourage them to stop puberty, take cross-sex hormones, face potential sterility, and even prepare to permanently amputate or alter healthy </w:t>
      </w:r>
      <w:proofErr w:type="gramStart"/>
      <w:r w:rsidRPr="0099012B">
        <w:rPr>
          <w:i/>
          <w:iCs/>
          <w:sz w:val="21"/>
          <w:szCs w:val="21"/>
        </w:rPr>
        <w:t>body  parts</w:t>
      </w:r>
      <w:proofErr w:type="gramEnd"/>
      <w:r w:rsidRPr="0099012B">
        <w:rPr>
          <w:i/>
          <w:iCs/>
          <w:sz w:val="21"/>
          <w:szCs w:val="21"/>
        </w:rPr>
        <w:t>?</w:t>
      </w:r>
      <w:bookmarkStart w:id="8" w:name="_Ref172630327"/>
      <w:r w:rsidRPr="000D4DD0">
        <w:rPr>
          <w:rStyle w:val="FootnoteReference"/>
          <w:sz w:val="21"/>
          <w:szCs w:val="21"/>
        </w:rPr>
        <w:footnoteReference w:id="24"/>
      </w:r>
      <w:bookmarkEnd w:id="8"/>
    </w:p>
    <w:p w14:paraId="09432202" w14:textId="77777777" w:rsidR="001A339B" w:rsidRDefault="001A339B" w:rsidP="001A339B">
      <w:pPr>
        <w:ind w:firstLine="720"/>
        <w:jc w:val="left"/>
      </w:pPr>
    </w:p>
    <w:p w14:paraId="10D6CBFB" w14:textId="079035F8" w:rsidR="001A339B" w:rsidRDefault="004959EF" w:rsidP="001F51D7">
      <w:pPr>
        <w:ind w:firstLine="720"/>
      </w:pPr>
      <w:r>
        <w:t xml:space="preserve">So </w:t>
      </w:r>
      <w:r w:rsidR="00B44B2D">
        <w:t>demands</w:t>
      </w:r>
      <w:r>
        <w:t xml:space="preserve"> the website of the Family Policy Alliance (FPA)</w:t>
      </w:r>
      <w:r w:rsidR="00C64C2A">
        <w:t xml:space="preserve"> </w:t>
      </w:r>
      <w:r w:rsidR="00BB0062">
        <w:t xml:space="preserve">on </w:t>
      </w:r>
      <w:r w:rsidR="002928B3">
        <w:t>its</w:t>
      </w:r>
      <w:r w:rsidR="00BB0062">
        <w:t xml:space="preserve"> website for “Help Not Harm</w:t>
      </w:r>
      <w:r w:rsidR="00C64C2A">
        <w:t>,</w:t>
      </w:r>
      <w:r w:rsidR="00BB0062">
        <w:t xml:space="preserve">” </w:t>
      </w:r>
      <w:r w:rsidR="002928B3">
        <w:t>FPA’s</w:t>
      </w:r>
      <w:r w:rsidR="006E2E36">
        <w:t xml:space="preserve"> </w:t>
      </w:r>
      <w:r w:rsidR="00BB0062">
        <w:t>model legislation</w:t>
      </w:r>
      <w:r w:rsidR="006E2E36">
        <w:t xml:space="preserve"> for banning gender-affirming care for minors</w:t>
      </w:r>
      <w:r w:rsidR="00DD333E">
        <w:t>.</w:t>
      </w:r>
      <w:r w:rsidR="0054228C">
        <w:rPr>
          <w:rStyle w:val="FootnoteReference"/>
        </w:rPr>
        <w:footnoteReference w:id="25"/>
      </w:r>
      <w:r w:rsidR="007A63FF">
        <w:t xml:space="preserve"> </w:t>
      </w:r>
      <w:r w:rsidR="006E2E36">
        <w:t xml:space="preserve">As of July 2024, FPA claimed </w:t>
      </w:r>
      <w:r w:rsidR="00F70ACD">
        <w:t xml:space="preserve">credit for </w:t>
      </w:r>
      <w:r w:rsidR="00F70ACD">
        <w:lastRenderedPageBreak/>
        <w:t xml:space="preserve">twenty-three state bans based on </w:t>
      </w:r>
      <w:r w:rsidR="00165665">
        <w:t>“</w:t>
      </w:r>
      <w:r w:rsidR="00F70ACD">
        <w:t>Help Not Harm,</w:t>
      </w:r>
      <w:r w:rsidR="00165665">
        <w:t>”</w:t>
      </w:r>
      <w:r w:rsidR="00BF2778">
        <w:rPr>
          <w:rStyle w:val="FootnoteReference"/>
        </w:rPr>
        <w:footnoteReference w:id="26"/>
      </w:r>
      <w:r w:rsidR="004D14A9">
        <w:t xml:space="preserve"> </w:t>
      </w:r>
      <w:r w:rsidR="00CB66CB">
        <w:t>some</w:t>
      </w:r>
      <w:r w:rsidR="004D14A9">
        <w:t xml:space="preserve"> of which</w:t>
      </w:r>
      <w:r w:rsidR="00960420">
        <w:t xml:space="preserve"> include </w:t>
      </w:r>
      <w:r w:rsidR="00165665">
        <w:t>the phrase itself</w:t>
      </w:r>
      <w:r w:rsidR="00C956E7">
        <w:t xml:space="preserve"> in their names.</w:t>
      </w:r>
      <w:bookmarkStart w:id="9" w:name="_Ref184287517"/>
      <w:r w:rsidR="00C956E7">
        <w:rPr>
          <w:rStyle w:val="FootnoteReference"/>
        </w:rPr>
        <w:footnoteReference w:id="27"/>
      </w:r>
      <w:bookmarkEnd w:id="9"/>
      <w:r w:rsidR="00960420">
        <w:t xml:space="preserve"> </w:t>
      </w:r>
    </w:p>
    <w:p w14:paraId="09594529" w14:textId="77777777" w:rsidR="00CC22A5" w:rsidRDefault="00CC22A5" w:rsidP="001F51D7">
      <w:pPr>
        <w:ind w:firstLine="720"/>
      </w:pPr>
    </w:p>
    <w:p w14:paraId="3C0D6D18" w14:textId="659362AF" w:rsidR="002433C4" w:rsidRDefault="00CC22A5" w:rsidP="00CB40A7">
      <w:pPr>
        <w:ind w:firstLine="720"/>
      </w:pPr>
      <w:r>
        <w:t xml:space="preserve">FPA’s </w:t>
      </w:r>
      <w:r w:rsidR="0098762D">
        <w:t xml:space="preserve">rhetorical question captures </w:t>
      </w:r>
      <w:r w:rsidR="00116828">
        <w:t xml:space="preserve">one of </w:t>
      </w:r>
      <w:r w:rsidR="0098762D">
        <w:t>the</w:t>
      </w:r>
      <w:r w:rsidR="00CB40A7">
        <w:t xml:space="preserve"> </w:t>
      </w:r>
      <w:r w:rsidR="006564FF">
        <w:t>most popular</w:t>
      </w:r>
      <w:r w:rsidR="00932557">
        <w:t xml:space="preserve"> argument</w:t>
      </w:r>
      <w:r w:rsidR="00116828">
        <w:t>s</w:t>
      </w:r>
      <w:r w:rsidR="00932557">
        <w:t xml:space="preserve"> advanced by proponents of gender-affirming care bans for </w:t>
      </w:r>
      <w:r w:rsidR="006564FF">
        <w:t>children</w:t>
      </w:r>
      <w:r w:rsidR="00BE295C">
        <w:t>: kids are too young to make the “big, life-altering” decision to seek</w:t>
      </w:r>
      <w:r w:rsidR="0077731D">
        <w:t xml:space="preserve"> gender-affirming care.</w:t>
      </w:r>
      <w:r w:rsidR="0077731D">
        <w:rPr>
          <w:rStyle w:val="FootnoteReference"/>
        </w:rPr>
        <w:footnoteReference w:id="28"/>
      </w:r>
      <w:r w:rsidR="00CB40A7">
        <w:t xml:space="preserve"> This argument rests on two assumptions. </w:t>
      </w:r>
      <w:r w:rsidR="002124D7">
        <w:t>The first</w:t>
      </w:r>
      <w:r w:rsidR="00B804A2">
        <w:t xml:space="preserve"> is the well-established belief </w:t>
      </w:r>
      <w:r w:rsidR="00DB2B60">
        <w:t>that children lack the competence—that is, the maturity, intelligence, foresight, etc.—to</w:t>
      </w:r>
      <w:r w:rsidR="0095782E">
        <w:t xml:space="preserve"> </w:t>
      </w:r>
      <w:r w:rsidR="00DB2B60">
        <w:t>make</w:t>
      </w:r>
      <w:r w:rsidR="00756EEA">
        <w:t xml:space="preserve"> </w:t>
      </w:r>
      <w:r w:rsidR="005067EE">
        <w:t xml:space="preserve">“big, life-altering </w:t>
      </w:r>
      <w:r w:rsidR="00756EEA">
        <w:t>decisions</w:t>
      </w:r>
      <w:r w:rsidR="00DA18E1">
        <w:t>”</w:t>
      </w:r>
      <w:r w:rsidR="00756EEA">
        <w:t xml:space="preserve"> for themselves.</w:t>
      </w:r>
      <w:bookmarkStart w:id="10" w:name="_Ref184806241"/>
      <w:r w:rsidR="00A91F88">
        <w:rPr>
          <w:rStyle w:val="FootnoteReference"/>
        </w:rPr>
        <w:footnoteReference w:id="29"/>
      </w:r>
      <w:bookmarkEnd w:id="10"/>
      <w:r w:rsidR="00756EEA">
        <w:t xml:space="preserve"> The second is that </w:t>
      </w:r>
      <w:r w:rsidR="003E660D">
        <w:t xml:space="preserve">the choice to seek </w:t>
      </w:r>
      <w:r w:rsidR="00756EEA">
        <w:t xml:space="preserve">gender-affirming </w:t>
      </w:r>
      <w:r w:rsidR="00756EEA">
        <w:lastRenderedPageBreak/>
        <w:t>care is such a decision.</w:t>
      </w:r>
    </w:p>
    <w:p w14:paraId="52A0890F" w14:textId="77777777" w:rsidR="00ED4F46" w:rsidRDefault="00ED4F46" w:rsidP="001F51D7">
      <w:pPr>
        <w:ind w:firstLine="720"/>
      </w:pPr>
    </w:p>
    <w:p w14:paraId="11DDAEA6" w14:textId="658D735A" w:rsidR="00EF289D" w:rsidRDefault="0049572A" w:rsidP="001F51D7">
      <w:pPr>
        <w:ind w:firstLine="720"/>
      </w:pPr>
      <w:r>
        <w:t xml:space="preserve">I </w:t>
      </w:r>
      <w:r w:rsidR="002158E0">
        <w:t>return</w:t>
      </w:r>
      <w:r>
        <w:t xml:space="preserve"> to the first assumption in Part III of this essay. </w:t>
      </w:r>
      <w:r w:rsidR="002158E0">
        <w:t xml:space="preserve">In this Part, I </w:t>
      </w:r>
      <w:proofErr w:type="gramStart"/>
      <w:r w:rsidR="002158E0">
        <w:t>challenge</w:t>
      </w:r>
      <w:proofErr w:type="gramEnd"/>
      <w:r w:rsidR="002158E0">
        <w:t xml:space="preserve"> the second</w:t>
      </w:r>
      <w:r w:rsidR="004C73A2">
        <w:t>. That is, I contend that t</w:t>
      </w:r>
      <w:r w:rsidR="001B118B">
        <w:t xml:space="preserve">he choice to receive gender-affirming care is not a “big, life-altering” decision </w:t>
      </w:r>
      <w:r w:rsidR="008E553A">
        <w:t xml:space="preserve">in the way that FPA and other proponents of </w:t>
      </w:r>
      <w:r w:rsidR="00F567D6">
        <w:t xml:space="preserve">banning </w:t>
      </w:r>
      <w:r w:rsidR="008E553A">
        <w:t xml:space="preserve">gender-affirming care understand </w:t>
      </w:r>
      <w:r w:rsidR="0046495E">
        <w:t xml:space="preserve">it. </w:t>
      </w:r>
      <w:r w:rsidR="00F40563">
        <w:t>This is</w:t>
      </w:r>
      <w:r w:rsidR="00117BA3">
        <w:t xml:space="preserve"> </w:t>
      </w:r>
      <w:r w:rsidR="00F40563">
        <w:t>true on a factual level</w:t>
      </w:r>
      <w:r w:rsidR="00571DF3">
        <w:t>: Almost all</w:t>
      </w:r>
      <w:r w:rsidR="00117BA3">
        <w:t xml:space="preserve"> </w:t>
      </w:r>
      <w:r w:rsidR="00571DF3">
        <w:t>the consequences of</w:t>
      </w:r>
      <w:r w:rsidR="007500A1">
        <w:t xml:space="preserve"> the most common forms of gender-affirming care provided to young people are reversible.</w:t>
      </w:r>
      <w:r w:rsidR="007500A1">
        <w:rPr>
          <w:rStyle w:val="FootnoteReference"/>
        </w:rPr>
        <w:footnoteReference w:id="30"/>
      </w:r>
      <w:r w:rsidR="00117BA3">
        <w:t xml:space="preserve"> </w:t>
      </w:r>
      <w:r w:rsidR="00D30D09">
        <w:t>But it is also true on a deeper level</w:t>
      </w:r>
      <w:r w:rsidR="00EC030E">
        <w:t xml:space="preserve">, in the way that transgender people </w:t>
      </w:r>
      <w:proofErr w:type="gramStart"/>
      <w:r w:rsidR="00EC030E">
        <w:t>actually experience</w:t>
      </w:r>
      <w:proofErr w:type="gramEnd"/>
      <w:r w:rsidR="00EC030E">
        <w:t xml:space="preserve"> gender transition, one aspect of which may involve</w:t>
      </w:r>
      <w:r w:rsidR="008E7B91">
        <w:t xml:space="preserve"> seeking gender-affirming care. </w:t>
      </w:r>
    </w:p>
    <w:p w14:paraId="10B0721B" w14:textId="77777777" w:rsidR="00EF289D" w:rsidRDefault="00EF289D" w:rsidP="001F51D7">
      <w:pPr>
        <w:ind w:firstLine="720"/>
      </w:pPr>
    </w:p>
    <w:p w14:paraId="4DD1B970" w14:textId="5EC1CE79" w:rsidR="00B97359" w:rsidRDefault="00B97359" w:rsidP="00B97359">
      <w:pPr>
        <w:ind w:firstLine="720"/>
      </w:pPr>
      <w:r>
        <w:t xml:space="preserve">If the claim that gender transition is not a “big, life-altering decision” seems counterintuitive, it is likely due to the very term “gender transition.” The word </w:t>
      </w:r>
      <w:r w:rsidRPr="00CE0B76">
        <w:rPr>
          <w:i/>
          <w:iCs/>
        </w:rPr>
        <w:t>transition</w:t>
      </w:r>
      <w:r>
        <w:t xml:space="preserve"> usually implies a shift from </w:t>
      </w:r>
      <w:r w:rsidR="00A06108">
        <w:t>one distinct</w:t>
      </w:r>
      <w:r>
        <w:rPr>
          <w:i/>
          <w:iCs/>
        </w:rPr>
        <w:t xml:space="preserve"> </w:t>
      </w:r>
      <w:r>
        <w:t>condition to a different one.</w:t>
      </w:r>
      <w:r>
        <w:rPr>
          <w:rStyle w:val="FootnoteReference"/>
        </w:rPr>
        <w:footnoteReference w:id="31"/>
      </w:r>
      <w:r>
        <w:t xml:space="preserve"> For example, I recently transitioned from my previous job at NYU School of Law to my current job at St. John’s University School of Law. </w:t>
      </w:r>
      <w:r w:rsidR="00E673E2">
        <w:t xml:space="preserve">On May 31, I was an employee of NYU; on June 1, I was </w:t>
      </w:r>
      <w:r w:rsidR="00A06108">
        <w:t xml:space="preserve">no longer </w:t>
      </w:r>
      <w:r w:rsidR="00E673E2">
        <w:t xml:space="preserve">an employee </w:t>
      </w:r>
      <w:r w:rsidR="00A06108">
        <w:t>of NYU and instead became an employee of St. John’s.</w:t>
      </w:r>
      <w:r w:rsidR="00E673E2">
        <w:t xml:space="preserve"> </w:t>
      </w:r>
      <w:r>
        <w:t xml:space="preserve">I engage in a similar transition when I cross the line from my home state of Mississippi into Louisiana: One instant I am </w:t>
      </w:r>
      <w:r w:rsidR="00A06108">
        <w:t xml:space="preserve">physically present </w:t>
      </w:r>
      <w:r>
        <w:t>in one state and the next I am in the other</w:t>
      </w:r>
      <w:r w:rsidR="00A06108">
        <w:t>.</w:t>
      </w:r>
    </w:p>
    <w:p w14:paraId="01C3CE17" w14:textId="77777777" w:rsidR="00B97359" w:rsidRDefault="00B97359" w:rsidP="00B97359">
      <w:pPr>
        <w:ind w:firstLine="720"/>
      </w:pPr>
    </w:p>
    <w:p w14:paraId="76E8A243" w14:textId="57F5D353" w:rsidR="00B97359" w:rsidRDefault="00B97359" w:rsidP="001F51D7">
      <w:pPr>
        <w:ind w:firstLine="720"/>
      </w:pPr>
      <w:r>
        <w:t xml:space="preserve">By contrast, gender “transition” does not entail changing from a </w:t>
      </w:r>
      <w:r w:rsidR="00BE2ED1">
        <w:t>distinct</w:t>
      </w:r>
      <w:r>
        <w:t xml:space="preserve"> condition to a different one. Transgender people are never cisgender and thus do not transition from being cis to being trans.</w:t>
      </w:r>
      <w:r>
        <w:rPr>
          <w:rStyle w:val="FootnoteReference"/>
        </w:rPr>
        <w:footnoteReference w:id="32"/>
      </w:r>
      <w:r>
        <w:t xml:space="preserve"> Rather, gender transition is the decision to align one’s external gender presentation with one’s internal gender identity. It is not a decision to </w:t>
      </w:r>
      <w:r w:rsidRPr="00616F84">
        <w:rPr>
          <w:i/>
          <w:iCs/>
        </w:rPr>
        <w:t>become</w:t>
      </w:r>
      <w:r>
        <w:t xml:space="preserve"> something other than oneself but rather to </w:t>
      </w:r>
      <w:r w:rsidRPr="005B0C3B">
        <w:rPr>
          <w:i/>
          <w:iCs/>
        </w:rPr>
        <w:t xml:space="preserve">stop </w:t>
      </w:r>
      <w:r w:rsidRPr="00EA633F">
        <w:rPr>
          <w:i/>
          <w:iCs/>
        </w:rPr>
        <w:t>pretending to be</w:t>
      </w:r>
      <w:r>
        <w:t xml:space="preserve"> something other than </w:t>
      </w:r>
      <w:r>
        <w:lastRenderedPageBreak/>
        <w:t>oneself. The appropriate comparison is not to changing jobs or crossing state lines but to removing a mask or correcting a lie. I was never a man who decided to become a woman. I was a woman who finally decided to start living as one.</w:t>
      </w:r>
    </w:p>
    <w:p w14:paraId="5621128E" w14:textId="77777777" w:rsidR="00B97359" w:rsidRDefault="00B97359" w:rsidP="001F51D7">
      <w:pPr>
        <w:ind w:firstLine="720"/>
      </w:pPr>
    </w:p>
    <w:p w14:paraId="224C4289" w14:textId="5EE8E2B9" w:rsidR="00DE3F88" w:rsidRDefault="00B76056" w:rsidP="0035166D">
      <w:pPr>
        <w:pStyle w:val="Heading2"/>
      </w:pPr>
      <w:r>
        <w:t>Exogenous Criteria: Religious Conversion</w:t>
      </w:r>
    </w:p>
    <w:p w14:paraId="532BB0B2" w14:textId="77777777" w:rsidR="00DE3F88" w:rsidRDefault="00DE3F88" w:rsidP="001F51D7">
      <w:pPr>
        <w:ind w:firstLine="720"/>
      </w:pPr>
    </w:p>
    <w:p w14:paraId="06159EBB" w14:textId="25CE88A2" w:rsidR="00A15319" w:rsidRDefault="00C677B3" w:rsidP="001F51D7">
      <w:pPr>
        <w:ind w:firstLine="720"/>
      </w:pPr>
      <w:r>
        <w:t xml:space="preserve">Let me elaborate </w:t>
      </w:r>
      <w:r w:rsidR="00B218F0">
        <w:t xml:space="preserve">on </w:t>
      </w:r>
      <w:r>
        <w:t xml:space="preserve">this difference further by </w:t>
      </w:r>
      <w:r w:rsidR="00413F16">
        <w:t>contrasting</w:t>
      </w:r>
      <w:r w:rsidR="002F4E1E">
        <w:t xml:space="preserve"> gender transition </w:t>
      </w:r>
      <w:r w:rsidR="00413F16">
        <w:t>with</w:t>
      </w:r>
      <w:r w:rsidR="00AB6E0F">
        <w:t xml:space="preserve"> religious conversion.</w:t>
      </w:r>
      <w:r w:rsidR="00AB6E0F">
        <w:rPr>
          <w:rStyle w:val="FootnoteReference"/>
        </w:rPr>
        <w:footnoteReference w:id="33"/>
      </w:r>
      <w:r w:rsidR="00762C73">
        <w:t xml:space="preserve"> </w:t>
      </w:r>
      <w:r w:rsidR="00761BD4">
        <w:t>Religious conversion is a transition in the traditional sense</w:t>
      </w:r>
      <w:r w:rsidR="00B554DE">
        <w:t>: One is</w:t>
      </w:r>
      <w:r w:rsidR="003A3F4E">
        <w:t xml:space="preserve"> something other than an adherent </w:t>
      </w:r>
      <w:r w:rsidR="00401222">
        <w:t>one moment and becomes an adherent the next.</w:t>
      </w:r>
      <w:r w:rsidR="007B6317">
        <w:t xml:space="preserve"> Moreover, t</w:t>
      </w:r>
      <w:r w:rsidR="00754EAC">
        <w:t xml:space="preserve">he decision to </w:t>
      </w:r>
      <w:r w:rsidR="00027758">
        <w:t>adopt</w:t>
      </w:r>
      <w:r w:rsidR="00754EAC">
        <w:t xml:space="preserve"> a new </w:t>
      </w:r>
      <w:r w:rsidR="00AF5684">
        <w:t>f</w:t>
      </w:r>
      <w:r w:rsidR="001F1AE2">
        <w:t xml:space="preserve">aith is a </w:t>
      </w:r>
      <w:r w:rsidR="00027758">
        <w:t>commitment</w:t>
      </w:r>
      <w:r w:rsidR="001F1AE2">
        <w:t xml:space="preserve"> to conform one’s </w:t>
      </w:r>
      <w:r w:rsidR="00921AB4">
        <w:t xml:space="preserve">future </w:t>
      </w:r>
      <w:proofErr w:type="gramStart"/>
      <w:r w:rsidR="00C05D2B">
        <w:t>choices—</w:t>
      </w:r>
      <w:r w:rsidR="001749F1">
        <w:t>one’s</w:t>
      </w:r>
      <w:proofErr w:type="gramEnd"/>
      <w:r w:rsidR="001749F1">
        <w:t xml:space="preserve"> </w:t>
      </w:r>
      <w:r w:rsidR="00C05D2B">
        <w:t xml:space="preserve">words, actions, and in some cases even </w:t>
      </w:r>
      <w:r w:rsidR="00770249">
        <w:t xml:space="preserve">one’s </w:t>
      </w:r>
      <w:r w:rsidR="00C05D2B">
        <w:t>thoughts and feelings</w:t>
      </w:r>
      <w:r w:rsidR="00870722">
        <w:rPr>
          <w:rStyle w:val="FootnoteReference"/>
        </w:rPr>
        <w:footnoteReference w:id="34"/>
      </w:r>
      <w:r w:rsidR="00DB2BB9">
        <w:t>—to a set of external criter</w:t>
      </w:r>
      <w:r w:rsidR="00DF4D72">
        <w:t>ia</w:t>
      </w:r>
      <w:r w:rsidR="00053DD1">
        <w:t xml:space="preserve"> prescribe</w:t>
      </w:r>
      <w:r w:rsidR="00510FFD">
        <w:t>d by its doctrines.</w:t>
      </w:r>
      <w:r w:rsidR="00FD7463">
        <w:t xml:space="preserve"> </w:t>
      </w:r>
      <w:r w:rsidR="00D348EE">
        <w:t>W</w:t>
      </w:r>
      <w:r w:rsidR="00D4311D">
        <w:t xml:space="preserve">hile the choice of a particular </w:t>
      </w:r>
      <w:r w:rsidR="00D20EE4">
        <w:t>faith</w:t>
      </w:r>
      <w:r w:rsidR="00D4311D">
        <w:t xml:space="preserve"> ideally stems from a person’s conscience,</w:t>
      </w:r>
      <w:r w:rsidR="00D4311D">
        <w:rPr>
          <w:rStyle w:val="FootnoteReference"/>
        </w:rPr>
        <w:footnoteReference w:id="35"/>
      </w:r>
      <w:r w:rsidR="00D4311D">
        <w:t xml:space="preserve"> </w:t>
      </w:r>
      <w:r w:rsidR="00FD7463">
        <w:t xml:space="preserve">religious conversion </w:t>
      </w:r>
      <w:r w:rsidR="00D4311D">
        <w:t xml:space="preserve">itself </w:t>
      </w:r>
      <w:r w:rsidR="00FD1DBA">
        <w:t>consists of</w:t>
      </w:r>
      <w:r w:rsidR="00FD7463">
        <w:t xml:space="preserve"> a decision to subordinate one’s </w:t>
      </w:r>
      <w:r w:rsidR="00251B69">
        <w:t>internal</w:t>
      </w:r>
      <w:r w:rsidR="00FD7463">
        <w:t xml:space="preserve"> preferences </w:t>
      </w:r>
      <w:r w:rsidR="00FD1DBA">
        <w:t xml:space="preserve">to </w:t>
      </w:r>
      <w:r w:rsidR="002F6114">
        <w:t>criteria that are</w:t>
      </w:r>
      <w:r w:rsidR="00BA4DBF">
        <w:t xml:space="preserve"> </w:t>
      </w:r>
      <w:proofErr w:type="gramStart"/>
      <w:r w:rsidR="00BA4DBF">
        <w:rPr>
          <w:i/>
          <w:iCs/>
        </w:rPr>
        <w:t>exogenous</w:t>
      </w:r>
      <w:r w:rsidR="00BA4DBF">
        <w:t>—</w:t>
      </w:r>
      <w:proofErr w:type="gramEnd"/>
      <w:r w:rsidR="00BA4DBF">
        <w:t>that is, located</w:t>
      </w:r>
      <w:r w:rsidR="00B27C10">
        <w:t xml:space="preserve"> outside the self.</w:t>
      </w:r>
      <w:bookmarkStart w:id="11" w:name="_Ref174201469"/>
      <w:r w:rsidR="00B27C10">
        <w:rPr>
          <w:rStyle w:val="FootnoteReference"/>
        </w:rPr>
        <w:footnoteReference w:id="36"/>
      </w:r>
      <w:bookmarkEnd w:id="11"/>
      <w:r w:rsidR="00A05E97">
        <w:t xml:space="preserve"> </w:t>
      </w:r>
    </w:p>
    <w:p w14:paraId="239AE9B5" w14:textId="77777777" w:rsidR="00A15319" w:rsidRDefault="00A15319" w:rsidP="001F51D7">
      <w:pPr>
        <w:ind w:firstLine="720"/>
      </w:pPr>
    </w:p>
    <w:p w14:paraId="4E2522AE" w14:textId="04D2AE94" w:rsidR="002A3B9A" w:rsidRDefault="00B069F2" w:rsidP="001F51D7">
      <w:pPr>
        <w:ind w:firstLine="720"/>
      </w:pPr>
      <w:r>
        <w:t xml:space="preserve">Choosing the dictates of one’s faith </w:t>
      </w:r>
      <w:r w:rsidR="007D7B7B">
        <w:t>over</w:t>
      </w:r>
      <w:r>
        <w:t xml:space="preserve"> one’s subjective </w:t>
      </w:r>
      <w:r w:rsidR="000B6779">
        <w:t>desires is often difficult</w:t>
      </w:r>
      <w:r w:rsidR="00536682">
        <w:t>, as</w:t>
      </w:r>
      <w:r w:rsidR="00502781">
        <w:t xml:space="preserve"> t</w:t>
      </w:r>
      <w:r w:rsidR="00A15319">
        <w:t xml:space="preserve">he Apostle Paul </w:t>
      </w:r>
      <w:r w:rsidR="00536682">
        <w:t>acknowledged</w:t>
      </w:r>
      <w:r w:rsidR="00823630">
        <w:t xml:space="preserve"> </w:t>
      </w:r>
      <w:r w:rsidR="0044567B">
        <w:t>in his letter to the early Christians in Rome</w:t>
      </w:r>
      <w:r w:rsidR="006A0D60">
        <w:t>:</w:t>
      </w:r>
    </w:p>
    <w:p w14:paraId="4334FCB9" w14:textId="77777777" w:rsidR="006A0D60" w:rsidRDefault="006A0D60" w:rsidP="001F51D7">
      <w:pPr>
        <w:ind w:firstLine="720"/>
      </w:pPr>
    </w:p>
    <w:p w14:paraId="60C76B25" w14:textId="77777777" w:rsidR="00B32E7B" w:rsidRPr="003D0EC0" w:rsidRDefault="00B32E7B" w:rsidP="00B32E7B">
      <w:pPr>
        <w:ind w:left="1080" w:firstLine="0"/>
        <w:rPr>
          <w:sz w:val="21"/>
          <w:szCs w:val="21"/>
        </w:rPr>
      </w:pPr>
      <w:r w:rsidRPr="003D0EC0">
        <w:rPr>
          <w:sz w:val="21"/>
          <w:szCs w:val="21"/>
        </w:rPr>
        <w:lastRenderedPageBreak/>
        <w:t>I do not understand what I do. For what I want to do I do not do, but what I hate I do. And if I do what I do not want to do, I agree that the law is good</w:t>
      </w:r>
      <w:r>
        <w:rPr>
          <w:sz w:val="21"/>
          <w:szCs w:val="21"/>
        </w:rPr>
        <w:t xml:space="preserve"> </w:t>
      </w:r>
      <w:proofErr w:type="gramStart"/>
      <w:r>
        <w:rPr>
          <w:sz w:val="21"/>
          <w:szCs w:val="21"/>
        </w:rPr>
        <w:t>. . . .</w:t>
      </w:r>
      <w:proofErr w:type="gramEnd"/>
      <w:r>
        <w:rPr>
          <w:sz w:val="21"/>
          <w:szCs w:val="21"/>
        </w:rPr>
        <w:t xml:space="preserve"> </w:t>
      </w:r>
      <w:r w:rsidRPr="003D0EC0">
        <w:rPr>
          <w:sz w:val="21"/>
          <w:szCs w:val="21"/>
        </w:rPr>
        <w:t>For I have the desire to do what is good, but I cannot carry it out.</w:t>
      </w:r>
      <w:r w:rsidRPr="00EE2DAC">
        <w:rPr>
          <w:sz w:val="21"/>
          <w:szCs w:val="21"/>
        </w:rPr>
        <w:t xml:space="preserve"> </w:t>
      </w:r>
      <w:r w:rsidRPr="003D0EC0">
        <w:rPr>
          <w:sz w:val="21"/>
          <w:szCs w:val="21"/>
        </w:rPr>
        <w:t>For I do not do the good I want to do, but the evil I do not want to do—this I keep on doing</w:t>
      </w:r>
      <w:r>
        <w:rPr>
          <w:sz w:val="21"/>
          <w:szCs w:val="21"/>
        </w:rPr>
        <w:t xml:space="preserve"> </w:t>
      </w:r>
      <w:proofErr w:type="gramStart"/>
      <w:r>
        <w:rPr>
          <w:sz w:val="21"/>
          <w:szCs w:val="21"/>
        </w:rPr>
        <w:t>. . . .</w:t>
      </w:r>
      <w:proofErr w:type="gramEnd"/>
      <w:r>
        <w:rPr>
          <w:sz w:val="21"/>
          <w:szCs w:val="21"/>
        </w:rPr>
        <w:t xml:space="preserve"> </w:t>
      </w:r>
      <w:r w:rsidRPr="003D0EC0">
        <w:rPr>
          <w:sz w:val="21"/>
          <w:szCs w:val="21"/>
        </w:rPr>
        <w:t>What a wretched man I am!</w:t>
      </w:r>
      <w:r>
        <w:rPr>
          <w:rStyle w:val="FootnoteReference"/>
          <w:sz w:val="21"/>
          <w:szCs w:val="21"/>
        </w:rPr>
        <w:footnoteReference w:id="37"/>
      </w:r>
    </w:p>
    <w:p w14:paraId="6549A0C5" w14:textId="77777777" w:rsidR="006A0D60" w:rsidRDefault="006A0D60" w:rsidP="001F51D7">
      <w:pPr>
        <w:ind w:firstLine="720"/>
      </w:pPr>
    </w:p>
    <w:p w14:paraId="4CB04C62" w14:textId="07ABBBFE" w:rsidR="001F51D7" w:rsidRDefault="0081096B" w:rsidP="001F51D7">
      <w:pPr>
        <w:ind w:firstLine="720"/>
      </w:pPr>
      <w:r>
        <w:t>T</w:t>
      </w:r>
      <w:r w:rsidR="00136209">
        <w:t xml:space="preserve">o </w:t>
      </w:r>
      <w:r w:rsidR="007D7B7B">
        <w:t xml:space="preserve">avoid being in the same wretched boat </w:t>
      </w:r>
      <w:r w:rsidR="00417331">
        <w:t>as Paul</w:t>
      </w:r>
      <w:r w:rsidR="00246708">
        <w:t xml:space="preserve">, </w:t>
      </w:r>
      <w:r w:rsidR="00675CD3">
        <w:t xml:space="preserve">believers </w:t>
      </w:r>
      <w:r w:rsidR="0001419B">
        <w:t>engage in various disciplines,</w:t>
      </w:r>
      <w:bookmarkStart w:id="12" w:name="_Ref172818201"/>
      <w:r w:rsidR="0001419B">
        <w:rPr>
          <w:rStyle w:val="FootnoteReference"/>
        </w:rPr>
        <w:footnoteReference w:id="38"/>
      </w:r>
      <w:bookmarkEnd w:id="12"/>
      <w:r w:rsidR="0001419B">
        <w:t xml:space="preserve"> such as studying primary and secondary </w:t>
      </w:r>
      <w:r w:rsidR="00B2502A">
        <w:t xml:space="preserve">religious </w:t>
      </w:r>
      <w:r w:rsidR="0001419B">
        <w:t>texts,</w:t>
      </w:r>
      <w:r w:rsidR="0001419B">
        <w:rPr>
          <w:rStyle w:val="FootnoteReference"/>
        </w:rPr>
        <w:footnoteReference w:id="39"/>
      </w:r>
      <w:r w:rsidR="0001419B">
        <w:t xml:space="preserve"> submitting to discipleship by more experienced members of the faith,</w:t>
      </w:r>
      <w:r w:rsidR="0001419B">
        <w:rPr>
          <w:rStyle w:val="FootnoteReference"/>
        </w:rPr>
        <w:footnoteReference w:id="40"/>
      </w:r>
      <w:r w:rsidR="0001419B">
        <w:t xml:space="preserve"> or set</w:t>
      </w:r>
      <w:r w:rsidR="00925A0F">
        <w:t>ting</w:t>
      </w:r>
      <w:r w:rsidR="0001419B">
        <w:t xml:space="preserve"> up accountability systems to identify and correct behavioral deviations.</w:t>
      </w:r>
      <w:r w:rsidR="0001419B">
        <w:rPr>
          <w:rStyle w:val="FootnoteReference"/>
        </w:rPr>
        <w:footnoteReference w:id="41"/>
      </w:r>
      <w:r w:rsidR="00F37DD7">
        <w:t xml:space="preserve"> </w:t>
      </w:r>
      <w:r w:rsidR="0034056C">
        <w:t xml:space="preserve">As </w:t>
      </w:r>
      <w:r w:rsidR="00966645">
        <w:t xml:space="preserve">the </w:t>
      </w:r>
      <w:r w:rsidR="0037722A">
        <w:t>term</w:t>
      </w:r>
      <w:r w:rsidR="0034056C">
        <w:t xml:space="preserve"> </w:t>
      </w:r>
      <w:r w:rsidR="006800C3">
        <w:t>“discipline”</w:t>
      </w:r>
      <w:r w:rsidR="00966645">
        <w:t xml:space="preserve"> suggests</w:t>
      </w:r>
      <w:r w:rsidR="0037722A">
        <w:t>,</w:t>
      </w:r>
      <w:r w:rsidR="006800C3">
        <w:t xml:space="preserve"> the point </w:t>
      </w:r>
      <w:r w:rsidR="008573BA">
        <w:t xml:space="preserve">of these religious practices is to </w:t>
      </w:r>
      <w:r w:rsidR="0037722A">
        <w:t xml:space="preserve">impose an external order upon </w:t>
      </w:r>
      <w:r w:rsidR="00DE3F13">
        <w:t>believers’ behavior</w:t>
      </w:r>
      <w:r w:rsidR="00CC42EB">
        <w:t xml:space="preserve"> and ultimately </w:t>
      </w:r>
      <w:r w:rsidR="00F14D4D">
        <w:t xml:space="preserve">upon </w:t>
      </w:r>
      <w:r w:rsidR="00CC42EB">
        <w:t>their internal selves</w:t>
      </w:r>
      <w:r w:rsidR="0020399F">
        <w:t>.</w:t>
      </w:r>
      <w:r w:rsidR="00EE203E">
        <w:rPr>
          <w:rStyle w:val="FootnoteReference"/>
        </w:rPr>
        <w:footnoteReference w:id="42"/>
      </w:r>
      <w:r w:rsidR="0020399F">
        <w:t xml:space="preserve"> In the words of Protestant minister Richard Foster, “</w:t>
      </w:r>
      <w:r w:rsidR="00DD47FD">
        <w:t>The purpose of the Spiritual Disciplines is the total transformation of the person.”</w:t>
      </w:r>
      <w:r w:rsidR="00B36B70">
        <w:rPr>
          <w:rStyle w:val="FootnoteReference"/>
        </w:rPr>
        <w:footnoteReference w:id="43"/>
      </w:r>
    </w:p>
    <w:p w14:paraId="6C747E0B" w14:textId="77777777" w:rsidR="002954CC" w:rsidRDefault="002954CC" w:rsidP="00B32E7B">
      <w:pPr>
        <w:ind w:firstLine="0"/>
      </w:pPr>
    </w:p>
    <w:p w14:paraId="42B75058" w14:textId="1ECB085C" w:rsidR="001175F4" w:rsidRDefault="00446C97" w:rsidP="001D2503">
      <w:pPr>
        <w:ind w:firstLine="720"/>
      </w:pPr>
      <w:r>
        <w:t>C</w:t>
      </w:r>
      <w:r w:rsidR="00725C92">
        <w:t xml:space="preserve">onsider </w:t>
      </w:r>
      <w:r w:rsidR="00057B44">
        <w:t xml:space="preserve">one of the </w:t>
      </w:r>
      <w:r w:rsidR="00F053AC">
        <w:t>first</w:t>
      </w:r>
      <w:r w:rsidR="00057B44">
        <w:t xml:space="preserve"> major controversies</w:t>
      </w:r>
      <w:r w:rsidR="00F053AC">
        <w:t xml:space="preserve"> in the early Christian church: the permissibility of eating</w:t>
      </w:r>
      <w:r w:rsidR="00057B44">
        <w:t xml:space="preserve"> </w:t>
      </w:r>
      <w:r w:rsidR="00725C92">
        <w:t>meat sacrificed to pagan idols.</w:t>
      </w:r>
      <w:bookmarkStart w:id="13" w:name="_Ref172820809"/>
      <w:r w:rsidR="00252203">
        <w:rPr>
          <w:rStyle w:val="FootnoteReference"/>
        </w:rPr>
        <w:footnoteReference w:id="44"/>
      </w:r>
      <w:bookmarkEnd w:id="13"/>
      <w:r w:rsidR="00725C92">
        <w:t xml:space="preserve"> </w:t>
      </w:r>
      <w:r w:rsidR="00E50F90">
        <w:t xml:space="preserve">When Paul addressed the controversy in his first letter to the Christians in Corinth, </w:t>
      </w:r>
      <w:r w:rsidR="0000136A">
        <w:t xml:space="preserve">his readers’ subjective preferences about </w:t>
      </w:r>
      <w:r w:rsidR="00D25AC4">
        <w:t xml:space="preserve">eating sacrificial meat </w:t>
      </w:r>
      <w:r w:rsidR="00E663D6">
        <w:t>played no part in his argument</w:t>
      </w:r>
      <w:r w:rsidR="001A692B">
        <w:t>.</w:t>
      </w:r>
      <w:r w:rsidR="006B01F7">
        <w:rPr>
          <w:rStyle w:val="FootnoteReference"/>
        </w:rPr>
        <w:footnoteReference w:id="45"/>
      </w:r>
      <w:r w:rsidR="00664B72">
        <w:t xml:space="preserve"> </w:t>
      </w:r>
      <w:r w:rsidR="00506E2D">
        <w:t xml:space="preserve">Regardless of their differences of opinion on the subject, </w:t>
      </w:r>
      <w:r w:rsidR="00CC5CCD">
        <w:t>early Christians agreed that there was a single</w:t>
      </w:r>
      <w:r w:rsidR="00E0792A">
        <w:t>, objectively</w:t>
      </w:r>
      <w:r w:rsidR="00CC5CCD">
        <w:t xml:space="preserve"> correct </w:t>
      </w:r>
      <w:r w:rsidR="00CC5CCD">
        <w:lastRenderedPageBreak/>
        <w:t>answer</w:t>
      </w:r>
      <w:r w:rsidR="00E0792A">
        <w:t>: Either eating sacrificial meat was permissible or it was not</w:t>
      </w:r>
      <w:r w:rsidR="00EB5549">
        <w:t>.</w:t>
      </w:r>
      <w:r w:rsidR="00B85736">
        <w:rPr>
          <w:rStyle w:val="FootnoteReference"/>
        </w:rPr>
        <w:footnoteReference w:id="46"/>
      </w:r>
      <w:r w:rsidR="00CC5CCD">
        <w:t xml:space="preserve"> </w:t>
      </w:r>
      <w:r w:rsidR="00EB5549">
        <w:t xml:space="preserve">Moreover, </w:t>
      </w:r>
      <w:r w:rsidR="00402B4C">
        <w:t>all agreed that practicing</w:t>
      </w:r>
      <w:r w:rsidR="003E65EC">
        <w:t xml:space="preserve"> Christianity </w:t>
      </w:r>
      <w:r w:rsidR="00402B4C">
        <w:t xml:space="preserve">properly </w:t>
      </w:r>
      <w:r w:rsidR="00CB4200">
        <w:t xml:space="preserve">entailed conforming to that answer </w:t>
      </w:r>
      <w:r w:rsidR="00EB5549">
        <w:t xml:space="preserve">regardless of </w:t>
      </w:r>
      <w:r w:rsidR="009A24A8">
        <w:t>an individual Christian’s subjective preferences about eating sacrificial meat</w:t>
      </w:r>
      <w:r w:rsidR="0043336B">
        <w:t>.</w:t>
      </w:r>
      <w:r w:rsidR="00535BD2">
        <w:rPr>
          <w:rStyle w:val="FootnoteReference"/>
        </w:rPr>
        <w:footnoteReference w:id="47"/>
      </w:r>
      <w:r w:rsidR="00521D0D">
        <w:t xml:space="preserve"> </w:t>
      </w:r>
      <w:r w:rsidR="00B82E28">
        <w:t>I</w:t>
      </w:r>
      <w:r w:rsidR="009A24A8">
        <w:t xml:space="preserve">f </w:t>
      </w:r>
      <w:r w:rsidR="00D5579A">
        <w:t xml:space="preserve">eating sacrificial meat were </w:t>
      </w:r>
      <w:r w:rsidR="00CC6388">
        <w:t xml:space="preserve">deemed sinful and </w:t>
      </w:r>
      <w:r w:rsidR="009A24A8">
        <w:t xml:space="preserve">a Corinthian Christian </w:t>
      </w:r>
      <w:r w:rsidR="00B82E28">
        <w:t xml:space="preserve">passed a street vendor selling </w:t>
      </w:r>
      <w:r w:rsidR="0019191C">
        <w:t>shanks f</w:t>
      </w:r>
      <w:r w:rsidR="002B4E47">
        <w:t>rom a lamb sacrificed to Aphrodite,</w:t>
      </w:r>
      <w:r w:rsidR="002B4E47">
        <w:rPr>
          <w:rStyle w:val="FootnoteReference"/>
        </w:rPr>
        <w:footnoteReference w:id="48"/>
      </w:r>
      <w:r w:rsidR="002B4E47">
        <w:t xml:space="preserve"> </w:t>
      </w:r>
      <w:r w:rsidR="00390050">
        <w:t xml:space="preserve">the Christian would be expected to </w:t>
      </w:r>
      <w:r w:rsidR="00CC6388">
        <w:t>forego purchasing some</w:t>
      </w:r>
      <w:r w:rsidR="00761EFA">
        <w:t>—no matter how hungry she might be.</w:t>
      </w:r>
      <w:r w:rsidR="008D1006">
        <w:t xml:space="preserve"> </w:t>
      </w:r>
      <w:r w:rsidR="00A152A1">
        <w:t>Similarly,</w:t>
      </w:r>
      <w:r w:rsidR="00F76D8E">
        <w:t xml:space="preserve"> some contemporary</w:t>
      </w:r>
      <w:r w:rsidR="00A152A1">
        <w:t xml:space="preserve"> Christians experience </w:t>
      </w:r>
      <w:r w:rsidR="00DE3C19">
        <w:t xml:space="preserve">sexual desire toward members of their own gender but </w:t>
      </w:r>
      <w:r w:rsidR="007B14AD">
        <w:t xml:space="preserve">choose to </w:t>
      </w:r>
      <w:r w:rsidR="00DE3C19">
        <w:t>remain chaste because they believe that homosexuality is sinful.</w:t>
      </w:r>
      <w:bookmarkStart w:id="14" w:name="_Ref184893456"/>
      <w:r w:rsidR="00DE3C19">
        <w:rPr>
          <w:rStyle w:val="FootnoteReference"/>
        </w:rPr>
        <w:footnoteReference w:id="49"/>
      </w:r>
      <w:bookmarkEnd w:id="14"/>
    </w:p>
    <w:p w14:paraId="4737BF67" w14:textId="77777777" w:rsidR="00130482" w:rsidRDefault="00130482" w:rsidP="00B76056">
      <w:pPr>
        <w:ind w:firstLine="0"/>
      </w:pPr>
    </w:p>
    <w:p w14:paraId="14032C7C" w14:textId="308E4BF9" w:rsidR="00B76056" w:rsidRDefault="00B76056" w:rsidP="0035166D">
      <w:pPr>
        <w:pStyle w:val="Heading2"/>
      </w:pPr>
      <w:r>
        <w:t>Endogenous Criteria: Gender Transition</w:t>
      </w:r>
    </w:p>
    <w:p w14:paraId="7FDF0F8B" w14:textId="77777777" w:rsidR="00B76056" w:rsidRDefault="00B76056" w:rsidP="00B76056">
      <w:pPr>
        <w:ind w:firstLine="0"/>
      </w:pPr>
    </w:p>
    <w:p w14:paraId="59928658" w14:textId="4236B4AD" w:rsidR="00834EE8" w:rsidRDefault="00C24FF5" w:rsidP="00834EE8">
      <w:pPr>
        <w:ind w:firstLine="720"/>
      </w:pPr>
      <w:r>
        <w:t xml:space="preserve">While religious practice requires subordination of </w:t>
      </w:r>
      <w:r w:rsidR="00B85CC0">
        <w:t xml:space="preserve">individual </w:t>
      </w:r>
      <w:r w:rsidR="003F3FE5">
        <w:t>desires through discipline</w:t>
      </w:r>
      <w:r w:rsidR="00B85CC0">
        <w:t xml:space="preserve">, </w:t>
      </w:r>
      <w:r w:rsidR="003F3FE5">
        <w:t>subjective</w:t>
      </w:r>
      <w:r w:rsidR="008D0F5E">
        <w:t xml:space="preserve"> preferences </w:t>
      </w:r>
      <w:r w:rsidR="002F37D0">
        <w:t>supply</w:t>
      </w:r>
      <w:r w:rsidR="008D0F5E">
        <w:t xml:space="preserve"> the </w:t>
      </w:r>
      <w:r w:rsidR="00C301C0">
        <w:t>sole</w:t>
      </w:r>
      <w:r w:rsidR="008D0F5E">
        <w:t xml:space="preserve"> </w:t>
      </w:r>
      <w:r w:rsidR="008E2906">
        <w:t>consideration</w:t>
      </w:r>
      <w:r w:rsidR="00746CBF">
        <w:t xml:space="preserve"> during the process of gender transition.</w:t>
      </w:r>
      <w:r w:rsidR="008E2906">
        <w:t xml:space="preserve"> </w:t>
      </w:r>
      <w:r w:rsidR="000F7F2F">
        <w:t>In other words, while religious practice references exogenous decision-making criteria,</w:t>
      </w:r>
      <w:r w:rsidR="008204B2">
        <w:rPr>
          <w:rStyle w:val="FootnoteReference"/>
        </w:rPr>
        <w:footnoteReference w:id="50"/>
      </w:r>
      <w:r w:rsidR="000F7F2F">
        <w:t xml:space="preserve"> </w:t>
      </w:r>
      <w:r w:rsidR="00746CBF">
        <w:t>gender transition</w:t>
      </w:r>
      <w:r w:rsidR="000F7F2F">
        <w:t xml:space="preserve"> </w:t>
      </w:r>
      <w:r w:rsidR="00C32108">
        <w:t xml:space="preserve">references purely </w:t>
      </w:r>
      <w:r w:rsidR="00834EE8">
        <w:t>endogenous—that is, within the self</w:t>
      </w:r>
      <w:r w:rsidR="00834EE8">
        <w:rPr>
          <w:rStyle w:val="FootnoteReference"/>
        </w:rPr>
        <w:footnoteReference w:id="51"/>
      </w:r>
      <w:r w:rsidR="00834EE8">
        <w:t xml:space="preserve">—decision-making criteria. </w:t>
      </w:r>
      <w:r w:rsidR="00413982">
        <w:t xml:space="preserve">That is because </w:t>
      </w:r>
      <w:r w:rsidR="00031ADF">
        <w:t xml:space="preserve">unlike religion, gender has no external </w:t>
      </w:r>
      <w:r w:rsidR="006A74EC">
        <w:t xml:space="preserve">existence </w:t>
      </w:r>
      <w:r w:rsidR="00E70F2C">
        <w:t xml:space="preserve">beyond </w:t>
      </w:r>
      <w:r w:rsidR="000E16F4">
        <w:t xml:space="preserve">an individual’s subjective sense of </w:t>
      </w:r>
      <w:r w:rsidR="00301438">
        <w:t>who they are</w:t>
      </w:r>
      <w:r w:rsidR="005D3637">
        <w:t xml:space="preserve"> and what brings </w:t>
      </w:r>
      <w:r w:rsidR="005D3637">
        <w:lastRenderedPageBreak/>
        <w:t>them joy</w:t>
      </w:r>
      <w:r w:rsidR="00301438">
        <w:t>.</w:t>
      </w:r>
      <w:bookmarkStart w:id="15" w:name="_Ref184288923"/>
      <w:r w:rsidR="00301438">
        <w:rPr>
          <w:rStyle w:val="FootnoteReference"/>
        </w:rPr>
        <w:footnoteReference w:id="52"/>
      </w:r>
      <w:bookmarkEnd w:id="15"/>
      <w:r w:rsidR="00E70F2C">
        <w:t xml:space="preserve"> </w:t>
      </w:r>
      <w:r w:rsidR="003065F2">
        <w:t>T</w:t>
      </w:r>
      <w:r w:rsidR="00E42D87">
        <w:t>h</w:t>
      </w:r>
      <w:r w:rsidR="00C323EF">
        <w:t>is is the</w:t>
      </w:r>
      <w:r w:rsidR="00E42D87">
        <w:t xml:space="preserve"> truth </w:t>
      </w:r>
      <w:r w:rsidR="007424D1">
        <w:t>in</w:t>
      </w:r>
      <w:r w:rsidR="00E42D87">
        <w:t xml:space="preserve"> the </w:t>
      </w:r>
      <w:r w:rsidR="00836131">
        <w:t>second-wave-feminist</w:t>
      </w:r>
      <w:r w:rsidR="00E42D87">
        <w:t xml:space="preserve"> cliché that “gender is just a construct”</w:t>
      </w:r>
      <w:r w:rsidR="003065F2">
        <w:t>:</w:t>
      </w:r>
      <w:r w:rsidR="00E42D87">
        <w:t xml:space="preserve"> </w:t>
      </w:r>
      <w:r w:rsidR="003065F2">
        <w:t>I</w:t>
      </w:r>
      <w:r w:rsidR="0055113D">
        <w:t xml:space="preserve">ndividuals make choices </w:t>
      </w:r>
      <w:r w:rsidR="00D17E8A">
        <w:t>that society codes as gendered</w:t>
      </w:r>
      <w:r w:rsidR="00913836">
        <w:t xml:space="preserve">; </w:t>
      </w:r>
      <w:r w:rsidR="00F0419C">
        <w:t xml:space="preserve">individuals do not make choices </w:t>
      </w:r>
      <w:r w:rsidR="00F0419C" w:rsidRPr="00F73034">
        <w:t>because</w:t>
      </w:r>
      <w:r w:rsidR="00F0419C">
        <w:t xml:space="preserve"> </w:t>
      </w:r>
      <w:r w:rsidR="00B1433C">
        <w:t xml:space="preserve">of </w:t>
      </w:r>
      <w:r w:rsidR="00F0419C">
        <w:t>gender.</w:t>
      </w:r>
      <w:bookmarkStart w:id="16" w:name="_Ref174440204"/>
      <w:r w:rsidR="00B1433C">
        <w:rPr>
          <w:rStyle w:val="FootnoteReference"/>
        </w:rPr>
        <w:footnoteReference w:id="53"/>
      </w:r>
      <w:bookmarkEnd w:id="16"/>
      <w:r w:rsidR="00074C7B">
        <w:t xml:space="preserve"> </w:t>
      </w:r>
      <w:r w:rsidR="00D73DEE">
        <w:t xml:space="preserve">As Dorothy Sayers put it in </w:t>
      </w:r>
      <w:r w:rsidR="001D7AC9">
        <w:t>1938: “It is no good saying: ‘You are a little girl and therefore you ought to like dolls’; if the answer is, ‘But I don’t,’ there is no more to be said.”</w:t>
      </w:r>
      <w:bookmarkStart w:id="17" w:name="_Ref184807671"/>
      <w:r w:rsidR="00CA5392">
        <w:rPr>
          <w:rStyle w:val="FootnoteReference"/>
        </w:rPr>
        <w:footnoteReference w:id="54"/>
      </w:r>
      <w:bookmarkEnd w:id="17"/>
    </w:p>
    <w:p w14:paraId="506DDF39" w14:textId="77777777" w:rsidR="00A61752" w:rsidRDefault="00A61752" w:rsidP="00834EE8">
      <w:pPr>
        <w:ind w:firstLine="720"/>
      </w:pPr>
    </w:p>
    <w:p w14:paraId="42364816" w14:textId="5870B753" w:rsidR="00A61752" w:rsidRPr="008E1C2F" w:rsidRDefault="003745BF" w:rsidP="00834EE8">
      <w:pPr>
        <w:ind w:firstLine="720"/>
        <w:rPr>
          <w:b/>
          <w:bCs/>
        </w:rPr>
      </w:pPr>
      <w:r>
        <w:t xml:space="preserve">When </w:t>
      </w:r>
      <w:r w:rsidR="004B32DB">
        <w:t xml:space="preserve">a </w:t>
      </w:r>
      <w:r>
        <w:t xml:space="preserve">transgender </w:t>
      </w:r>
      <w:r w:rsidR="004B32DB">
        <w:t>person</w:t>
      </w:r>
      <w:r>
        <w:t xml:space="preserve"> </w:t>
      </w:r>
      <w:r w:rsidR="007F6B03">
        <w:t>make</w:t>
      </w:r>
      <w:r w:rsidR="004B32DB">
        <w:t>s</w:t>
      </w:r>
      <w:r w:rsidR="007F6B03">
        <w:t xml:space="preserve"> </w:t>
      </w:r>
      <w:r w:rsidR="004B32DB">
        <w:t xml:space="preserve">a </w:t>
      </w:r>
      <w:r w:rsidR="007F6B03">
        <w:t>choice that align</w:t>
      </w:r>
      <w:r w:rsidR="004B32DB">
        <w:t>s</w:t>
      </w:r>
      <w:r w:rsidR="007F6B03">
        <w:t xml:space="preserve"> with </w:t>
      </w:r>
      <w:r w:rsidR="004B32DB">
        <w:t>their</w:t>
      </w:r>
      <w:r w:rsidR="007F6B03">
        <w:t xml:space="preserve"> internal </w:t>
      </w:r>
      <w:r w:rsidR="00FA4EAE">
        <w:t xml:space="preserve">gender </w:t>
      </w:r>
      <w:r w:rsidR="007F6B03">
        <w:t>sense</w:t>
      </w:r>
      <w:r w:rsidR="004B32DB">
        <w:t xml:space="preserve">, </w:t>
      </w:r>
      <w:r w:rsidR="00DB4212">
        <w:t>especially early in their transition, they often experience a sensation called “gender euphoria.”</w:t>
      </w:r>
      <w:bookmarkStart w:id="18" w:name="_Ref174359613"/>
      <w:r w:rsidR="00A943A9">
        <w:rPr>
          <w:rStyle w:val="FootnoteReference"/>
        </w:rPr>
        <w:footnoteReference w:id="55"/>
      </w:r>
      <w:bookmarkEnd w:id="18"/>
      <w:r w:rsidR="00584EFE">
        <w:t xml:space="preserve"> </w:t>
      </w:r>
      <w:r w:rsidR="00DB5A14">
        <w:t>G</w:t>
      </w:r>
      <w:r w:rsidR="00AA78D8">
        <w:t>ender euphoria</w:t>
      </w:r>
      <w:r w:rsidR="00F61D0A">
        <w:t xml:space="preserve"> </w:t>
      </w:r>
      <w:r w:rsidR="00890EAB">
        <w:t>broadly refers to</w:t>
      </w:r>
      <w:r w:rsidR="00F61D0A">
        <w:t xml:space="preserve"> a </w:t>
      </w:r>
      <w:r w:rsidR="00C678BE">
        <w:t>spike of</w:t>
      </w:r>
      <w:r w:rsidR="0062381F">
        <w:t xml:space="preserve"> positive emotions </w:t>
      </w:r>
      <w:r w:rsidR="00092109">
        <w:t xml:space="preserve">caused by “a joyful feeling </w:t>
      </w:r>
      <w:r w:rsidR="00E54315">
        <w:t>of rightness</w:t>
      </w:r>
      <w:r w:rsidR="00BF4025">
        <w:t xml:space="preserve"> in one’s gender/sex.”</w:t>
      </w:r>
      <w:bookmarkStart w:id="19" w:name="_Ref174359596"/>
      <w:r w:rsidR="00BF4025">
        <w:rPr>
          <w:rStyle w:val="FootnoteReference"/>
        </w:rPr>
        <w:footnoteReference w:id="56"/>
      </w:r>
      <w:bookmarkEnd w:id="19"/>
      <w:r w:rsidR="002D1A31">
        <w:t xml:space="preserve"> </w:t>
      </w:r>
      <w:r w:rsidR="0078020F">
        <w:t xml:space="preserve">Common experiences that cause gender </w:t>
      </w:r>
      <w:r w:rsidR="0078020F">
        <w:lastRenderedPageBreak/>
        <w:t>euphoria include</w:t>
      </w:r>
      <w:r w:rsidR="00D9122E">
        <w:t xml:space="preserve"> feminizing or masculinizing one’s body, wearing gender-affirming clothes or makeup, being called by new (correct) names or pronouns, </w:t>
      </w:r>
      <w:r w:rsidR="00742209">
        <w:t>and—perhaps above all—being perceived as the correct gender by others.</w:t>
      </w:r>
      <w:r w:rsidR="00742209">
        <w:rPr>
          <w:rStyle w:val="FootnoteReference"/>
        </w:rPr>
        <w:footnoteReference w:id="57"/>
      </w:r>
      <w:r w:rsidR="008E1C2F">
        <w:t xml:space="preserve"> </w:t>
      </w:r>
      <w:r w:rsidR="001A36EF">
        <w:t xml:space="preserve">Gender euphoria may manifest </w:t>
      </w:r>
      <w:r w:rsidR="00CC650B">
        <w:t>as</w:t>
      </w:r>
      <w:r w:rsidR="0053480C">
        <w:t xml:space="preserve"> a rush of excitement, </w:t>
      </w:r>
      <w:r w:rsidR="00A21551">
        <w:t xml:space="preserve">an outburst of </w:t>
      </w:r>
      <w:r w:rsidR="0053480C">
        <w:t xml:space="preserve">giddy laughter, </w:t>
      </w:r>
      <w:r w:rsidR="0031082A">
        <w:t xml:space="preserve">a surge in confidence, </w:t>
      </w:r>
      <w:r w:rsidR="00A671E0">
        <w:t>or a quiet sense of contentedness.</w:t>
      </w:r>
      <w:r w:rsidR="00A671E0">
        <w:rPr>
          <w:rStyle w:val="FootnoteReference"/>
        </w:rPr>
        <w:footnoteReference w:id="58"/>
      </w:r>
      <w:r w:rsidR="00966BEE">
        <w:t xml:space="preserve"> </w:t>
      </w:r>
      <w:r w:rsidR="008E1C2F">
        <w:t>The warm flush of exuberance I experienced when I tried on a dress for the first time was</w:t>
      </w:r>
      <w:r w:rsidR="00A857FC">
        <w:t xml:space="preserve"> an experience of</w:t>
      </w:r>
      <w:r w:rsidR="008E1C2F">
        <w:t xml:space="preserve"> gender euphoria.</w:t>
      </w:r>
      <w:r w:rsidR="008E1C2F">
        <w:rPr>
          <w:rStyle w:val="FootnoteReference"/>
        </w:rPr>
        <w:footnoteReference w:id="59"/>
      </w:r>
    </w:p>
    <w:p w14:paraId="54FF19ED" w14:textId="77777777" w:rsidR="00834EE8" w:rsidRDefault="00834EE8" w:rsidP="001D2503">
      <w:pPr>
        <w:ind w:firstLine="720"/>
      </w:pPr>
    </w:p>
    <w:p w14:paraId="5F84D09E" w14:textId="6590C683" w:rsidR="005B206B" w:rsidRPr="00D61344" w:rsidRDefault="00A857FC" w:rsidP="001D2503">
      <w:pPr>
        <w:ind w:firstLine="720"/>
      </w:pPr>
      <w:r>
        <w:t xml:space="preserve">While “euphoria” suggests </w:t>
      </w:r>
      <w:r w:rsidR="00BB784A">
        <w:t>positive feelings of extraordinary intensity</w:t>
      </w:r>
      <w:r w:rsidR="006445E2">
        <w:t>,</w:t>
      </w:r>
      <w:bookmarkStart w:id="20" w:name="_Ref184289266"/>
      <w:r w:rsidR="003E6735">
        <w:rPr>
          <w:rStyle w:val="FootnoteReference"/>
        </w:rPr>
        <w:footnoteReference w:id="60"/>
      </w:r>
      <w:bookmarkEnd w:id="20"/>
      <w:r w:rsidR="00BB784A">
        <w:t xml:space="preserve"> </w:t>
      </w:r>
      <w:r w:rsidR="00FA443B">
        <w:t xml:space="preserve">I believe that </w:t>
      </w:r>
      <w:r w:rsidR="00160505">
        <w:t xml:space="preserve">gender euphoria </w:t>
      </w:r>
      <w:r w:rsidR="00A55E35">
        <w:t xml:space="preserve">constitutes </w:t>
      </w:r>
      <w:r w:rsidR="0031303A">
        <w:t>cisgender</w:t>
      </w:r>
      <w:r w:rsidR="00A55E35">
        <w:t xml:space="preserve"> people’s</w:t>
      </w:r>
      <w:r w:rsidR="00160505">
        <w:t xml:space="preserve"> everyday </w:t>
      </w:r>
      <w:r w:rsidR="00445069">
        <w:t xml:space="preserve">experience of gender. </w:t>
      </w:r>
      <w:r w:rsidR="00D2174B">
        <w:t>The difference is that cisgender people,</w:t>
      </w:r>
      <w:r w:rsidR="00072FD5">
        <w:t xml:space="preserve"> most of whom have</w:t>
      </w:r>
      <w:r w:rsidR="00D61344">
        <w:t xml:space="preserve"> rarely or never felt </w:t>
      </w:r>
      <w:r w:rsidR="00850EBC">
        <w:rPr>
          <w:i/>
          <w:iCs/>
        </w:rPr>
        <w:t>dys</w:t>
      </w:r>
      <w:r w:rsidR="00850EBC">
        <w:t>phoric about their gender</w:t>
      </w:r>
      <w:r w:rsidR="00D61344">
        <w:t>, have no baseline</w:t>
      </w:r>
      <w:r w:rsidR="00850EBC">
        <w:t xml:space="preserve"> of comparison</w:t>
      </w:r>
      <w:r w:rsidR="00945A04">
        <w:t xml:space="preserve">; </w:t>
      </w:r>
      <w:r w:rsidR="00B12D35">
        <w:t>the</w:t>
      </w:r>
      <w:r w:rsidR="00072FD5">
        <w:t>y take the</w:t>
      </w:r>
      <w:r w:rsidR="00B12D35">
        <w:t xml:space="preserve"> alignment between their internal </w:t>
      </w:r>
      <w:r w:rsidR="008B15BD">
        <w:t xml:space="preserve">gender </w:t>
      </w:r>
      <w:r w:rsidR="00B12D35">
        <w:t xml:space="preserve">sense </w:t>
      </w:r>
      <w:r w:rsidR="00636559">
        <w:t xml:space="preserve">and </w:t>
      </w:r>
      <w:r w:rsidR="0031303A">
        <w:t>others’ perception of their gender</w:t>
      </w:r>
      <w:r w:rsidR="00B72D94">
        <w:t xml:space="preserve"> </w:t>
      </w:r>
      <w:r w:rsidR="009B6E76">
        <w:t>for granted</w:t>
      </w:r>
      <w:r w:rsidR="00B72D94">
        <w:t>.</w:t>
      </w:r>
      <w:r w:rsidR="00C75A8F">
        <w:t xml:space="preserve"> </w:t>
      </w:r>
      <w:r w:rsidR="00EF0D71">
        <w:t xml:space="preserve">The intensity of </w:t>
      </w:r>
      <w:r w:rsidR="00E977BB">
        <w:t xml:space="preserve">transgender people’s first experiences of that alignment is largely </w:t>
      </w:r>
      <w:r w:rsidR="00A63265">
        <w:t>due to</w:t>
      </w:r>
      <w:r w:rsidR="00E977BB">
        <w:t xml:space="preserve"> its novelty, much as a starving person </w:t>
      </w:r>
      <w:r w:rsidR="006F75CF">
        <w:t xml:space="preserve">savors a simple meal </w:t>
      </w:r>
      <w:r w:rsidR="00441EAB">
        <w:t xml:space="preserve">in ways that </w:t>
      </w:r>
      <w:r w:rsidR="0064737C">
        <w:t>a</w:t>
      </w:r>
      <w:r w:rsidR="006F75CF">
        <w:t xml:space="preserve"> satiated </w:t>
      </w:r>
      <w:r w:rsidR="0064737C">
        <w:t xml:space="preserve">person cannot understand. </w:t>
      </w:r>
      <w:r w:rsidR="00A17E1C">
        <w:t>T</w:t>
      </w:r>
      <w:r w:rsidR="006F0AEE">
        <w:t xml:space="preserve">he </w:t>
      </w:r>
      <w:r w:rsidR="002E51D4">
        <w:t>normality</w:t>
      </w:r>
      <w:r w:rsidR="006F0AEE">
        <w:t xml:space="preserve"> </w:t>
      </w:r>
      <w:r w:rsidR="00A17E1C">
        <w:t xml:space="preserve">of gender euphoria </w:t>
      </w:r>
      <w:r w:rsidR="00835408">
        <w:t xml:space="preserve">is further demonstrated by the fact that its intensity tends to fade </w:t>
      </w:r>
      <w:r w:rsidR="00FD5395">
        <w:t xml:space="preserve">as transgender people spend more time living </w:t>
      </w:r>
      <w:r w:rsidR="008B15BD">
        <w:t>in alignment with their internal gender sense</w:t>
      </w:r>
      <w:r w:rsidR="00FF515D">
        <w:t>.</w:t>
      </w:r>
      <w:r w:rsidR="00FF515D">
        <w:rPr>
          <w:rStyle w:val="FootnoteReference"/>
        </w:rPr>
        <w:footnoteReference w:id="61"/>
      </w:r>
    </w:p>
    <w:p w14:paraId="24022561" w14:textId="77777777" w:rsidR="005B206B" w:rsidRDefault="005B206B" w:rsidP="001D2503">
      <w:pPr>
        <w:ind w:firstLine="720"/>
      </w:pPr>
    </w:p>
    <w:p w14:paraId="02AFEC04" w14:textId="5DF656B4" w:rsidR="00BA32AE" w:rsidRDefault="00FE4F6A" w:rsidP="001D2503">
      <w:pPr>
        <w:ind w:firstLine="720"/>
      </w:pPr>
      <w:r>
        <w:t>The crucial difference between cisgender people and transgender people is that society</w:t>
      </w:r>
      <w:r w:rsidR="00323E2F">
        <w:t>’s</w:t>
      </w:r>
      <w:r>
        <w:t xml:space="preserve"> </w:t>
      </w:r>
      <w:r w:rsidR="00305486">
        <w:t>assum</w:t>
      </w:r>
      <w:r w:rsidR="00323E2F">
        <w:t>ptions and expectations about</w:t>
      </w:r>
      <w:r>
        <w:t xml:space="preserve"> </w:t>
      </w:r>
      <w:r w:rsidR="00305486">
        <w:t xml:space="preserve">the internal </w:t>
      </w:r>
      <w:r w:rsidR="00305486">
        <w:lastRenderedPageBreak/>
        <w:t xml:space="preserve">gender sense </w:t>
      </w:r>
      <w:r w:rsidR="00CB281B">
        <w:t>of</w:t>
      </w:r>
      <w:r w:rsidR="00305486">
        <w:t xml:space="preserve"> cisgender people </w:t>
      </w:r>
      <w:r w:rsidR="00323E2F">
        <w:t>are largely correct</w:t>
      </w:r>
      <w:r w:rsidR="00FB4EE9">
        <w:t>,</w:t>
      </w:r>
      <w:r w:rsidR="00323E2F">
        <w:t xml:space="preserve"> </w:t>
      </w:r>
      <w:r w:rsidR="00CB281B">
        <w:t xml:space="preserve">while </w:t>
      </w:r>
      <w:r w:rsidR="00295743">
        <w:t>society’s expectations and assumptions about the internal gender sense of</w:t>
      </w:r>
      <w:r w:rsidR="00CB281B">
        <w:t xml:space="preserve"> transgender people are largely incorrect.</w:t>
      </w:r>
      <w:r w:rsidR="005A4044">
        <w:t xml:space="preserve"> </w:t>
      </w:r>
      <w:r w:rsidR="00563228">
        <w:t xml:space="preserve">This is called </w:t>
      </w:r>
      <w:r w:rsidR="00563228">
        <w:rPr>
          <w:i/>
          <w:iCs/>
        </w:rPr>
        <w:t>cisnormativity</w:t>
      </w:r>
      <w:r w:rsidR="00563228">
        <w:t>.</w:t>
      </w:r>
      <w:r w:rsidR="00563228">
        <w:rPr>
          <w:rStyle w:val="FootnoteReference"/>
        </w:rPr>
        <w:footnoteReference w:id="62"/>
      </w:r>
      <w:r w:rsidR="00C279A4">
        <w:t xml:space="preserve"> </w:t>
      </w:r>
      <w:r w:rsidR="00B86E40">
        <w:t xml:space="preserve">Thus, gender transition is not the decision to adopt a new gender in the way </w:t>
      </w:r>
      <w:r w:rsidR="008335F9">
        <w:t>one adopts a new religion.</w:t>
      </w:r>
      <w:r w:rsidR="008335F9">
        <w:rPr>
          <w:rStyle w:val="FootnoteReference"/>
        </w:rPr>
        <w:footnoteReference w:id="63"/>
      </w:r>
      <w:r w:rsidR="008335F9">
        <w:t xml:space="preserve"> It is rather a decision to stop </w:t>
      </w:r>
      <w:r w:rsidR="00276DCC">
        <w:t xml:space="preserve">attempting to conform to society’s incorrect assumptions </w:t>
      </w:r>
      <w:r w:rsidR="00B942C3">
        <w:t>and begin living—as cisgender people do—according to one’s internal gender sense.</w:t>
      </w:r>
      <w:bookmarkStart w:id="21" w:name="_Ref184289268"/>
      <w:r w:rsidR="00DC51AB">
        <w:rPr>
          <w:rStyle w:val="FootnoteReference"/>
        </w:rPr>
        <w:footnoteReference w:id="64"/>
      </w:r>
      <w:bookmarkEnd w:id="21"/>
      <w:r w:rsidR="003B3A5B">
        <w:t xml:space="preserve"> </w:t>
      </w:r>
    </w:p>
    <w:p w14:paraId="196D14DC" w14:textId="77777777" w:rsidR="00EF4172" w:rsidRDefault="00EF4172" w:rsidP="001D2503">
      <w:pPr>
        <w:ind w:firstLine="720"/>
      </w:pPr>
    </w:p>
    <w:p w14:paraId="6ED3EBFC" w14:textId="421D1C38" w:rsidR="006B7BF1" w:rsidRDefault="00695C66" w:rsidP="001D2503">
      <w:pPr>
        <w:ind w:firstLine="720"/>
      </w:pPr>
      <w:r>
        <w:t xml:space="preserve">In </w:t>
      </w:r>
      <w:r>
        <w:rPr>
          <w:i/>
          <w:iCs/>
        </w:rPr>
        <w:t>Sister Citizen</w:t>
      </w:r>
      <w:r>
        <w:t xml:space="preserve">, Melissa Harris-Perry uses the metaphor of a “crooked room” to describe </w:t>
      </w:r>
      <w:r w:rsidR="002E1C2A">
        <w:t>how</w:t>
      </w:r>
      <w:r w:rsidR="0018165C">
        <w:t xml:space="preserve"> cultural myths </w:t>
      </w:r>
      <w:r w:rsidR="00422B6C">
        <w:t>distort</w:t>
      </w:r>
      <w:r w:rsidR="00D83D05">
        <w:t xml:space="preserve"> Black women</w:t>
      </w:r>
      <w:r w:rsidR="008862A9">
        <w:t>’s</w:t>
      </w:r>
      <w:r w:rsidR="00D83D05">
        <w:t xml:space="preserve"> </w:t>
      </w:r>
      <w:r w:rsidR="008862A9">
        <w:t>perception</w:t>
      </w:r>
      <w:r w:rsidR="00D83D05">
        <w:t xml:space="preserve"> and </w:t>
      </w:r>
      <w:r w:rsidR="008862A9">
        <w:t>presentation of</w:t>
      </w:r>
      <w:r w:rsidR="00D83D05">
        <w:t xml:space="preserve"> themselves</w:t>
      </w:r>
      <w:r w:rsidR="00422B6C">
        <w:t>.</w:t>
      </w:r>
      <w:bookmarkStart w:id="22" w:name="_Ref184893341"/>
      <w:r w:rsidR="00422B6C">
        <w:rPr>
          <w:rStyle w:val="FootnoteReference"/>
        </w:rPr>
        <w:footnoteReference w:id="65"/>
      </w:r>
      <w:bookmarkEnd w:id="22"/>
      <w:r w:rsidR="007B2936">
        <w:t xml:space="preserve"> </w:t>
      </w:r>
      <w:r w:rsidR="00AC2DAB">
        <w:t xml:space="preserve">The metaphor references psychological studies </w:t>
      </w:r>
      <w:r w:rsidR="00172016">
        <w:t>demonstrating</w:t>
      </w:r>
      <w:r w:rsidR="00D67ECA">
        <w:t xml:space="preserve"> field dependence, </w:t>
      </w:r>
      <w:r w:rsidR="005B3B5A">
        <w:t>a phenomenon in which environmental cues influence humans</w:t>
      </w:r>
      <w:r w:rsidR="005477FC">
        <w:t>’ spatial awareness.</w:t>
      </w:r>
      <w:r w:rsidR="005477FC">
        <w:rPr>
          <w:rStyle w:val="FootnoteReference"/>
        </w:rPr>
        <w:footnoteReference w:id="66"/>
      </w:r>
      <w:r w:rsidR="00172016">
        <w:t xml:space="preserve"> </w:t>
      </w:r>
      <w:r w:rsidR="00DD3B65">
        <w:t>One</w:t>
      </w:r>
      <w:r w:rsidR="00F875EA">
        <w:t xml:space="preserve"> such</w:t>
      </w:r>
      <w:r w:rsidR="00DD3B65">
        <w:t xml:space="preserve"> study </w:t>
      </w:r>
      <w:r w:rsidR="00D771E2">
        <w:t>asked</w:t>
      </w:r>
      <w:r w:rsidR="00DD3B65">
        <w:t xml:space="preserve"> participants</w:t>
      </w:r>
      <w:r w:rsidR="00D771E2">
        <w:t xml:space="preserve"> to sit up straight while seated</w:t>
      </w:r>
      <w:r w:rsidR="00DD3B65">
        <w:t xml:space="preserve"> in </w:t>
      </w:r>
      <w:r w:rsidR="00367465">
        <w:t xml:space="preserve">a crooked chair </w:t>
      </w:r>
      <w:r w:rsidR="00CA46EE">
        <w:t>in a room with crooked features</w:t>
      </w:r>
      <w:r w:rsidR="00D42997">
        <w:t xml:space="preserve">. </w:t>
      </w:r>
      <w:r w:rsidR="000828B6">
        <w:t xml:space="preserve">While some participants </w:t>
      </w:r>
      <w:r w:rsidR="00F875EA">
        <w:t xml:space="preserve">were able to align themselves vertically, others </w:t>
      </w:r>
      <w:r w:rsidR="00854E10">
        <w:t>insisted they were</w:t>
      </w:r>
      <w:r w:rsidR="00F875EA">
        <w:t xml:space="preserve"> sitting up straight </w:t>
      </w:r>
      <w:r w:rsidR="00854E10">
        <w:t>while</w:t>
      </w:r>
      <w:r w:rsidR="00EA512E">
        <w:t xml:space="preserve"> leaning as much as thirty-five degrees.</w:t>
      </w:r>
      <w:r w:rsidR="00EA512E">
        <w:rPr>
          <w:rStyle w:val="FootnoteReference"/>
        </w:rPr>
        <w:footnoteReference w:id="67"/>
      </w:r>
      <w:r w:rsidR="008A05E6">
        <w:t xml:space="preserve"> </w:t>
      </w:r>
      <w:r w:rsidR="00DB395D">
        <w:t xml:space="preserve">Participants’ </w:t>
      </w:r>
      <w:r w:rsidR="00833D38">
        <w:t xml:space="preserve">differing </w:t>
      </w:r>
      <w:r w:rsidR="00DB395D">
        <w:t xml:space="preserve">reference </w:t>
      </w:r>
      <w:r w:rsidR="00833D38">
        <w:t>points</w:t>
      </w:r>
      <w:r w:rsidR="00DB395D">
        <w:t xml:space="preserve"> for verticality distinguished the two groups</w:t>
      </w:r>
      <w:r w:rsidR="006803AD">
        <w:t>.</w:t>
      </w:r>
      <w:r w:rsidR="00FD3EB9">
        <w:t xml:space="preserve"> </w:t>
      </w:r>
      <w:r w:rsidR="004225A0">
        <w:t>Those who aligned themselves with the room’s features</w:t>
      </w:r>
      <w:r w:rsidR="00ED07F6">
        <w:t>—</w:t>
      </w:r>
      <w:r w:rsidR="00C8210E">
        <w:t>an</w:t>
      </w:r>
      <w:r w:rsidR="00ED07F6">
        <w:t xml:space="preserve"> </w:t>
      </w:r>
      <w:r w:rsidR="00ED07F6" w:rsidRPr="00ED07F6">
        <w:t>exogenous</w:t>
      </w:r>
      <w:r w:rsidR="00ED07F6">
        <w:t xml:space="preserve"> reference point—</w:t>
      </w:r>
      <w:r w:rsidR="00060189">
        <w:t>believed</w:t>
      </w:r>
      <w:r w:rsidR="00ED07F6">
        <w:t xml:space="preserve"> </w:t>
      </w:r>
      <w:r w:rsidR="00060189">
        <w:t xml:space="preserve">they were vertical despite </w:t>
      </w:r>
      <w:r w:rsidR="005A1CB0">
        <w:t>tilting</w:t>
      </w:r>
      <w:r w:rsidR="00ED07F6">
        <w:t>.</w:t>
      </w:r>
      <w:r w:rsidR="00060189">
        <w:t xml:space="preserve"> </w:t>
      </w:r>
      <w:r w:rsidR="001D5D98">
        <w:t>But</w:t>
      </w:r>
      <w:r w:rsidR="00060189">
        <w:t xml:space="preserve"> those who trusted thei</w:t>
      </w:r>
      <w:r w:rsidR="006C25DC">
        <w:t>r own internal sense of uprightness</w:t>
      </w:r>
      <w:r w:rsidR="001D5D98">
        <w:t>—the endogenous reference point</w:t>
      </w:r>
      <w:r w:rsidR="004905DC">
        <w:t>—</w:t>
      </w:r>
      <w:r w:rsidR="001D5D98">
        <w:t>w</w:t>
      </w:r>
      <w:r w:rsidR="00AA3769">
        <w:t>ere</w:t>
      </w:r>
      <w:r w:rsidR="004905DC">
        <w:t xml:space="preserve"> </w:t>
      </w:r>
      <w:r w:rsidR="00AA3769">
        <w:t>able to sit up straight</w:t>
      </w:r>
      <w:r w:rsidR="001D5D98">
        <w:t xml:space="preserve"> </w:t>
      </w:r>
      <w:r w:rsidR="001F0B1D">
        <w:t>despite</w:t>
      </w:r>
      <w:r w:rsidR="00F94D5F">
        <w:t xml:space="preserve"> the room</w:t>
      </w:r>
      <w:r w:rsidR="001F0B1D">
        <w:t>’s crooked features</w:t>
      </w:r>
      <w:r w:rsidR="00AA3769">
        <w:t>.</w:t>
      </w:r>
      <w:r w:rsidR="00AA3769">
        <w:rPr>
          <w:rStyle w:val="FootnoteReference"/>
        </w:rPr>
        <w:footnoteReference w:id="68"/>
      </w:r>
      <w:r w:rsidR="00774C92">
        <w:t xml:space="preserve"> </w:t>
      </w:r>
    </w:p>
    <w:p w14:paraId="4EE2C5F3" w14:textId="77777777" w:rsidR="006B7BF1" w:rsidRDefault="006B7BF1" w:rsidP="001D2503">
      <w:pPr>
        <w:ind w:firstLine="720"/>
      </w:pPr>
    </w:p>
    <w:p w14:paraId="3EFD4711" w14:textId="63E04274" w:rsidR="00FC45EA" w:rsidRPr="00131EB5" w:rsidRDefault="00774C92" w:rsidP="00AA0C4B">
      <w:pPr>
        <w:ind w:firstLine="720"/>
      </w:pPr>
      <w:r>
        <w:t xml:space="preserve">Similarly, Harris-Perry argues, Black women </w:t>
      </w:r>
      <w:r w:rsidR="00BE3D38">
        <w:t xml:space="preserve">must consciously disregard </w:t>
      </w:r>
      <w:r w:rsidR="009714CC">
        <w:t>warped stereotypes about their identities</w:t>
      </w:r>
      <w:r w:rsidR="0052595C">
        <w:t xml:space="preserve">—as </w:t>
      </w:r>
      <w:r w:rsidR="006A1CB5">
        <w:t>promiscuous “jezebels,”</w:t>
      </w:r>
      <w:r w:rsidR="006A1CB5">
        <w:rPr>
          <w:rStyle w:val="FootnoteReference"/>
        </w:rPr>
        <w:footnoteReference w:id="69"/>
      </w:r>
      <w:r w:rsidR="006A1CB5">
        <w:t xml:space="preserve"> nurturing “mammies,”</w:t>
      </w:r>
      <w:r w:rsidR="006A1CB5">
        <w:rPr>
          <w:rStyle w:val="FootnoteReference"/>
        </w:rPr>
        <w:footnoteReference w:id="70"/>
      </w:r>
      <w:r w:rsidR="00F70169">
        <w:t xml:space="preserve"> angry </w:t>
      </w:r>
      <w:r w:rsidR="000B2C0F">
        <w:t>“sapphires,”</w:t>
      </w:r>
      <w:r w:rsidR="000B2C0F">
        <w:rPr>
          <w:rStyle w:val="FootnoteReference"/>
        </w:rPr>
        <w:footnoteReference w:id="71"/>
      </w:r>
      <w:r w:rsidR="000B2C0F">
        <w:t xml:space="preserve"> or even </w:t>
      </w:r>
      <w:r w:rsidR="001E7AE6">
        <w:lastRenderedPageBreak/>
        <w:t>indomitable</w:t>
      </w:r>
      <w:r w:rsidR="00011FA7">
        <w:t xml:space="preserve"> “superwomen”</w:t>
      </w:r>
      <w:r w:rsidR="00D330ED">
        <w:rPr>
          <w:rStyle w:val="FootnoteReference"/>
        </w:rPr>
        <w:footnoteReference w:id="72"/>
      </w:r>
      <w:r w:rsidR="00011FA7">
        <w:t>—</w:t>
      </w:r>
      <w:r w:rsidR="001E7AE6">
        <w:t>to “sit up straight” and be</w:t>
      </w:r>
      <w:r w:rsidR="006C1DB0">
        <w:t>come</w:t>
      </w:r>
      <w:r w:rsidR="001E7AE6">
        <w:t xml:space="preserve"> </w:t>
      </w:r>
      <w:r w:rsidR="00A86C9B">
        <w:t>who they truly are as individuals.</w:t>
      </w:r>
      <w:r w:rsidR="00A86C9B">
        <w:rPr>
          <w:rStyle w:val="FootnoteReference"/>
        </w:rPr>
        <w:footnoteReference w:id="73"/>
      </w:r>
      <w:r w:rsidR="006B7BF1">
        <w:t xml:space="preserve"> Harris-Perry </w:t>
      </w:r>
      <w:r w:rsidR="00131EB5">
        <w:t xml:space="preserve">identifies Janie Mae Crawford, the heroine of Zora Neale Hurston’s 1937 novel </w:t>
      </w:r>
      <w:r w:rsidR="00131EB5">
        <w:rPr>
          <w:i/>
          <w:iCs/>
        </w:rPr>
        <w:t>Their Eyes Were Watching God</w:t>
      </w:r>
      <w:r w:rsidR="00131EB5">
        <w:t xml:space="preserve">, as an example of a Black woman who </w:t>
      </w:r>
      <w:r w:rsidR="00792827">
        <w:t>struggled to be and eventually became such an individual</w:t>
      </w:r>
      <w:r w:rsidR="00AA0C4B">
        <w:t xml:space="preserve">. </w:t>
      </w:r>
      <w:r w:rsidR="001D17CD">
        <w:t xml:space="preserve">“[B]y choosing her own burdens rather than allowing the burdens of others to be heaped on her back, Janie refutes her grandmother’s prophecy that </w:t>
      </w:r>
      <w:r w:rsidR="00887F66">
        <w:t>[</w:t>
      </w:r>
      <w:r w:rsidR="001D17CD">
        <w:t>B</w:t>
      </w:r>
      <w:r w:rsidR="00887F66">
        <w:t>]</w:t>
      </w:r>
      <w:r w:rsidR="001D17CD">
        <w:t xml:space="preserve">lack women are the mules of the world,” Harris-Perry writes. “Janie’s quest is about carving out a life that suits her authentic desires rather than conforming to the limiting, often soul-crushing </w:t>
      </w:r>
      <w:r w:rsidR="00544ADC">
        <w:t>expectations that others have of her.”</w:t>
      </w:r>
      <w:bookmarkStart w:id="23" w:name="_Ref184893355"/>
      <w:r w:rsidR="00544ADC">
        <w:rPr>
          <w:rStyle w:val="FootnoteReference"/>
        </w:rPr>
        <w:footnoteReference w:id="74"/>
      </w:r>
      <w:bookmarkEnd w:id="23"/>
      <w:r w:rsidR="00435E1D">
        <w:t xml:space="preserve"> </w:t>
      </w:r>
    </w:p>
    <w:p w14:paraId="36DB640E" w14:textId="77777777" w:rsidR="001175F4" w:rsidRDefault="001175F4" w:rsidP="001D2503">
      <w:pPr>
        <w:ind w:firstLine="720"/>
      </w:pPr>
    </w:p>
    <w:p w14:paraId="2A392BFE" w14:textId="659F0318" w:rsidR="001D2503" w:rsidRPr="00732462" w:rsidRDefault="00F55E61" w:rsidP="001D2503">
      <w:pPr>
        <w:ind w:firstLine="720"/>
      </w:pPr>
      <w:r>
        <w:t>For transgender people</w:t>
      </w:r>
      <w:r w:rsidR="00EC7769">
        <w:t xml:space="preserve">, </w:t>
      </w:r>
      <w:r>
        <w:t xml:space="preserve">gender transition is the </w:t>
      </w:r>
      <w:r w:rsidR="004D22DD">
        <w:t>effort</w:t>
      </w:r>
      <w:r>
        <w:t xml:space="preserve"> to sit up straight</w:t>
      </w:r>
      <w:r w:rsidR="00EC7769">
        <w:t xml:space="preserve"> </w:t>
      </w:r>
      <w:r>
        <w:t xml:space="preserve">in </w:t>
      </w:r>
      <w:r w:rsidR="004D22DD">
        <w:t>a</w:t>
      </w:r>
      <w:r>
        <w:t xml:space="preserve"> room</w:t>
      </w:r>
      <w:r w:rsidR="00804C95">
        <w:t xml:space="preserve"> made crooked by</w:t>
      </w:r>
      <w:r>
        <w:t xml:space="preserve"> society’s</w:t>
      </w:r>
      <w:r w:rsidR="003E256C">
        <w:t xml:space="preserve"> false</w:t>
      </w:r>
      <w:r>
        <w:t xml:space="preserve"> </w:t>
      </w:r>
      <w:r w:rsidR="00DD54BB">
        <w:t>assumptions and expectations about who we are.</w:t>
      </w:r>
      <w:r w:rsidR="00B7396B">
        <w:t xml:space="preserve"> It is </w:t>
      </w:r>
      <w:r w:rsidR="001A789C">
        <w:t>the</w:t>
      </w:r>
      <w:r w:rsidR="00B7396B">
        <w:t xml:space="preserve"> decision to seek joy.</w:t>
      </w:r>
      <w:r>
        <w:t xml:space="preserve"> </w:t>
      </w:r>
      <w:r w:rsidR="001D2503">
        <w:t xml:space="preserve">Angelica Ross, a Black trans woman actress and coder known for her roles on </w:t>
      </w:r>
      <w:r w:rsidR="00EC7769">
        <w:t xml:space="preserve">television </w:t>
      </w:r>
      <w:r w:rsidR="001D2503">
        <w:t xml:space="preserve">shows such as </w:t>
      </w:r>
      <w:r w:rsidR="00732462">
        <w:rPr>
          <w:i/>
          <w:iCs/>
        </w:rPr>
        <w:t>POSE</w:t>
      </w:r>
      <w:r w:rsidR="00732462">
        <w:t xml:space="preserve"> and </w:t>
      </w:r>
      <w:r w:rsidR="00732462">
        <w:rPr>
          <w:i/>
          <w:iCs/>
        </w:rPr>
        <w:t>American Horror Story</w:t>
      </w:r>
      <w:r w:rsidR="008632FE">
        <w:t>, puts it this way</w:t>
      </w:r>
      <w:r w:rsidR="00732462">
        <w:t>:</w:t>
      </w:r>
    </w:p>
    <w:p w14:paraId="6567578B" w14:textId="77777777" w:rsidR="001D2503" w:rsidRDefault="001D2503" w:rsidP="00037F62"/>
    <w:p w14:paraId="3CFACEE8" w14:textId="3FC757A5" w:rsidR="001E380A" w:rsidRPr="00501511" w:rsidRDefault="009A6CEA" w:rsidP="00501511">
      <w:pPr>
        <w:ind w:left="1080" w:firstLine="0"/>
        <w:rPr>
          <w:sz w:val="21"/>
          <w:szCs w:val="21"/>
        </w:rPr>
      </w:pPr>
      <w:r w:rsidRPr="00501511">
        <w:rPr>
          <w:sz w:val="21"/>
          <w:szCs w:val="21"/>
        </w:rPr>
        <w:t xml:space="preserve">The biggest misconception about trans people is that trans is a choice. It’s the biggest misconception because </w:t>
      </w:r>
      <w:r w:rsidRPr="00501511">
        <w:rPr>
          <w:i/>
          <w:iCs/>
          <w:sz w:val="21"/>
          <w:szCs w:val="21"/>
        </w:rPr>
        <w:t>it is</w:t>
      </w:r>
      <w:r w:rsidRPr="00501511">
        <w:rPr>
          <w:sz w:val="21"/>
          <w:szCs w:val="21"/>
        </w:rPr>
        <w:t xml:space="preserve"> a choice. And it’s hard to </w:t>
      </w:r>
      <w:proofErr w:type="gramStart"/>
      <w:r w:rsidRPr="00501511">
        <w:rPr>
          <w:sz w:val="21"/>
          <w:szCs w:val="21"/>
        </w:rPr>
        <w:t>understand that</w:t>
      </w:r>
      <w:proofErr w:type="gramEnd"/>
      <w:r w:rsidRPr="00501511">
        <w:rPr>
          <w:sz w:val="21"/>
          <w:szCs w:val="21"/>
        </w:rPr>
        <w:t xml:space="preserve"> when </w:t>
      </w:r>
      <w:r w:rsidR="00255072" w:rsidRPr="00501511">
        <w:rPr>
          <w:sz w:val="21"/>
          <w:szCs w:val="21"/>
        </w:rPr>
        <w:t xml:space="preserve">the choice I’m talking about is </w:t>
      </w:r>
      <w:r w:rsidR="00255072" w:rsidRPr="00501511">
        <w:rPr>
          <w:i/>
          <w:iCs/>
          <w:sz w:val="21"/>
          <w:szCs w:val="21"/>
        </w:rPr>
        <w:t>choosing yourself</w:t>
      </w:r>
      <w:r w:rsidR="00255072" w:rsidRPr="00501511">
        <w:rPr>
          <w:sz w:val="21"/>
          <w:szCs w:val="21"/>
        </w:rPr>
        <w:t xml:space="preserve">. That’s the choice. And you realize that there’s so many people who are not trans who are not choosing themselves in their everyday life. That’s </w:t>
      </w:r>
      <w:proofErr w:type="gramStart"/>
      <w:r w:rsidR="00255072" w:rsidRPr="00501511">
        <w:rPr>
          <w:sz w:val="21"/>
          <w:szCs w:val="21"/>
        </w:rPr>
        <w:t>the jealousy</w:t>
      </w:r>
      <w:proofErr w:type="gramEnd"/>
      <w:r w:rsidR="00255072" w:rsidRPr="00501511">
        <w:rPr>
          <w:sz w:val="21"/>
          <w:szCs w:val="21"/>
        </w:rPr>
        <w:t>. That’s the hatred</w:t>
      </w:r>
      <w:r w:rsidR="000C46BE" w:rsidRPr="00501511">
        <w:rPr>
          <w:sz w:val="21"/>
          <w:szCs w:val="21"/>
        </w:rPr>
        <w:t>, is people seeing trans people make a choice to choose themselves</w:t>
      </w:r>
      <w:r w:rsidR="00501511" w:rsidRPr="00501511">
        <w:rPr>
          <w:sz w:val="21"/>
          <w:szCs w:val="21"/>
        </w:rPr>
        <w:t>, and they can’t make the same choice for themselves. I don’t mean in the same way. I don’t mean that everybody wants to transition. But everybody wants to be free.</w:t>
      </w:r>
      <w:r w:rsidR="008504E6">
        <w:rPr>
          <w:rStyle w:val="FootnoteReference"/>
          <w:sz w:val="21"/>
          <w:szCs w:val="21"/>
        </w:rPr>
        <w:footnoteReference w:id="75"/>
      </w:r>
    </w:p>
    <w:p w14:paraId="0F036206" w14:textId="77777777" w:rsidR="00453356" w:rsidRDefault="00453356" w:rsidP="00834EE8">
      <w:pPr>
        <w:ind w:firstLine="0"/>
      </w:pPr>
    </w:p>
    <w:p w14:paraId="1A2F979C" w14:textId="2DF56991" w:rsidR="00E55372" w:rsidRDefault="000D470D" w:rsidP="00E55372">
      <w:pPr>
        <w:pStyle w:val="Heading1"/>
      </w:pPr>
      <w:r>
        <w:t xml:space="preserve">II. </w:t>
      </w:r>
      <w:r w:rsidR="00CF67B7">
        <w:t>Liberty As the Pursuit of Happiness</w:t>
      </w:r>
    </w:p>
    <w:p w14:paraId="2EE059F8" w14:textId="77777777" w:rsidR="000D470D" w:rsidRDefault="000D470D" w:rsidP="000D470D"/>
    <w:p w14:paraId="14535F98" w14:textId="7A09376D" w:rsidR="003F5E8E" w:rsidRDefault="00593A7B" w:rsidP="00E02511">
      <w:pPr>
        <w:ind w:firstLine="720"/>
      </w:pPr>
      <w:r>
        <w:t>The American legal tradition</w:t>
      </w:r>
      <w:r w:rsidR="00E93E48">
        <w:t xml:space="preserve"> </w:t>
      </w:r>
      <w:r w:rsidR="00126B0D">
        <w:t xml:space="preserve">is notoriously </w:t>
      </w:r>
      <w:r w:rsidR="009534B2">
        <w:t>suspicious</w:t>
      </w:r>
      <w:r w:rsidR="00E93E48">
        <w:t xml:space="preserve"> of human </w:t>
      </w:r>
      <w:r w:rsidR="00E93E48">
        <w:lastRenderedPageBreak/>
        <w:t>emotion</w:t>
      </w:r>
      <w:r w:rsidR="00404A2F">
        <w:t>s</w:t>
      </w:r>
      <w:r w:rsidR="00E93E48">
        <w:t>.</w:t>
      </w:r>
      <w:bookmarkStart w:id="24" w:name="_Ref174464901"/>
      <w:r w:rsidR="007067E9">
        <w:rPr>
          <w:rStyle w:val="FootnoteReference"/>
        </w:rPr>
        <w:footnoteReference w:id="76"/>
      </w:r>
      <w:bookmarkEnd w:id="24"/>
      <w:r w:rsidR="00523135">
        <w:t xml:space="preserve"> </w:t>
      </w:r>
      <w:r w:rsidR="00920614">
        <w:t xml:space="preserve">Judges are </w:t>
      </w:r>
      <w:r w:rsidR="003F72C8">
        <w:t xml:space="preserve">generally </w:t>
      </w:r>
      <w:r w:rsidR="00920614">
        <w:t xml:space="preserve">expected to </w:t>
      </w:r>
      <w:r w:rsidR="00AA3402">
        <w:t xml:space="preserve">treat </w:t>
      </w:r>
      <w:r w:rsidR="00200553">
        <w:t>both their own emotions</w:t>
      </w:r>
      <w:bookmarkStart w:id="25" w:name="_Ref174461723"/>
      <w:r w:rsidR="00DF5FF9">
        <w:rPr>
          <w:rStyle w:val="FootnoteReference"/>
        </w:rPr>
        <w:footnoteReference w:id="77"/>
      </w:r>
      <w:bookmarkEnd w:id="25"/>
      <w:r w:rsidR="00200553">
        <w:t xml:space="preserve"> and those of the parties</w:t>
      </w:r>
      <w:bookmarkStart w:id="26" w:name="_Ref178849787"/>
      <w:r w:rsidR="0095278F">
        <w:rPr>
          <w:rStyle w:val="FootnoteReference"/>
        </w:rPr>
        <w:footnoteReference w:id="78"/>
      </w:r>
      <w:bookmarkEnd w:id="26"/>
      <w:r w:rsidR="00200553">
        <w:t xml:space="preserve"> as </w:t>
      </w:r>
      <w:r w:rsidR="00ED5418">
        <w:t xml:space="preserve">irrelevant to </w:t>
      </w:r>
      <w:r w:rsidR="000A0B62">
        <w:t xml:space="preserve">the disposition of </w:t>
      </w:r>
      <w:r w:rsidR="00DF5FF9">
        <w:t>cases.</w:t>
      </w:r>
      <w:r w:rsidR="00C83CD6">
        <w:t xml:space="preserve"> </w:t>
      </w:r>
      <w:r w:rsidR="00976D3E">
        <w:t xml:space="preserve">This </w:t>
      </w:r>
      <w:r w:rsidR="009534B2">
        <w:t>suspicion</w:t>
      </w:r>
      <w:r w:rsidR="0006400C">
        <w:t xml:space="preserve"> </w:t>
      </w:r>
      <w:r w:rsidR="00F915E6">
        <w:t xml:space="preserve">stems from </w:t>
      </w:r>
      <w:r w:rsidR="006279CB">
        <w:t>Enlightenment</w:t>
      </w:r>
      <w:r w:rsidR="00807D1D">
        <w:t>-era</w:t>
      </w:r>
      <w:r w:rsidR="00455B44">
        <w:t xml:space="preserve"> behavioral</w:t>
      </w:r>
      <w:r w:rsidR="00E02B94">
        <w:t xml:space="preserve"> </w:t>
      </w:r>
      <w:r w:rsidR="00E54543">
        <w:t xml:space="preserve">theories </w:t>
      </w:r>
      <w:r w:rsidR="00DA0702">
        <w:t xml:space="preserve">that pitted </w:t>
      </w:r>
      <w:r w:rsidR="00E02B94">
        <w:t>reason</w:t>
      </w:r>
      <w:r w:rsidR="00464543">
        <w:t xml:space="preserve"> </w:t>
      </w:r>
      <w:r w:rsidR="00DA0702">
        <w:t xml:space="preserve">against </w:t>
      </w:r>
      <w:r w:rsidR="00DA4E46">
        <w:t>emotion</w:t>
      </w:r>
      <w:r w:rsidR="002049FE">
        <w:t xml:space="preserve">, enshrining the former as the guardian of </w:t>
      </w:r>
      <w:r w:rsidR="00D3316F">
        <w:t>justice and the latter as its enemy.</w:t>
      </w:r>
      <w:bookmarkStart w:id="27" w:name="_Ref174525394"/>
      <w:r w:rsidR="00D3316F">
        <w:rPr>
          <w:rStyle w:val="FootnoteReference"/>
        </w:rPr>
        <w:footnoteReference w:id="79"/>
      </w:r>
      <w:bookmarkEnd w:id="27"/>
      <w:r w:rsidR="0036590D">
        <w:t xml:space="preserve"> </w:t>
      </w:r>
      <w:r w:rsidR="00B438C6">
        <w:t>In a</w:t>
      </w:r>
      <w:r w:rsidR="008F34E4">
        <w:t xml:space="preserve"> system </w:t>
      </w:r>
      <w:r w:rsidR="00BD08DE">
        <w:t>built upon</w:t>
      </w:r>
      <w:r w:rsidR="007065AD">
        <w:t xml:space="preserve"> consistent</w:t>
      </w:r>
      <w:r w:rsidR="00AC2DAA">
        <w:t xml:space="preserve"> principles and rules designed to resolve similar cases in similar ways</w:t>
      </w:r>
      <w:r w:rsidR="00B438C6">
        <w:t>,</w:t>
      </w:r>
      <w:r w:rsidR="00405BE9">
        <w:rPr>
          <w:rStyle w:val="FootnoteReference"/>
        </w:rPr>
        <w:footnoteReference w:id="80"/>
      </w:r>
      <w:r w:rsidR="001F05C4">
        <w:t xml:space="preserve"> </w:t>
      </w:r>
      <w:r w:rsidR="00CC538A">
        <w:t>emotion</w:t>
      </w:r>
      <w:r w:rsidR="00B438C6">
        <w:t>’s high degree of</w:t>
      </w:r>
      <w:r w:rsidR="00041722">
        <w:t xml:space="preserve"> </w:t>
      </w:r>
      <w:r w:rsidR="00EA3CBB">
        <w:t>contingen</w:t>
      </w:r>
      <w:r w:rsidR="00B438C6">
        <w:t>c</w:t>
      </w:r>
      <w:r w:rsidR="00844D71">
        <w:t>y</w:t>
      </w:r>
      <w:r w:rsidR="00EA3CBB">
        <w:t xml:space="preserve"> and subjectiv</w:t>
      </w:r>
      <w:r w:rsidR="00B438C6">
        <w:t>ity</w:t>
      </w:r>
      <w:r w:rsidR="001946FD">
        <w:t xml:space="preserve"> tends to be disruptive</w:t>
      </w:r>
      <w:r w:rsidR="00EA3CBB">
        <w:t>.</w:t>
      </w:r>
      <w:r w:rsidR="0065343F">
        <w:rPr>
          <w:rStyle w:val="FootnoteReference"/>
        </w:rPr>
        <w:footnoteReference w:id="81"/>
      </w:r>
    </w:p>
    <w:p w14:paraId="1BBA6386" w14:textId="77777777" w:rsidR="00933418" w:rsidRDefault="00933418" w:rsidP="00E02511">
      <w:pPr>
        <w:ind w:firstLine="720"/>
      </w:pPr>
    </w:p>
    <w:p w14:paraId="1228670D" w14:textId="3801E8B1" w:rsidR="00933418" w:rsidRDefault="00DE7219" w:rsidP="00E02511">
      <w:pPr>
        <w:ind w:firstLine="720"/>
      </w:pPr>
      <w:r>
        <w:t xml:space="preserve">These concerns apply with special force in the realm of </w:t>
      </w:r>
      <w:r>
        <w:lastRenderedPageBreak/>
        <w:t xml:space="preserve">constitutional law, </w:t>
      </w:r>
      <w:r w:rsidR="00F84B35">
        <w:t xml:space="preserve">which </w:t>
      </w:r>
      <w:r w:rsidR="008E48F7">
        <w:t>is supposed to “advance rule-of-law values like stability, consistency, and predictability over time and across generations</w:t>
      </w:r>
      <w:r w:rsidR="00335FB4">
        <w:t>[.]”</w:t>
      </w:r>
      <w:r w:rsidR="00335FB4">
        <w:rPr>
          <w:rStyle w:val="FootnoteReference"/>
        </w:rPr>
        <w:footnoteReference w:id="82"/>
      </w:r>
      <w:r w:rsidR="007E2553">
        <w:t xml:space="preserve"> </w:t>
      </w:r>
      <w:r w:rsidR="00245B41">
        <w:t xml:space="preserve">Indeed, the Framers designed the Constitution </w:t>
      </w:r>
      <w:r w:rsidR="00C82C12">
        <w:t>with the explicit purpose of insulating governmental decision</w:t>
      </w:r>
      <w:r w:rsidR="00507671">
        <w:t>s</w:t>
      </w:r>
      <w:r w:rsidR="00C82C12">
        <w:t xml:space="preserve"> from </w:t>
      </w:r>
      <w:r w:rsidR="00193065">
        <w:t>the emotion</w:t>
      </w:r>
      <w:r w:rsidR="00D27491">
        <w:t>al whims</w:t>
      </w:r>
      <w:r w:rsidR="00193065">
        <w:t xml:space="preserve"> of</w:t>
      </w:r>
      <w:r w:rsidR="00236599">
        <w:t xml:space="preserve"> the people and their representatives</w:t>
      </w:r>
      <w:r w:rsidR="00C82C12">
        <w:t>.</w:t>
      </w:r>
      <w:r w:rsidR="0072640E">
        <w:rPr>
          <w:rStyle w:val="FootnoteReference"/>
        </w:rPr>
        <w:footnoteReference w:id="83"/>
      </w:r>
      <w:r w:rsidR="0012585F">
        <w:t xml:space="preserve"> </w:t>
      </w:r>
      <w:r w:rsidR="00D33EDD">
        <w:t>The Framers believed that d</w:t>
      </w:r>
      <w:r w:rsidR="0012585F">
        <w:t xml:space="preserve">ivorcing </w:t>
      </w:r>
      <w:r w:rsidR="00507671">
        <w:t>decisions from</w:t>
      </w:r>
      <w:r w:rsidR="007555BA">
        <w:t xml:space="preserve"> </w:t>
      </w:r>
      <w:r w:rsidR="00507671">
        <w:t xml:space="preserve">the personal emotions </w:t>
      </w:r>
      <w:r w:rsidR="007F76CC">
        <w:t xml:space="preserve">and private interests </w:t>
      </w:r>
      <w:r w:rsidR="00507671">
        <w:t xml:space="preserve">of the decision-maker </w:t>
      </w:r>
      <w:r w:rsidR="00713B62">
        <w:t xml:space="preserve">was the cornerstone of creating </w:t>
      </w:r>
      <w:r w:rsidR="00CC7109">
        <w:t xml:space="preserve">a government </w:t>
      </w:r>
      <w:r w:rsidR="00155DCB">
        <w:t>“</w:t>
      </w:r>
      <w:r w:rsidR="00CC7109">
        <w:t>of laws, not of men.”</w:t>
      </w:r>
      <w:r w:rsidR="00CC7109">
        <w:rPr>
          <w:rStyle w:val="FootnoteReference"/>
        </w:rPr>
        <w:footnoteReference w:id="84"/>
      </w:r>
    </w:p>
    <w:p w14:paraId="14823969" w14:textId="77777777" w:rsidR="00E02511" w:rsidRDefault="00E02511" w:rsidP="000D470D"/>
    <w:p w14:paraId="3EF0A2C6" w14:textId="660121D3" w:rsidR="000D470D" w:rsidRDefault="00E50F16" w:rsidP="00B6060B">
      <w:pPr>
        <w:ind w:firstLine="720"/>
      </w:pPr>
      <w:r>
        <w:t>Yet despite their well</w:t>
      </w:r>
      <w:r w:rsidR="00934E53">
        <w:t xml:space="preserve">-documented disdain of emotion, the Framers </w:t>
      </w:r>
      <w:r w:rsidR="00C956DA">
        <w:t>consistently</w:t>
      </w:r>
      <w:r w:rsidR="005C7B2A">
        <w:t xml:space="preserve"> </w:t>
      </w:r>
      <w:r w:rsidR="00C956DA">
        <w:t>emphasized the importance of one emotion in particular</w:t>
      </w:r>
      <w:r w:rsidR="00686FC0">
        <w:t>: happiness.</w:t>
      </w:r>
      <w:r w:rsidR="00934E53">
        <w:t xml:space="preserve"> </w:t>
      </w:r>
      <w:r w:rsidR="006A7480">
        <w:t xml:space="preserve">As every American schoolchild knows, Thomas Jefferson listed </w:t>
      </w:r>
      <w:r w:rsidR="00224CB6">
        <w:t xml:space="preserve">“the pursuit of happiness” among the </w:t>
      </w:r>
      <w:r w:rsidR="00B13A75">
        <w:t xml:space="preserve">inalienable rights with which all humans are self-evidently </w:t>
      </w:r>
      <w:r w:rsidR="00F97C65">
        <w:t>endowed.</w:t>
      </w:r>
      <w:r w:rsidR="00F97C65">
        <w:rPr>
          <w:rStyle w:val="FootnoteReference"/>
        </w:rPr>
        <w:footnoteReference w:id="85"/>
      </w:r>
      <w:r w:rsidR="00224CB6">
        <w:t xml:space="preserve"> </w:t>
      </w:r>
      <w:r w:rsidR="00F97C65">
        <w:t>But Jefferson was far from the only Framer</w:t>
      </w:r>
      <w:r w:rsidR="002069C3">
        <w:t xml:space="preserve"> who </w:t>
      </w:r>
      <w:r w:rsidR="005665A6">
        <w:t>centered</w:t>
      </w:r>
      <w:r w:rsidR="002069C3">
        <w:t xml:space="preserve"> happiness </w:t>
      </w:r>
      <w:r w:rsidR="005665A6">
        <w:t>in</w:t>
      </w:r>
      <w:r w:rsidR="002069C3">
        <w:t xml:space="preserve"> his political </w:t>
      </w:r>
      <w:r w:rsidR="001D0A00">
        <w:t>philosophy.</w:t>
      </w:r>
      <w:bookmarkStart w:id="28" w:name="_Ref174535572"/>
      <w:r w:rsidR="00A52CF9">
        <w:rPr>
          <w:rStyle w:val="FootnoteReference"/>
        </w:rPr>
        <w:footnoteReference w:id="86"/>
      </w:r>
      <w:bookmarkEnd w:id="28"/>
      <w:r w:rsidR="006E1056">
        <w:t xml:space="preserve"> </w:t>
      </w:r>
      <w:r w:rsidR="005665A6">
        <w:t xml:space="preserve">Unlike most </w:t>
      </w:r>
      <w:r w:rsidR="003B1EBB">
        <w:t xml:space="preserve">modern legal </w:t>
      </w:r>
      <w:r w:rsidR="00D24194">
        <w:t>actors,</w:t>
      </w:r>
      <w:r w:rsidR="005665A6">
        <w:t xml:space="preserve"> </w:t>
      </w:r>
      <w:r w:rsidR="00D24194">
        <w:t>t</w:t>
      </w:r>
      <w:r w:rsidR="00571C5A">
        <w:t>he Framers</w:t>
      </w:r>
      <w:r w:rsidR="00A63144">
        <w:t xml:space="preserve"> </w:t>
      </w:r>
      <w:r w:rsidR="00571C5A">
        <w:t>and the legal philosophers who inspired them</w:t>
      </w:r>
      <w:r w:rsidR="00A63144">
        <w:t xml:space="preserve"> </w:t>
      </w:r>
      <w:r w:rsidR="002F48B8">
        <w:t>understood</w:t>
      </w:r>
      <w:r w:rsidR="00B6060B">
        <w:t xml:space="preserve"> </w:t>
      </w:r>
      <w:r w:rsidR="004C2B18">
        <w:t xml:space="preserve">the </w:t>
      </w:r>
      <w:r w:rsidR="004B4D34">
        <w:t xml:space="preserve">freedom to pursue </w:t>
      </w:r>
      <w:r w:rsidR="00925B29">
        <w:t xml:space="preserve">one’s personal vision of </w:t>
      </w:r>
      <w:r w:rsidR="00D24194">
        <w:t>happiness</w:t>
      </w:r>
      <w:r w:rsidR="002F48B8">
        <w:t xml:space="preserve"> </w:t>
      </w:r>
      <w:r w:rsidR="00A63144">
        <w:t>to be both the point and the pinnacle of liberty</w:t>
      </w:r>
      <w:r w:rsidR="00D24194">
        <w:t>.</w:t>
      </w:r>
    </w:p>
    <w:p w14:paraId="3FC78931" w14:textId="77777777" w:rsidR="00D24194" w:rsidRDefault="00D24194" w:rsidP="00B6060B">
      <w:pPr>
        <w:ind w:firstLine="720"/>
      </w:pPr>
    </w:p>
    <w:p w14:paraId="0A6B9072" w14:textId="5203C32C" w:rsidR="00D24194" w:rsidRDefault="00D24194" w:rsidP="00B6060B">
      <w:pPr>
        <w:ind w:firstLine="720"/>
        <w:rPr>
          <w:iCs/>
        </w:rPr>
      </w:pPr>
      <w:r>
        <w:t xml:space="preserve">In this Part, </w:t>
      </w:r>
      <w:r>
        <w:rPr>
          <w:iCs/>
        </w:rPr>
        <w:t xml:space="preserve">I argue that </w:t>
      </w:r>
      <w:r w:rsidR="002F48B8">
        <w:rPr>
          <w:iCs/>
        </w:rPr>
        <w:t xml:space="preserve">the pursuit of </w:t>
      </w:r>
      <w:proofErr w:type="gramStart"/>
      <w:r w:rsidR="002F48B8">
        <w:rPr>
          <w:iCs/>
        </w:rPr>
        <w:t>happiness—</w:t>
      </w:r>
      <w:proofErr w:type="gramEnd"/>
      <w:r w:rsidR="002F48B8">
        <w:rPr>
          <w:iCs/>
        </w:rPr>
        <w:t>what I call joy</w:t>
      </w:r>
      <w:r w:rsidR="002A71DB">
        <w:rPr>
          <w:iCs/>
        </w:rPr>
        <w:t>—</w:t>
      </w:r>
      <w:r w:rsidR="00893C92">
        <w:rPr>
          <w:iCs/>
        </w:rPr>
        <w:t>is</w:t>
      </w:r>
      <w:r w:rsidR="0009743A">
        <w:rPr>
          <w:iCs/>
        </w:rPr>
        <w:t xml:space="preserve"> part of the liberty </w:t>
      </w:r>
      <w:r w:rsidR="008B4888">
        <w:rPr>
          <w:iCs/>
        </w:rPr>
        <w:t>protected by the Due Processes Clauses of the Fifth and Fourteenth Amendments</w:t>
      </w:r>
      <w:r w:rsidR="003C4B52">
        <w:rPr>
          <w:iCs/>
        </w:rPr>
        <w:t xml:space="preserve"> as originally understood</w:t>
      </w:r>
      <w:r w:rsidR="008B4888">
        <w:rPr>
          <w:iCs/>
        </w:rPr>
        <w:t xml:space="preserve">. </w:t>
      </w:r>
      <w:r w:rsidR="00D924F7">
        <w:rPr>
          <w:iCs/>
        </w:rPr>
        <w:t xml:space="preserve">I begin by tracing the phrase “pursuit of happiness” to its immediate antecedent in John Locke’s </w:t>
      </w:r>
      <w:r w:rsidR="00D924F7">
        <w:rPr>
          <w:i/>
        </w:rPr>
        <w:t>Essay Concerning Human Understanding</w:t>
      </w:r>
      <w:r w:rsidR="00D924F7">
        <w:rPr>
          <w:iCs/>
        </w:rPr>
        <w:t xml:space="preserve"> and</w:t>
      </w:r>
      <w:r w:rsidR="00457421">
        <w:rPr>
          <w:iCs/>
        </w:rPr>
        <w:t xml:space="preserve"> thence to the Ancient Greek philosopher</w:t>
      </w:r>
      <w:r w:rsidR="001C4D8A">
        <w:rPr>
          <w:iCs/>
        </w:rPr>
        <w:t>s, particularly Epicurus</w:t>
      </w:r>
      <w:r w:rsidR="00D675AD">
        <w:rPr>
          <w:iCs/>
        </w:rPr>
        <w:t xml:space="preserve">. </w:t>
      </w:r>
      <w:r w:rsidR="006D2A58">
        <w:rPr>
          <w:iCs/>
        </w:rPr>
        <w:t xml:space="preserve">These sources demonstrate that the Framers’ definition of “happiness” </w:t>
      </w:r>
      <w:r w:rsidR="003C4B52">
        <w:rPr>
          <w:iCs/>
        </w:rPr>
        <w:t xml:space="preserve">corresponded with the Greek concept of </w:t>
      </w:r>
      <w:r w:rsidR="003C4B52">
        <w:rPr>
          <w:i/>
        </w:rPr>
        <w:t>eudaimonia</w:t>
      </w:r>
      <w:r w:rsidR="008C4E5B">
        <w:rPr>
          <w:iCs/>
        </w:rPr>
        <w:t xml:space="preserve">, which I </w:t>
      </w:r>
      <w:commentRangeStart w:id="29"/>
      <w:r w:rsidR="008C4E5B">
        <w:rPr>
          <w:iCs/>
        </w:rPr>
        <w:t xml:space="preserve">define </w:t>
      </w:r>
      <w:commentRangeEnd w:id="29"/>
      <w:r w:rsidR="00D271A8">
        <w:rPr>
          <w:rStyle w:val="CommentReference"/>
        </w:rPr>
        <w:commentReference w:id="29"/>
      </w:r>
      <w:r w:rsidR="008C4E5B">
        <w:rPr>
          <w:iCs/>
        </w:rPr>
        <w:t xml:space="preserve">and contrast with </w:t>
      </w:r>
      <w:r w:rsidR="00B876C1">
        <w:rPr>
          <w:iCs/>
        </w:rPr>
        <w:t xml:space="preserve">unrestricted hedonism. </w:t>
      </w:r>
      <w:r w:rsidR="00D53BDC">
        <w:rPr>
          <w:iCs/>
        </w:rPr>
        <w:t xml:space="preserve">I </w:t>
      </w:r>
      <w:r w:rsidR="0020073B">
        <w:rPr>
          <w:iCs/>
        </w:rPr>
        <w:t xml:space="preserve">propose that </w:t>
      </w:r>
      <w:r w:rsidR="0020073B">
        <w:rPr>
          <w:i/>
        </w:rPr>
        <w:t>eudaimonia</w:t>
      </w:r>
      <w:r w:rsidR="0020073B">
        <w:rPr>
          <w:iCs/>
        </w:rPr>
        <w:t xml:space="preserve"> </w:t>
      </w:r>
      <w:r w:rsidR="00893C92">
        <w:rPr>
          <w:iCs/>
        </w:rPr>
        <w:t xml:space="preserve">is part of the “substance” of “substantive due </w:t>
      </w:r>
      <w:r w:rsidR="00893C92">
        <w:rPr>
          <w:iCs/>
        </w:rPr>
        <w:lastRenderedPageBreak/>
        <w:t xml:space="preserve">process,” </w:t>
      </w:r>
      <w:r w:rsidR="004D4A2A">
        <w:rPr>
          <w:iCs/>
        </w:rPr>
        <w:t xml:space="preserve">and that Epicurus’s classification of </w:t>
      </w:r>
      <w:r w:rsidR="002F1B6D">
        <w:rPr>
          <w:iCs/>
        </w:rPr>
        <w:t xml:space="preserve">subjective desires </w:t>
      </w:r>
      <w:r w:rsidR="001455E7">
        <w:rPr>
          <w:iCs/>
        </w:rPr>
        <w:t>provides a limiting principle for substantive due process claims</w:t>
      </w:r>
      <w:r w:rsidR="002D57F2">
        <w:rPr>
          <w:iCs/>
        </w:rPr>
        <w:t xml:space="preserve"> that Framers would have understood and likely approved</w:t>
      </w:r>
      <w:r w:rsidR="001455E7">
        <w:rPr>
          <w:iCs/>
        </w:rPr>
        <w:t xml:space="preserve">. I suggest that the Supreme Court’s substantive due process </w:t>
      </w:r>
      <w:r w:rsidR="00DD070D">
        <w:rPr>
          <w:iCs/>
        </w:rPr>
        <w:t>jurisprudence as e</w:t>
      </w:r>
      <w:r w:rsidR="002D57F2">
        <w:rPr>
          <w:iCs/>
        </w:rPr>
        <w:t xml:space="preserve">mbodied in </w:t>
      </w:r>
      <w:r w:rsidR="002D57F2">
        <w:rPr>
          <w:i/>
        </w:rPr>
        <w:t>Lawrence v. Texas</w:t>
      </w:r>
      <w:r w:rsidR="002D57F2">
        <w:rPr>
          <w:iCs/>
        </w:rPr>
        <w:t xml:space="preserve"> better comports with this </w:t>
      </w:r>
      <w:r w:rsidR="00B06C3B">
        <w:rPr>
          <w:iCs/>
        </w:rPr>
        <w:t xml:space="preserve">original understanding than that of more recent cases such as </w:t>
      </w:r>
      <w:r w:rsidR="00B06C3B">
        <w:rPr>
          <w:i/>
        </w:rPr>
        <w:t>Dobbs v. Jackson Women’s Health Organization</w:t>
      </w:r>
      <w:r w:rsidR="00B06C3B">
        <w:rPr>
          <w:iCs/>
        </w:rPr>
        <w:t xml:space="preserve"> or </w:t>
      </w:r>
      <w:r w:rsidR="00B06C3B">
        <w:rPr>
          <w:i/>
        </w:rPr>
        <w:t>United States v. Mu</w:t>
      </w:r>
      <w:r w:rsidR="002E5E65">
        <w:rPr>
          <w:rFonts w:ascii="Times New Roman" w:hAnsi="Times New Roman"/>
          <w:i/>
        </w:rPr>
        <w:t>ñ</w:t>
      </w:r>
      <w:r w:rsidR="00B06C3B">
        <w:rPr>
          <w:i/>
        </w:rPr>
        <w:t>oz</w:t>
      </w:r>
      <w:r w:rsidR="00B06C3B">
        <w:rPr>
          <w:iCs/>
        </w:rPr>
        <w:t>.</w:t>
      </w:r>
      <w:r w:rsidR="00C03CAE">
        <w:rPr>
          <w:iCs/>
        </w:rPr>
        <w:t xml:space="preserve"> Finally, I show that gender transition, including the decision to seek gender-affirming care, falls squarely within </w:t>
      </w:r>
      <w:r w:rsidR="002C1BF7">
        <w:rPr>
          <w:iCs/>
        </w:rPr>
        <w:t xml:space="preserve">this definition of </w:t>
      </w:r>
      <w:r w:rsidR="001A1CF5">
        <w:rPr>
          <w:iCs/>
        </w:rPr>
        <w:t>liberty.</w:t>
      </w:r>
    </w:p>
    <w:p w14:paraId="7F46CF27" w14:textId="77777777" w:rsidR="000E7E40" w:rsidRDefault="000E7E40" w:rsidP="00B6060B">
      <w:pPr>
        <w:ind w:firstLine="720"/>
        <w:rPr>
          <w:iCs/>
        </w:rPr>
      </w:pPr>
    </w:p>
    <w:p w14:paraId="6485E0A3" w14:textId="4A5D5164" w:rsidR="000E7E40" w:rsidRDefault="0009466D" w:rsidP="000E7E40">
      <w:pPr>
        <w:pStyle w:val="Heading2"/>
        <w:rPr>
          <w:i w:val="0"/>
          <w:iCs/>
        </w:rPr>
      </w:pPr>
      <w:r>
        <w:t>The Meaning of Happiness</w:t>
      </w:r>
    </w:p>
    <w:p w14:paraId="6C126DD7" w14:textId="77777777" w:rsidR="000E7E40" w:rsidRDefault="000E7E40" w:rsidP="000E7E40"/>
    <w:p w14:paraId="66D1E21B" w14:textId="1E416DE8" w:rsidR="0047034D" w:rsidRDefault="007A5C49" w:rsidP="0047034D">
      <w:pPr>
        <w:pStyle w:val="Heading3"/>
      </w:pPr>
      <w:r>
        <w:t xml:space="preserve">Locke’s </w:t>
      </w:r>
      <w:r>
        <w:rPr>
          <w:i/>
          <w:iCs/>
        </w:rPr>
        <w:t>Essay Concerning Human Understanding</w:t>
      </w:r>
    </w:p>
    <w:p w14:paraId="436EE0FD" w14:textId="77777777" w:rsidR="0047034D" w:rsidRDefault="0047034D" w:rsidP="004E392D">
      <w:pPr>
        <w:ind w:firstLine="720"/>
      </w:pPr>
    </w:p>
    <w:p w14:paraId="1F342460" w14:textId="1CDC1DC5" w:rsidR="00937E4D" w:rsidRPr="00F71A25" w:rsidRDefault="00B544A2" w:rsidP="004E392D">
      <w:pPr>
        <w:ind w:firstLine="720"/>
      </w:pPr>
      <w:r>
        <w:t xml:space="preserve">In 1689, English philosopher John Locke </w:t>
      </w:r>
      <w:r w:rsidR="005A6ED9">
        <w:t xml:space="preserve">declared </w:t>
      </w:r>
      <w:r w:rsidR="00DC680B">
        <w:t xml:space="preserve">in his </w:t>
      </w:r>
      <w:r w:rsidR="005700FE">
        <w:rPr>
          <w:i/>
          <w:iCs/>
        </w:rPr>
        <w:t>Two</w:t>
      </w:r>
      <w:r w:rsidR="00DC680B">
        <w:rPr>
          <w:i/>
          <w:iCs/>
        </w:rPr>
        <w:t xml:space="preserve"> Treatise</w:t>
      </w:r>
      <w:r w:rsidR="005700FE">
        <w:rPr>
          <w:i/>
          <w:iCs/>
        </w:rPr>
        <w:t>s</w:t>
      </w:r>
      <w:r w:rsidR="00DC680B">
        <w:rPr>
          <w:i/>
          <w:iCs/>
        </w:rPr>
        <w:t xml:space="preserve"> on Civil Government</w:t>
      </w:r>
      <w:r w:rsidR="00DC680B">
        <w:t xml:space="preserve"> </w:t>
      </w:r>
      <w:r w:rsidR="005A6ED9">
        <w:t>that all humans are born with</w:t>
      </w:r>
      <w:r>
        <w:t xml:space="preserve"> </w:t>
      </w:r>
      <w:r w:rsidR="00FF6D26">
        <w:t>three natural rights</w:t>
      </w:r>
      <w:r w:rsidR="00DC680B">
        <w:t xml:space="preserve">: </w:t>
      </w:r>
      <w:r w:rsidR="00FF6D26">
        <w:t>“life, liberty, and [property]</w:t>
      </w:r>
      <w:r w:rsidR="00DC680B">
        <w:t>.</w:t>
      </w:r>
      <w:r w:rsidR="00FF6D26">
        <w:t>”</w:t>
      </w:r>
      <w:r w:rsidR="00FF6D26">
        <w:rPr>
          <w:rStyle w:val="FootnoteReference"/>
        </w:rPr>
        <w:footnoteReference w:id="87"/>
      </w:r>
      <w:r w:rsidR="00FF6D26">
        <w:t xml:space="preserve"> </w:t>
      </w:r>
      <w:r w:rsidR="00F71A25">
        <w:t xml:space="preserve">Historians generally agree that Thomas Jefferson drew heavily upon the </w:t>
      </w:r>
      <w:r w:rsidR="00F71A25">
        <w:rPr>
          <w:i/>
          <w:iCs/>
        </w:rPr>
        <w:t>Second Treatise</w:t>
      </w:r>
      <w:r w:rsidR="00F71A25">
        <w:t xml:space="preserve"> when writing the Declaration of Independence nearly a century later</w:t>
      </w:r>
      <w:r w:rsidR="00C77576">
        <w:t xml:space="preserve">, but opinions diverge sharply about why Jefferson substituted the phrase “the pursuit of happiness” for “property,” </w:t>
      </w:r>
      <w:r w:rsidR="005012AD">
        <w:t xml:space="preserve">as </w:t>
      </w:r>
      <w:r w:rsidR="00C77576">
        <w:t>the third of Locke’s natural rights.</w:t>
      </w:r>
      <w:bookmarkStart w:id="30" w:name="_Ref174620859"/>
      <w:r w:rsidR="00C77576">
        <w:rPr>
          <w:rStyle w:val="FootnoteReference"/>
        </w:rPr>
        <w:footnoteReference w:id="88"/>
      </w:r>
      <w:bookmarkEnd w:id="30"/>
      <w:r w:rsidR="008F3765">
        <w:t xml:space="preserve"> Some believe that the change was </w:t>
      </w:r>
      <w:r w:rsidR="00F96FD3">
        <w:t>essentially meaningless, nothing more than a rhetorical flourish with no substantive content.</w:t>
      </w:r>
      <w:r w:rsidR="00F96FD3">
        <w:rPr>
          <w:rStyle w:val="FootnoteReference"/>
        </w:rPr>
        <w:footnoteReference w:id="89"/>
      </w:r>
      <w:r w:rsidR="00F96FD3">
        <w:t xml:space="preserve"> Others believe that Jefferson intended </w:t>
      </w:r>
      <w:r w:rsidR="00D83FAB">
        <w:t>the phrase to be synonymous with Locke’s definition of property.</w:t>
      </w:r>
      <w:r w:rsidR="00C64CEC">
        <w:rPr>
          <w:rStyle w:val="FootnoteReference"/>
        </w:rPr>
        <w:footnoteReference w:id="90"/>
      </w:r>
      <w:r w:rsidR="00C64CEC">
        <w:t xml:space="preserve"> Yet others believe the opposite</w:t>
      </w:r>
      <w:r w:rsidR="00557251">
        <w:t xml:space="preserve">—that is, that </w:t>
      </w:r>
      <w:r w:rsidR="00BC6FBD">
        <w:t>the replacement</w:t>
      </w:r>
      <w:r w:rsidR="00557251">
        <w:t xml:space="preserve"> </w:t>
      </w:r>
      <w:r w:rsidR="00BC6FBD">
        <w:t>signaled</w:t>
      </w:r>
      <w:r w:rsidR="00557251">
        <w:t xml:space="preserve"> a break with the English emphasis on </w:t>
      </w:r>
      <w:r w:rsidR="00BC6FBD">
        <w:t xml:space="preserve">private </w:t>
      </w:r>
      <w:r w:rsidR="00557251">
        <w:t xml:space="preserve">property rights </w:t>
      </w:r>
      <w:r w:rsidR="00BC6FBD">
        <w:t xml:space="preserve">in favor of broader societal </w:t>
      </w:r>
      <w:r w:rsidR="005A74A6">
        <w:t>interests.</w:t>
      </w:r>
      <w:bookmarkStart w:id="31" w:name="_Ref174620869"/>
      <w:r w:rsidR="005A74A6">
        <w:rPr>
          <w:rStyle w:val="FootnoteReference"/>
        </w:rPr>
        <w:footnoteReference w:id="91"/>
      </w:r>
      <w:bookmarkEnd w:id="31"/>
    </w:p>
    <w:p w14:paraId="5703CA79" w14:textId="77777777" w:rsidR="00937E4D" w:rsidRDefault="00937E4D" w:rsidP="004E392D">
      <w:pPr>
        <w:ind w:firstLine="720"/>
      </w:pPr>
    </w:p>
    <w:p w14:paraId="6FC7E74B" w14:textId="1ADC5CD2" w:rsidR="00BA2CA1" w:rsidRDefault="001A3BD5" w:rsidP="004E392D">
      <w:pPr>
        <w:ind w:firstLine="720"/>
      </w:pPr>
      <w:r>
        <w:t xml:space="preserve">But the </w:t>
      </w:r>
      <w:r w:rsidR="00937E4D">
        <w:rPr>
          <w:i/>
          <w:iCs/>
        </w:rPr>
        <w:t xml:space="preserve">Two Treatises </w:t>
      </w:r>
      <w:r w:rsidR="00937E4D">
        <w:t xml:space="preserve">was neither all that John Locke </w:t>
      </w:r>
      <w:proofErr w:type="gramStart"/>
      <w:r w:rsidR="00937E4D">
        <w:t>wrote</w:t>
      </w:r>
      <w:proofErr w:type="gramEnd"/>
      <w:r w:rsidR="00937E4D">
        <w:t xml:space="preserve"> nor all that Thomas Jefferson read of him. </w:t>
      </w:r>
      <w:r w:rsidR="000F6BF5">
        <w:t>Locke published another work in 1689</w:t>
      </w:r>
      <w:r w:rsidR="00DB162F">
        <w:t xml:space="preserve">, this one </w:t>
      </w:r>
      <w:r w:rsidR="005B4B52">
        <w:t>titled</w:t>
      </w:r>
      <w:r w:rsidR="00DB162F">
        <w:t xml:space="preserve"> </w:t>
      </w:r>
      <w:r w:rsidR="00DB162F">
        <w:rPr>
          <w:i/>
          <w:iCs/>
        </w:rPr>
        <w:t>An Essay Concerning Human Understanding</w:t>
      </w:r>
      <w:r w:rsidR="00DB162F">
        <w:t>.</w:t>
      </w:r>
      <w:bookmarkStart w:id="32" w:name="_Ref174633335"/>
      <w:r w:rsidR="005B4B52">
        <w:rPr>
          <w:rStyle w:val="FootnoteReference"/>
        </w:rPr>
        <w:footnoteReference w:id="92"/>
      </w:r>
      <w:bookmarkEnd w:id="32"/>
      <w:r w:rsidR="00D4516A">
        <w:t xml:space="preserve"> </w:t>
      </w:r>
      <w:r w:rsidR="0085245F">
        <w:t xml:space="preserve">Though less </w:t>
      </w:r>
      <w:r w:rsidR="0085245F">
        <w:lastRenderedPageBreak/>
        <w:t xml:space="preserve">explicitly </w:t>
      </w:r>
      <w:r w:rsidR="001E3C76">
        <w:t>concerned with</w:t>
      </w:r>
      <w:r w:rsidR="00680F72">
        <w:t xml:space="preserve"> political philosophy</w:t>
      </w:r>
      <w:r w:rsidR="0085245F">
        <w:t xml:space="preserve">, the </w:t>
      </w:r>
      <w:r w:rsidR="0085245F">
        <w:rPr>
          <w:i/>
          <w:iCs/>
        </w:rPr>
        <w:t>Essay</w:t>
      </w:r>
      <w:r w:rsidR="0085245F">
        <w:t xml:space="preserve"> </w:t>
      </w:r>
      <w:r w:rsidR="00687916">
        <w:t>elaborated upon L</w:t>
      </w:r>
      <w:r w:rsidR="00AF27E8">
        <w:t xml:space="preserve">ocke’s </w:t>
      </w:r>
      <w:r w:rsidR="004B2868">
        <w:t xml:space="preserve">foundational </w:t>
      </w:r>
      <w:r w:rsidR="00BE64BE">
        <w:t xml:space="preserve">ideas about </w:t>
      </w:r>
      <w:r w:rsidR="00194C18">
        <w:t>freedom</w:t>
      </w:r>
      <w:r w:rsidR="00BE64BE">
        <w:t xml:space="preserve">, </w:t>
      </w:r>
      <w:r w:rsidR="00C17974">
        <w:t xml:space="preserve">power, and </w:t>
      </w:r>
      <w:r w:rsidR="00F439F1">
        <w:t xml:space="preserve">the </w:t>
      </w:r>
      <w:r w:rsidR="00194C18">
        <w:t>nature</w:t>
      </w:r>
      <w:r w:rsidR="00F439F1">
        <w:t xml:space="preserve"> of human existence. In Chapter XXI of Book II</w:t>
      </w:r>
      <w:r w:rsidR="008F02B7">
        <w:t xml:space="preserve">, </w:t>
      </w:r>
      <w:r w:rsidR="00444AC9">
        <w:t xml:space="preserve">titled “On Power,” </w:t>
      </w:r>
      <w:r w:rsidR="00194C18">
        <w:t xml:space="preserve">Locke </w:t>
      </w:r>
      <w:r w:rsidR="00E2504A">
        <w:t>develop</w:t>
      </w:r>
      <w:r w:rsidR="002F6B22">
        <w:t xml:space="preserve">ed </w:t>
      </w:r>
      <w:r w:rsidR="00E2504A">
        <w:t>his definition of liberty.</w:t>
      </w:r>
      <w:bookmarkStart w:id="33" w:name="_Ref183442082"/>
      <w:r w:rsidR="00AE5971">
        <w:rPr>
          <w:rStyle w:val="FootnoteReference"/>
        </w:rPr>
        <w:footnoteReference w:id="93"/>
      </w:r>
      <w:bookmarkEnd w:id="33"/>
      <w:r w:rsidR="00721A9E">
        <w:t xml:space="preserve"> He beg</w:t>
      </w:r>
      <w:r w:rsidR="002F6B22">
        <w:t>an</w:t>
      </w:r>
      <w:r w:rsidR="00721A9E">
        <w:t xml:space="preserve"> with </w:t>
      </w:r>
      <w:r w:rsidR="004537D0">
        <w:t xml:space="preserve">the basic premise </w:t>
      </w:r>
      <w:r w:rsidR="00DC7465">
        <w:t xml:space="preserve">that all human desires are </w:t>
      </w:r>
      <w:r w:rsidR="002C401B">
        <w:t>motivated by the impulse to seek pleasure and avoid pain</w:t>
      </w:r>
      <w:r w:rsidR="00F82F74">
        <w:t>, which he defines as happiness.</w:t>
      </w:r>
      <w:r w:rsidR="00CE3100">
        <w:rPr>
          <w:rStyle w:val="FootnoteReference"/>
        </w:rPr>
        <w:footnoteReference w:id="94"/>
      </w:r>
      <w:r w:rsidR="00841945">
        <w:t xml:space="preserve"> </w:t>
      </w:r>
      <w:r w:rsidR="00D13291">
        <w:t xml:space="preserve">But though everyone shares this basic impulse, </w:t>
      </w:r>
      <w:r w:rsidR="00237442">
        <w:t xml:space="preserve">people differ widely in what </w:t>
      </w:r>
      <w:r w:rsidR="00E71F36">
        <w:t>makes them happy</w:t>
      </w:r>
      <w:r w:rsidR="00A92C8C">
        <w:t>.</w:t>
      </w:r>
      <w:bookmarkStart w:id="34" w:name="_Ref184645430"/>
      <w:r w:rsidR="007C5346">
        <w:rPr>
          <w:rStyle w:val="FootnoteReference"/>
        </w:rPr>
        <w:footnoteReference w:id="95"/>
      </w:r>
      <w:bookmarkEnd w:id="34"/>
      <w:r w:rsidR="00A92C8C">
        <w:t xml:space="preserve"> </w:t>
      </w:r>
      <w:r w:rsidR="00183FB7">
        <w:t>Locke view</w:t>
      </w:r>
      <w:r w:rsidR="002F6B22">
        <w:t>ed</w:t>
      </w:r>
      <w:r w:rsidR="00183FB7">
        <w:t xml:space="preserve"> this</w:t>
      </w:r>
      <w:r w:rsidR="002F6B22">
        <w:t xml:space="preserve"> subjectivity</w:t>
      </w:r>
      <w:r w:rsidR="00183FB7">
        <w:t xml:space="preserve"> of desire as natural</w:t>
      </w:r>
      <w:r w:rsidR="00713B00">
        <w:t xml:space="preserve"> and good, comparing</w:t>
      </w:r>
      <w:r w:rsidR="00BA2CA1">
        <w:t xml:space="preserve"> the variety of</w:t>
      </w:r>
      <w:r w:rsidR="00713B00">
        <w:t xml:space="preserve"> human</w:t>
      </w:r>
      <w:r w:rsidR="00B318E5">
        <w:t xml:space="preserve"> desires</w:t>
      </w:r>
      <w:r w:rsidR="00713B00">
        <w:t xml:space="preserve"> to </w:t>
      </w:r>
      <w:r w:rsidR="00B318E5">
        <w:t xml:space="preserve">those of </w:t>
      </w:r>
      <w:r w:rsidR="00713B00">
        <w:t xml:space="preserve">different </w:t>
      </w:r>
      <w:r w:rsidR="00B318E5">
        <w:t xml:space="preserve">kinds of </w:t>
      </w:r>
      <w:r w:rsidR="00713B00">
        <w:t xml:space="preserve">insects; </w:t>
      </w:r>
      <w:r w:rsidR="007B3A4E">
        <w:t>some are like bees and prefer flower nectar, while others are like beetles and prefer</w:t>
      </w:r>
      <w:r w:rsidR="00B8691B">
        <w:t xml:space="preserve"> </w:t>
      </w:r>
      <w:r w:rsidR="00CD519D">
        <w:t>different</w:t>
      </w:r>
      <w:r w:rsidR="00B8691B">
        <w:t xml:space="preserve"> foods.</w:t>
      </w:r>
      <w:bookmarkStart w:id="35" w:name="_Ref183442091"/>
      <w:r w:rsidR="00966F5E">
        <w:rPr>
          <w:rStyle w:val="FootnoteReference"/>
        </w:rPr>
        <w:footnoteReference w:id="96"/>
      </w:r>
      <w:bookmarkEnd w:id="35"/>
    </w:p>
    <w:p w14:paraId="3B5D9C87" w14:textId="77777777" w:rsidR="00BA2CA1" w:rsidRDefault="00BA2CA1" w:rsidP="00BA2CA1">
      <w:pPr>
        <w:ind w:firstLine="720"/>
      </w:pPr>
    </w:p>
    <w:p w14:paraId="741ACB3E" w14:textId="0FB7A8D4" w:rsidR="000E7E40" w:rsidRDefault="000F2CEE" w:rsidP="00BA2CA1">
      <w:pPr>
        <w:ind w:firstLine="720"/>
      </w:pPr>
      <w:r>
        <w:t>The truth of this simile, Locke sa</w:t>
      </w:r>
      <w:r w:rsidR="002F6B22">
        <w:t>id</w:t>
      </w:r>
      <w:r>
        <w:t>, gives us “a clear view into the state of human liberty. Libert</w:t>
      </w:r>
      <w:r w:rsidR="00FD39BE">
        <w:t>y, it is plain, consists in a power to do, or not to do; to do, or forbear doing, as we will.”</w:t>
      </w:r>
      <w:bookmarkStart w:id="36" w:name="_Ref184650569"/>
      <w:r w:rsidR="002D660F">
        <w:rPr>
          <w:rStyle w:val="FootnoteReference"/>
        </w:rPr>
        <w:footnoteReference w:id="97"/>
      </w:r>
      <w:bookmarkEnd w:id="36"/>
      <w:r w:rsidR="00BA6015">
        <w:t xml:space="preserve"> </w:t>
      </w:r>
      <w:r w:rsidR="007325C0">
        <w:t>Locke define</w:t>
      </w:r>
      <w:r w:rsidR="002F6B22">
        <w:t>d</w:t>
      </w:r>
      <w:r w:rsidR="007325C0">
        <w:t xml:space="preserve"> liberty </w:t>
      </w:r>
      <w:r w:rsidR="00B93808">
        <w:t xml:space="preserve">as the right to align our existence with our subjective preferences </w:t>
      </w:r>
      <w:r w:rsidR="00C65913">
        <w:t>about what makes us happy</w:t>
      </w:r>
      <w:r w:rsidR="00942E10">
        <w:t xml:space="preserve">. In other words, </w:t>
      </w:r>
      <w:r w:rsidR="002F6DF9">
        <w:t xml:space="preserve">Locke saw </w:t>
      </w:r>
      <w:r w:rsidR="00942E10">
        <w:t xml:space="preserve">liberty </w:t>
      </w:r>
      <w:r w:rsidR="002F6DF9">
        <w:t>as synonymous with the freedom</w:t>
      </w:r>
      <w:r w:rsidR="00AD10DC">
        <w:t xml:space="preserve"> to engage in “</w:t>
      </w:r>
      <w:r w:rsidR="00942E10">
        <w:t>the pursuit of happiness</w:t>
      </w:r>
      <w:r w:rsidR="00AD10DC">
        <w:t xml:space="preserve">”—a phrase </w:t>
      </w:r>
      <w:r w:rsidR="00E217BB">
        <w:t>that</w:t>
      </w:r>
      <w:r w:rsidR="00AD10DC">
        <w:t xml:space="preserve"> Locke uses in Chapter XXI four </w:t>
      </w:r>
      <w:r w:rsidR="00E556E9">
        <w:t xml:space="preserve">distinct </w:t>
      </w:r>
      <w:r w:rsidR="00AD10DC">
        <w:t>times.</w:t>
      </w:r>
      <w:bookmarkStart w:id="37" w:name="_Ref184650571"/>
      <w:r w:rsidR="004B1526">
        <w:rPr>
          <w:rStyle w:val="FootnoteReference"/>
        </w:rPr>
        <w:footnoteReference w:id="98"/>
      </w:r>
      <w:bookmarkEnd w:id="37"/>
    </w:p>
    <w:p w14:paraId="5053C62D" w14:textId="77777777" w:rsidR="00AD548D" w:rsidRDefault="00AD548D" w:rsidP="00BA2CA1">
      <w:pPr>
        <w:ind w:firstLine="720"/>
      </w:pPr>
    </w:p>
    <w:p w14:paraId="7EB6B11B" w14:textId="1FDC0012" w:rsidR="00AD548D" w:rsidRPr="00466C48" w:rsidRDefault="002A391D" w:rsidP="00BA2CA1">
      <w:pPr>
        <w:ind w:firstLine="720"/>
      </w:pPr>
      <w:r>
        <w:t xml:space="preserve">It is practically impossible to prove that Jefferson relied upon any single text </w:t>
      </w:r>
      <w:r w:rsidR="00DA72BC">
        <w:t xml:space="preserve">when drafting the Declaration in the </w:t>
      </w:r>
      <w:r w:rsidR="00FE7343">
        <w:t>early summer of 1776.</w:t>
      </w:r>
      <w:r w:rsidR="00FE7343">
        <w:rPr>
          <w:rStyle w:val="FootnoteReference"/>
        </w:rPr>
        <w:footnoteReference w:id="99"/>
      </w:r>
      <w:r w:rsidR="00513A0D">
        <w:t xml:space="preserve"> But it is certain that Jefferson and his contemporaries </w:t>
      </w:r>
      <w:r w:rsidR="00466C48">
        <w:t xml:space="preserve">were familiar with and influenced by Locke’s </w:t>
      </w:r>
      <w:r w:rsidR="00466C48">
        <w:rPr>
          <w:i/>
          <w:iCs/>
        </w:rPr>
        <w:t>Essay</w:t>
      </w:r>
      <w:r w:rsidR="00466C48">
        <w:t xml:space="preserve"> at least as much if not more than his </w:t>
      </w:r>
      <w:r w:rsidR="00466C48">
        <w:rPr>
          <w:i/>
          <w:iCs/>
        </w:rPr>
        <w:t>Two Treatises</w:t>
      </w:r>
      <w:r w:rsidR="00466C48">
        <w:t>.</w:t>
      </w:r>
      <w:r w:rsidR="00466C48">
        <w:rPr>
          <w:rStyle w:val="FootnoteReference"/>
        </w:rPr>
        <w:footnoteReference w:id="100"/>
      </w:r>
      <w:r w:rsidR="0060310F">
        <w:t xml:space="preserve"> </w:t>
      </w:r>
      <w:r w:rsidR="00E76BE4">
        <w:t xml:space="preserve">In this context, Jefferson’s use of “the pursuit of happiness” was </w:t>
      </w:r>
      <w:r w:rsidR="00E76BE4">
        <w:lastRenderedPageBreak/>
        <w:t xml:space="preserve">neither meaningless nor </w:t>
      </w:r>
      <w:r w:rsidR="00601FE2">
        <w:t>about property.</w:t>
      </w:r>
      <w:r w:rsidR="00601FE2">
        <w:rPr>
          <w:rStyle w:val="FootnoteReference"/>
        </w:rPr>
        <w:footnoteReference w:id="101"/>
      </w:r>
      <w:r w:rsidR="00F02531">
        <w:t xml:space="preserve"> </w:t>
      </w:r>
      <w:r w:rsidR="00BB6CC2">
        <w:t xml:space="preserve">Rather, Jefferson </w:t>
      </w:r>
      <w:r w:rsidR="00FA610F">
        <w:t xml:space="preserve">used the phrase to </w:t>
      </w:r>
      <w:r w:rsidR="00795F5F">
        <w:t>mean something very close to “liberty” itself.</w:t>
      </w:r>
      <w:r w:rsidR="00795F5F">
        <w:rPr>
          <w:rStyle w:val="FootnoteReference"/>
        </w:rPr>
        <w:footnoteReference w:id="102"/>
      </w:r>
    </w:p>
    <w:p w14:paraId="165AA7AD" w14:textId="77777777" w:rsidR="0086509C" w:rsidRDefault="0086509C" w:rsidP="00BA2CA1">
      <w:pPr>
        <w:ind w:firstLine="720"/>
      </w:pPr>
    </w:p>
    <w:p w14:paraId="3A0DEAD5" w14:textId="2DF5B694" w:rsidR="0047034D" w:rsidRPr="00F947CB" w:rsidRDefault="00F947CB" w:rsidP="0047034D">
      <w:pPr>
        <w:pStyle w:val="Heading3"/>
        <w:rPr>
          <w:i/>
          <w:iCs/>
        </w:rPr>
      </w:pPr>
      <w:r>
        <w:rPr>
          <w:i/>
          <w:iCs/>
        </w:rPr>
        <w:t>Eudaimonia</w:t>
      </w:r>
    </w:p>
    <w:p w14:paraId="0F84E9AF" w14:textId="77777777" w:rsidR="0047034D" w:rsidRDefault="0047034D" w:rsidP="00BA2CA1">
      <w:pPr>
        <w:ind w:firstLine="720"/>
      </w:pPr>
    </w:p>
    <w:p w14:paraId="7D451247" w14:textId="5608D5CA" w:rsidR="000B56B9" w:rsidRDefault="00CF7A16" w:rsidP="00BA2CA1">
      <w:pPr>
        <w:ind w:firstLine="720"/>
      </w:pPr>
      <w:r>
        <w:t xml:space="preserve">Much of the </w:t>
      </w:r>
      <w:r>
        <w:rPr>
          <w:i/>
          <w:iCs/>
        </w:rPr>
        <w:t>Essay</w:t>
      </w:r>
      <w:r>
        <w:t>’s discussion of happiness tracks the ideas of Ancient Greek philosophers</w:t>
      </w:r>
      <w:r w:rsidR="00226E28">
        <w:t xml:space="preserve"> so closely that, h</w:t>
      </w:r>
      <w:r w:rsidR="0086509C">
        <w:t>ad modern conceptions of plagiarism existed in 1689, Locke would have been in trouble for failing to footnote his work.</w:t>
      </w:r>
      <w:r w:rsidR="00226E28">
        <w:t xml:space="preserve"> </w:t>
      </w:r>
      <w:r w:rsidR="000B56B9">
        <w:t xml:space="preserve">Like Locke, the Greeks </w:t>
      </w:r>
      <w:r w:rsidR="00EA5C16">
        <w:t xml:space="preserve">universally </w:t>
      </w:r>
      <w:r w:rsidR="006B49CC">
        <w:t>believed that happiness was</w:t>
      </w:r>
      <w:r w:rsidR="00880BC6">
        <w:t xml:space="preserve"> the ultimate </w:t>
      </w:r>
      <w:r w:rsidR="006A5B7D">
        <w:t>point of human existence.</w:t>
      </w:r>
      <w:bookmarkStart w:id="38" w:name="_Ref174629283"/>
      <w:r w:rsidR="006A5B7D">
        <w:rPr>
          <w:rStyle w:val="FootnoteReference"/>
        </w:rPr>
        <w:footnoteReference w:id="103"/>
      </w:r>
      <w:bookmarkEnd w:id="38"/>
      <w:r w:rsidR="007A3C89">
        <w:t xml:space="preserve"> But both Locke and the Greeks </w:t>
      </w:r>
      <w:r w:rsidR="00296BA0">
        <w:t xml:space="preserve">meant something </w:t>
      </w:r>
      <w:r w:rsidR="0057033E">
        <w:t xml:space="preserve">quite </w:t>
      </w:r>
      <w:r w:rsidR="00296BA0">
        <w:t xml:space="preserve">different by “happiness” than the modern </w:t>
      </w:r>
      <w:r w:rsidR="00C34DF8">
        <w:t>conception</w:t>
      </w:r>
      <w:r w:rsidR="004E2611">
        <w:t xml:space="preserve"> of ephemeral </w:t>
      </w:r>
      <w:r w:rsidR="009C0402">
        <w:t>positive feelings.</w:t>
      </w:r>
      <w:bookmarkStart w:id="39" w:name="_Ref174632393"/>
      <w:r w:rsidR="009C0402">
        <w:rPr>
          <w:rStyle w:val="FootnoteReference"/>
        </w:rPr>
        <w:footnoteReference w:id="104"/>
      </w:r>
      <w:bookmarkEnd w:id="39"/>
      <w:r w:rsidR="00B37FF8">
        <w:t xml:space="preserve"> Rather, </w:t>
      </w:r>
      <w:r w:rsidR="00022F42">
        <w:t xml:space="preserve">when the Greeks spoke of happiness, they </w:t>
      </w:r>
      <w:r w:rsidR="0028153D">
        <w:t>used the word</w:t>
      </w:r>
      <w:r w:rsidR="00022F42">
        <w:t xml:space="preserve"> </w:t>
      </w:r>
      <w:r w:rsidR="00022F42">
        <w:rPr>
          <w:i/>
          <w:iCs/>
        </w:rPr>
        <w:t>eudaimonia</w:t>
      </w:r>
      <w:r w:rsidR="0028153D">
        <w:t xml:space="preserve">, a word that </w:t>
      </w:r>
      <w:r w:rsidR="002648DF">
        <w:t xml:space="preserve">connotes a more lasting sense of well-being and satisfaction </w:t>
      </w:r>
      <w:r w:rsidR="00555FF4">
        <w:t>with the general direction of one’s life.</w:t>
      </w:r>
      <w:bookmarkStart w:id="40" w:name="_Ref174632401"/>
      <w:r w:rsidR="00555FF4">
        <w:rPr>
          <w:rStyle w:val="FootnoteReference"/>
        </w:rPr>
        <w:footnoteReference w:id="105"/>
      </w:r>
      <w:bookmarkEnd w:id="40"/>
      <w:r w:rsidR="00B65F80">
        <w:t xml:space="preserve"> </w:t>
      </w:r>
      <w:r w:rsidR="00DB230C">
        <w:t>As Aristotle classically put it: “As far as its [the highest good’s] name goes, most people practically agree</w:t>
      </w:r>
      <w:r w:rsidR="00A75E8C">
        <w:t>; for both the many and the cultivated call it happiness</w:t>
      </w:r>
      <w:r w:rsidR="004F65C8">
        <w:t xml:space="preserve"> [</w:t>
      </w:r>
      <w:r w:rsidR="004F65C8">
        <w:rPr>
          <w:i/>
          <w:iCs/>
        </w:rPr>
        <w:t>eudaimonia</w:t>
      </w:r>
      <w:r w:rsidR="004F65C8">
        <w:t>]</w:t>
      </w:r>
      <w:r w:rsidR="00A75E8C">
        <w:t>, and they suppose that living well and doing well are the same as being happy.”</w:t>
      </w:r>
      <w:bookmarkStart w:id="41" w:name="_Ref184649142"/>
      <w:r w:rsidR="00A75E8C">
        <w:rPr>
          <w:rStyle w:val="FootnoteReference"/>
        </w:rPr>
        <w:footnoteReference w:id="106"/>
      </w:r>
      <w:bookmarkEnd w:id="41"/>
    </w:p>
    <w:p w14:paraId="6D1B1105" w14:textId="77777777" w:rsidR="00331D03" w:rsidRDefault="00331D03" w:rsidP="00BA2CA1">
      <w:pPr>
        <w:ind w:firstLine="720"/>
      </w:pPr>
    </w:p>
    <w:p w14:paraId="15DA4F88" w14:textId="466A23F5" w:rsidR="00DF1291" w:rsidRPr="00B451E6" w:rsidRDefault="000A0149" w:rsidP="00BA2CA1">
      <w:pPr>
        <w:ind w:firstLine="720"/>
      </w:pPr>
      <w:r>
        <w:t>Like Locke, t</w:t>
      </w:r>
      <w:r w:rsidR="00AC4911">
        <w:t xml:space="preserve">he Greeks </w:t>
      </w:r>
      <w:r>
        <w:t xml:space="preserve">also </w:t>
      </w:r>
      <w:r w:rsidR="007A51E1">
        <w:t>understood</w:t>
      </w:r>
      <w:r w:rsidR="00AC4911">
        <w:t xml:space="preserve"> </w:t>
      </w:r>
      <w:r w:rsidR="00B65F80">
        <w:t xml:space="preserve">that </w:t>
      </w:r>
      <w:r w:rsidR="00610F7D">
        <w:t xml:space="preserve">individuals have different </w:t>
      </w:r>
      <w:r w:rsidR="0060665F">
        <w:t>ideas about what makes them</w:t>
      </w:r>
      <w:r w:rsidR="004560D6">
        <w:t xml:space="preserve"> happy</w:t>
      </w:r>
      <w:r w:rsidR="00914AF9">
        <w:t xml:space="preserve">—that happiness </w:t>
      </w:r>
      <w:r w:rsidR="00341CF1">
        <w:t>is</w:t>
      </w:r>
      <w:r w:rsidR="00914AF9">
        <w:t xml:space="preserve"> subjective</w:t>
      </w:r>
      <w:r w:rsidR="0060665F">
        <w:t>.</w:t>
      </w:r>
      <w:bookmarkStart w:id="42" w:name="_Ref175048567"/>
      <w:r w:rsidR="0060665F">
        <w:rPr>
          <w:rStyle w:val="FootnoteReference"/>
        </w:rPr>
        <w:footnoteReference w:id="107"/>
      </w:r>
      <w:bookmarkEnd w:id="42"/>
      <w:r w:rsidR="004560D6">
        <w:t xml:space="preserve"> </w:t>
      </w:r>
      <w:r w:rsidR="009920BA">
        <w:t xml:space="preserve">But </w:t>
      </w:r>
      <w:r w:rsidR="00504EA0">
        <w:t>neither Locke nor the Ancient Greeks were hedonists.</w:t>
      </w:r>
      <w:r w:rsidR="00504EA0">
        <w:rPr>
          <w:rStyle w:val="FootnoteReference"/>
        </w:rPr>
        <w:footnoteReference w:id="108"/>
      </w:r>
      <w:r w:rsidR="00504EA0">
        <w:t xml:space="preserve"> W</w:t>
      </w:r>
      <w:r w:rsidR="004560D6">
        <w:t xml:space="preserve">hile </w:t>
      </w:r>
      <w:r w:rsidR="00914AF9">
        <w:t>the</w:t>
      </w:r>
      <w:r w:rsidR="00FB131A">
        <w:t xml:space="preserve">y acknowledged that </w:t>
      </w:r>
      <w:r w:rsidR="00103233">
        <w:t>many</w:t>
      </w:r>
      <w:r w:rsidR="00FB131A">
        <w:t xml:space="preserve"> paths </w:t>
      </w:r>
      <w:r w:rsidR="00103233">
        <w:t>lead</w:t>
      </w:r>
      <w:r w:rsidR="00FB131A">
        <w:t xml:space="preserve"> to happiness</w:t>
      </w:r>
      <w:r w:rsidR="009920BA">
        <w:t>, they understood that not every path does so.</w:t>
      </w:r>
      <w:r w:rsidR="004915B2">
        <w:rPr>
          <w:rStyle w:val="FootnoteReference"/>
        </w:rPr>
        <w:footnoteReference w:id="109"/>
      </w:r>
      <w:r w:rsidR="009920BA">
        <w:t xml:space="preserve"> In other words, </w:t>
      </w:r>
      <w:r w:rsidR="00B451E6">
        <w:t xml:space="preserve">not every choice that brings happiness in the modern sense leads to </w:t>
      </w:r>
      <w:r w:rsidR="00B451E6">
        <w:rPr>
          <w:i/>
          <w:iCs/>
        </w:rPr>
        <w:t>eudaimonia</w:t>
      </w:r>
      <w:r w:rsidR="00B451E6">
        <w:t>.</w:t>
      </w:r>
      <w:r w:rsidR="00103233">
        <w:rPr>
          <w:rStyle w:val="FootnoteReference"/>
        </w:rPr>
        <w:footnoteReference w:id="110"/>
      </w:r>
      <w:r w:rsidR="003B12B5">
        <w:t xml:space="preserve"> </w:t>
      </w:r>
    </w:p>
    <w:p w14:paraId="702FB1EF" w14:textId="77777777" w:rsidR="00B37FF8" w:rsidRDefault="00B37FF8" w:rsidP="00BA2CA1">
      <w:pPr>
        <w:ind w:firstLine="720"/>
      </w:pPr>
    </w:p>
    <w:p w14:paraId="2F25332E" w14:textId="0B48C484" w:rsidR="00796487" w:rsidRDefault="007D5935" w:rsidP="00BA2CA1">
      <w:pPr>
        <w:ind w:firstLine="720"/>
      </w:pPr>
      <w:r>
        <w:t xml:space="preserve">Both Locke and the Greeks believed that </w:t>
      </w:r>
      <w:r w:rsidR="00922135">
        <w:t xml:space="preserve">happiness </w:t>
      </w:r>
      <w:r w:rsidR="00623E88">
        <w:t>is</w:t>
      </w:r>
      <w:r w:rsidR="00922135">
        <w:t xml:space="preserve"> </w:t>
      </w:r>
      <w:r w:rsidR="00623E88">
        <w:t>constrained</w:t>
      </w:r>
      <w:r w:rsidR="00922135">
        <w:t xml:space="preserve"> by </w:t>
      </w:r>
      <w:r w:rsidR="00AB4310">
        <w:lastRenderedPageBreak/>
        <w:t xml:space="preserve">what they called </w:t>
      </w:r>
      <w:r w:rsidR="001D4ED4">
        <w:t>“</w:t>
      </w:r>
      <w:r w:rsidR="00AB4310">
        <w:t xml:space="preserve">the laws of </w:t>
      </w:r>
      <w:r w:rsidR="004F6A6D">
        <w:t>nature</w:t>
      </w:r>
      <w:r w:rsidR="00AB4310">
        <w:t>.</w:t>
      </w:r>
      <w:r w:rsidR="004F6A6D">
        <w:t>”</w:t>
      </w:r>
      <w:r w:rsidR="00F07A72">
        <w:rPr>
          <w:rStyle w:val="FootnoteReference"/>
        </w:rPr>
        <w:footnoteReference w:id="111"/>
      </w:r>
      <w:r w:rsidR="005810D1">
        <w:t xml:space="preserve"> </w:t>
      </w:r>
      <w:r w:rsidR="00B379C7">
        <w:t xml:space="preserve">These laws </w:t>
      </w:r>
      <w:r w:rsidR="0008139A">
        <w:t>were discernible not by reason or revelation</w:t>
      </w:r>
      <w:r w:rsidR="0008139A">
        <w:rPr>
          <w:rStyle w:val="FootnoteReference"/>
        </w:rPr>
        <w:footnoteReference w:id="112"/>
      </w:r>
      <w:r w:rsidR="0008139A">
        <w:t xml:space="preserve"> but solely by experience.</w:t>
      </w:r>
      <w:r w:rsidR="009010F2">
        <w:rPr>
          <w:rStyle w:val="FootnoteReference"/>
        </w:rPr>
        <w:footnoteReference w:id="113"/>
      </w:r>
      <w:r w:rsidR="00575278">
        <w:t xml:space="preserve"> </w:t>
      </w:r>
      <w:r w:rsidR="00AE1135">
        <w:t xml:space="preserve">Individuals’ </w:t>
      </w:r>
      <w:r w:rsidR="005E1149">
        <w:t>power to shape reality according to their subjective preferences is limited</w:t>
      </w:r>
      <w:r w:rsidR="00052EC1">
        <w:t xml:space="preserve"> by the natural world</w:t>
      </w:r>
      <w:r w:rsidR="005E1149">
        <w:t>; they can control their choices but not the consequences of those choices.</w:t>
      </w:r>
      <w:r w:rsidR="005C757A">
        <w:rPr>
          <w:rStyle w:val="FootnoteReference"/>
        </w:rPr>
        <w:footnoteReference w:id="114"/>
      </w:r>
      <w:r w:rsidR="00DD4F20">
        <w:t xml:space="preserve"> It may bring </w:t>
      </w:r>
      <w:r w:rsidR="00721DC6">
        <w:t xml:space="preserve">a </w:t>
      </w:r>
      <w:r w:rsidR="00E7159D">
        <w:t>person</w:t>
      </w:r>
      <w:r w:rsidR="00DD4F20">
        <w:t xml:space="preserve"> joy to </w:t>
      </w:r>
      <w:r w:rsidR="003C5882">
        <w:t xml:space="preserve">jump off a third-story balcony, but </w:t>
      </w:r>
      <w:r w:rsidR="00721DC6">
        <w:t>that joy will not suspend gravity or cushion</w:t>
      </w:r>
      <w:r w:rsidR="003F56DD">
        <w:t xml:space="preserve"> their landing.</w:t>
      </w:r>
      <w:r w:rsidR="003F56DD">
        <w:rPr>
          <w:rStyle w:val="FootnoteReference"/>
        </w:rPr>
        <w:footnoteReference w:id="115"/>
      </w:r>
      <w:r w:rsidR="00FA4559">
        <w:t xml:space="preserve"> So conceived, “the laws of nature” </w:t>
      </w:r>
      <w:r w:rsidR="00E620EC">
        <w:t>function</w:t>
      </w:r>
      <w:r w:rsidR="00FD46D7">
        <w:t xml:space="preserve"> like karma or common sense.</w:t>
      </w:r>
      <w:bookmarkStart w:id="43" w:name="_Ref174702448"/>
      <w:r w:rsidR="00FD46D7">
        <w:rPr>
          <w:rStyle w:val="FootnoteReference"/>
        </w:rPr>
        <w:footnoteReference w:id="116"/>
      </w:r>
      <w:bookmarkEnd w:id="43"/>
    </w:p>
    <w:p w14:paraId="56A6E5B5" w14:textId="77777777" w:rsidR="00DF12FF" w:rsidRDefault="00DF12FF" w:rsidP="00BA2CA1">
      <w:pPr>
        <w:ind w:firstLine="720"/>
      </w:pPr>
    </w:p>
    <w:p w14:paraId="683B5F7E" w14:textId="0206D744" w:rsidR="00735DD8" w:rsidRDefault="006C2C8C" w:rsidP="00BA2CA1">
      <w:pPr>
        <w:ind w:firstLine="720"/>
      </w:pPr>
      <w:r>
        <w:t>Oscar Wilde vividly illustrated the consequences of</w:t>
      </w:r>
      <w:r w:rsidR="00532BA8">
        <w:t xml:space="preserve"> </w:t>
      </w:r>
      <w:r w:rsidR="00A871BE">
        <w:t xml:space="preserve">pursuing individual desires without </w:t>
      </w:r>
      <w:r w:rsidR="00C7529E">
        <w:t>respect for</w:t>
      </w:r>
      <w:r w:rsidR="00A871BE">
        <w:t xml:space="preserve"> the laws of nature in his </w:t>
      </w:r>
      <w:r w:rsidR="00F237F2">
        <w:t xml:space="preserve">1891 novel </w:t>
      </w:r>
      <w:r w:rsidR="00F237F2">
        <w:rPr>
          <w:i/>
          <w:iCs/>
        </w:rPr>
        <w:t>The Picture of Dorian Gray</w:t>
      </w:r>
      <w:r w:rsidR="00F237F2">
        <w:t>.</w:t>
      </w:r>
      <w:bookmarkStart w:id="44" w:name="_Ref174702456"/>
      <w:r w:rsidR="00653690">
        <w:rPr>
          <w:rStyle w:val="FootnoteReference"/>
        </w:rPr>
        <w:footnoteReference w:id="117"/>
      </w:r>
      <w:bookmarkEnd w:id="44"/>
      <w:r w:rsidR="001D6401">
        <w:t xml:space="preserve"> </w:t>
      </w:r>
      <w:r w:rsidR="00782266">
        <w:t xml:space="preserve">The novel </w:t>
      </w:r>
      <w:r w:rsidR="00F6242B">
        <w:t>portrays</w:t>
      </w:r>
      <w:r w:rsidR="00782266">
        <w:t xml:space="preserve"> the</w:t>
      </w:r>
      <w:r w:rsidR="00C418D8">
        <w:t xml:space="preserve"> struggle between</w:t>
      </w:r>
      <w:r w:rsidR="00BE5552">
        <w:t xml:space="preserve"> the</w:t>
      </w:r>
      <w:r w:rsidR="00D268FD">
        <w:t xml:space="preserve"> sincere, </w:t>
      </w:r>
      <w:r w:rsidR="00F97B80">
        <w:t xml:space="preserve">lovestruck Basil and the </w:t>
      </w:r>
      <w:r w:rsidR="001D6401">
        <w:t xml:space="preserve">cynical, sophisticated Lord Henry </w:t>
      </w:r>
      <w:r w:rsidR="00C418D8">
        <w:t>for</w:t>
      </w:r>
      <w:r w:rsidR="00BE5552">
        <w:t xml:space="preserve"> </w:t>
      </w:r>
      <w:r w:rsidR="001D6401">
        <w:t xml:space="preserve">the soul of </w:t>
      </w:r>
      <w:r w:rsidR="00461334">
        <w:t xml:space="preserve">the </w:t>
      </w:r>
      <w:r w:rsidR="001D6401">
        <w:t>young, beautiful Dorian.</w:t>
      </w:r>
      <w:r w:rsidR="00D621D3">
        <w:rPr>
          <w:rStyle w:val="FootnoteReference"/>
        </w:rPr>
        <w:footnoteReference w:id="118"/>
      </w:r>
      <w:r w:rsidR="00D621D3">
        <w:t xml:space="preserve"> </w:t>
      </w:r>
      <w:r w:rsidR="001B6CD7">
        <w:t xml:space="preserve">During their first meeting in Basil’s painting studio, </w:t>
      </w:r>
      <w:r w:rsidR="00D30D50">
        <w:t xml:space="preserve">Henry </w:t>
      </w:r>
      <w:r w:rsidR="00AC666D">
        <w:t>serenades</w:t>
      </w:r>
      <w:r w:rsidR="00D30D50">
        <w:t xml:space="preserve"> Dorian </w:t>
      </w:r>
      <w:r w:rsidR="0030691F">
        <w:t>with a soliloquy on sensualism:</w:t>
      </w:r>
    </w:p>
    <w:p w14:paraId="2172866C" w14:textId="77777777" w:rsidR="0030691F" w:rsidRDefault="0030691F" w:rsidP="00BA2CA1">
      <w:pPr>
        <w:ind w:firstLine="720"/>
      </w:pPr>
    </w:p>
    <w:p w14:paraId="0D32CC6F" w14:textId="0D74A23F" w:rsidR="0030691F" w:rsidRPr="00AF263C" w:rsidRDefault="006A23BC" w:rsidP="00AF263C">
      <w:pPr>
        <w:ind w:left="1080" w:firstLine="0"/>
        <w:rPr>
          <w:sz w:val="21"/>
          <w:szCs w:val="21"/>
        </w:rPr>
      </w:pPr>
      <w:r>
        <w:rPr>
          <w:sz w:val="21"/>
          <w:szCs w:val="21"/>
        </w:rPr>
        <w:t>I</w:t>
      </w:r>
      <w:r w:rsidR="0040128B">
        <w:rPr>
          <w:sz w:val="21"/>
          <w:szCs w:val="21"/>
        </w:rPr>
        <w:t xml:space="preserve"> believe that if one man were to live out his life fully and completely, were to give form to every feeling, expression to every thought, reality to every dream—I believe that the world would gain such a fresh impulse of joy that we would forget all the maladies of medievalism</w:t>
      </w:r>
      <w:r w:rsidR="005A539A">
        <w:rPr>
          <w:sz w:val="21"/>
          <w:szCs w:val="21"/>
        </w:rPr>
        <w:t>, and return to the Hellenic ideal</w:t>
      </w:r>
      <w:r w:rsidR="001422BB">
        <w:rPr>
          <w:sz w:val="21"/>
          <w:szCs w:val="21"/>
        </w:rPr>
        <w:t xml:space="preserve"> . . </w:t>
      </w:r>
      <w:r w:rsidR="005A539A">
        <w:rPr>
          <w:sz w:val="21"/>
          <w:szCs w:val="21"/>
        </w:rPr>
        <w:t xml:space="preserve">. But the bravest man among us is afraid of himself. The </w:t>
      </w:r>
      <w:r w:rsidR="00A12BD0">
        <w:rPr>
          <w:sz w:val="21"/>
          <w:szCs w:val="21"/>
        </w:rPr>
        <w:t>mutilation</w:t>
      </w:r>
      <w:r w:rsidR="005A539A">
        <w:rPr>
          <w:sz w:val="21"/>
          <w:szCs w:val="21"/>
        </w:rPr>
        <w:t xml:space="preserve"> of the savage has its tragic survival in the self-denial that mars our lives</w:t>
      </w:r>
      <w:r w:rsidR="00A12BD0">
        <w:rPr>
          <w:sz w:val="21"/>
          <w:szCs w:val="21"/>
        </w:rPr>
        <w:t>.</w:t>
      </w:r>
      <w:r w:rsidR="005E1D7E">
        <w:rPr>
          <w:sz w:val="21"/>
          <w:szCs w:val="21"/>
        </w:rPr>
        <w:t xml:space="preserve"> We are punished for our refusals </w:t>
      </w:r>
      <w:proofErr w:type="gramStart"/>
      <w:r w:rsidR="005E1D7E">
        <w:rPr>
          <w:sz w:val="21"/>
          <w:szCs w:val="21"/>
        </w:rPr>
        <w:t>. . . .</w:t>
      </w:r>
      <w:proofErr w:type="gramEnd"/>
      <w:r w:rsidR="005E1D7E">
        <w:rPr>
          <w:sz w:val="21"/>
          <w:szCs w:val="21"/>
        </w:rPr>
        <w:t xml:space="preserve"> The only way to get rid of a temptation is to yield to it. Resist it, and your soul grows sick with longing for the things it has forbi</w:t>
      </w:r>
      <w:r w:rsidR="00A12BD0">
        <w:rPr>
          <w:sz w:val="21"/>
          <w:szCs w:val="21"/>
        </w:rPr>
        <w:t>dden to itself, with desire for what its monstrous laws have made monstrous and unlawful</w:t>
      </w:r>
      <w:r w:rsidR="005373D2">
        <w:rPr>
          <w:sz w:val="21"/>
          <w:szCs w:val="21"/>
        </w:rPr>
        <w:t xml:space="preserve"> </w:t>
      </w:r>
      <w:proofErr w:type="gramStart"/>
      <w:r w:rsidR="005373D2">
        <w:rPr>
          <w:sz w:val="21"/>
          <w:szCs w:val="21"/>
        </w:rPr>
        <w:t>. . . .</w:t>
      </w:r>
      <w:proofErr w:type="gramEnd"/>
      <w:r w:rsidR="005373D2">
        <w:rPr>
          <w:sz w:val="21"/>
          <w:szCs w:val="21"/>
        </w:rPr>
        <w:t xml:space="preserve"> Live! Live the wonderful li</w:t>
      </w:r>
      <w:r w:rsidR="00570B26">
        <w:rPr>
          <w:sz w:val="21"/>
          <w:szCs w:val="21"/>
        </w:rPr>
        <w:t>f</w:t>
      </w:r>
      <w:r w:rsidR="005373D2">
        <w:rPr>
          <w:sz w:val="21"/>
          <w:szCs w:val="21"/>
        </w:rPr>
        <w:t xml:space="preserve">e that is </w:t>
      </w:r>
      <w:r w:rsidR="00F00B21">
        <w:rPr>
          <w:sz w:val="21"/>
          <w:szCs w:val="21"/>
        </w:rPr>
        <w:t>in you! Be always searching for new sensations. Be afraid of nothing</w:t>
      </w:r>
      <w:r w:rsidR="00570B26">
        <w:rPr>
          <w:sz w:val="21"/>
          <w:szCs w:val="21"/>
        </w:rPr>
        <w:t>.</w:t>
      </w:r>
      <w:bookmarkStart w:id="45" w:name="_Ref174793235"/>
      <w:r w:rsidR="00A12BD0">
        <w:rPr>
          <w:rStyle w:val="FootnoteReference"/>
          <w:sz w:val="21"/>
          <w:szCs w:val="21"/>
        </w:rPr>
        <w:footnoteReference w:id="119"/>
      </w:r>
      <w:bookmarkEnd w:id="45"/>
    </w:p>
    <w:p w14:paraId="3A8C636B" w14:textId="77777777" w:rsidR="00735DD8" w:rsidRDefault="00735DD8" w:rsidP="00BA2CA1">
      <w:pPr>
        <w:ind w:firstLine="720"/>
      </w:pPr>
    </w:p>
    <w:p w14:paraId="659187D5" w14:textId="52950623" w:rsidR="00FA7547" w:rsidRDefault="00FB37CB" w:rsidP="00BA2CA1">
      <w:pPr>
        <w:ind w:firstLine="720"/>
      </w:pPr>
      <w:r>
        <w:t>The onslaught</w:t>
      </w:r>
      <w:r w:rsidR="00AC666D">
        <w:t xml:space="preserve"> overwhelms Dorian</w:t>
      </w:r>
      <w:r w:rsidR="005F210D">
        <w:t>,</w:t>
      </w:r>
      <w:r w:rsidR="00A33280">
        <w:rPr>
          <w:rStyle w:val="FootnoteReference"/>
        </w:rPr>
        <w:footnoteReference w:id="120"/>
      </w:r>
      <w:r w:rsidR="005F210D">
        <w:t xml:space="preserve"> who </w:t>
      </w:r>
      <w:r w:rsidR="008B1EB3">
        <w:t>takes</w:t>
      </w:r>
      <w:r w:rsidR="005F210D">
        <w:t xml:space="preserve"> Henry’s </w:t>
      </w:r>
      <w:r w:rsidR="008B1EB3">
        <w:t xml:space="preserve">insincere </w:t>
      </w:r>
      <w:r w:rsidR="005F210D">
        <w:lastRenderedPageBreak/>
        <w:t>words</w:t>
      </w:r>
      <w:bookmarkStart w:id="46" w:name="_Ref174793239"/>
      <w:r w:rsidR="008B1EB3">
        <w:rPr>
          <w:rStyle w:val="FootnoteReference"/>
        </w:rPr>
        <w:footnoteReference w:id="121"/>
      </w:r>
      <w:bookmarkEnd w:id="46"/>
      <w:r w:rsidR="008B1EB3">
        <w:t xml:space="preserve"> to heart and begins to live </w:t>
      </w:r>
      <w:proofErr w:type="gramStart"/>
      <w:r w:rsidR="008B1EB3">
        <w:t>by</w:t>
      </w:r>
      <w:proofErr w:type="gramEnd"/>
      <w:r w:rsidR="008B1EB3">
        <w:t xml:space="preserve"> them</w:t>
      </w:r>
      <w:r w:rsidR="005F210D">
        <w:t>.</w:t>
      </w:r>
      <w:r w:rsidR="00FF555B">
        <w:t xml:space="preserve"> </w:t>
      </w:r>
      <w:r w:rsidR="005A5CF7">
        <w:t>As the novel progresses</w:t>
      </w:r>
      <w:r w:rsidR="00FF555B">
        <w:t xml:space="preserve">, Dorian descends </w:t>
      </w:r>
      <w:r w:rsidR="007619B4">
        <w:t xml:space="preserve">into </w:t>
      </w:r>
      <w:r w:rsidR="00822DB7">
        <w:t>degradation in relentless pursuit of pleasure, heedless of the consequences for himself or others.</w:t>
      </w:r>
      <w:r w:rsidR="00A559B1">
        <w:t xml:space="preserve"> </w:t>
      </w:r>
      <w:r w:rsidR="00943AC6">
        <w:t>He</w:t>
      </w:r>
      <w:r w:rsidR="002C2EDE">
        <w:t xml:space="preserve"> suddenly</w:t>
      </w:r>
      <w:r w:rsidR="00943AC6">
        <w:t xml:space="preserve"> falls in love with and </w:t>
      </w:r>
      <w:r w:rsidR="002C2EDE">
        <w:t>just as quickly discards a young actress, driving her to suicide.</w:t>
      </w:r>
      <w:r w:rsidR="002C2EDE">
        <w:rPr>
          <w:rStyle w:val="FootnoteReference"/>
        </w:rPr>
        <w:footnoteReference w:id="122"/>
      </w:r>
      <w:r w:rsidR="002C2EDE">
        <w:t xml:space="preserve"> </w:t>
      </w:r>
      <w:r w:rsidR="005E7C27">
        <w:t>He surround</w:t>
      </w:r>
      <w:r w:rsidR="00363B96">
        <w:t>s</w:t>
      </w:r>
      <w:r w:rsidR="005E7C27">
        <w:t xml:space="preserve"> himself with sumptuous</w:t>
      </w:r>
      <w:r w:rsidR="00970054">
        <w:t xml:space="preserve"> riches of every kind.</w:t>
      </w:r>
      <w:r w:rsidR="005E7C27">
        <w:rPr>
          <w:rStyle w:val="FootnoteReference"/>
        </w:rPr>
        <w:footnoteReference w:id="123"/>
      </w:r>
      <w:r w:rsidR="00970054">
        <w:t xml:space="preserve"> </w:t>
      </w:r>
      <w:r w:rsidR="00FF525C">
        <w:t>He pick</w:t>
      </w:r>
      <w:r w:rsidR="00363B96">
        <w:t>s</w:t>
      </w:r>
      <w:r w:rsidR="00FF525C">
        <w:t xml:space="preserve"> fights with sailors and cavort</w:t>
      </w:r>
      <w:r w:rsidR="00CD09F7">
        <w:t>s</w:t>
      </w:r>
      <w:r w:rsidR="00FF525C">
        <w:t xml:space="preserve"> with thieves.</w:t>
      </w:r>
      <w:r w:rsidR="00FF525C">
        <w:rPr>
          <w:rStyle w:val="FootnoteReference"/>
        </w:rPr>
        <w:footnoteReference w:id="124"/>
      </w:r>
      <w:r w:rsidR="006D5584">
        <w:t xml:space="preserve"> He beg</w:t>
      </w:r>
      <w:r w:rsidR="00363B96">
        <w:t>i</w:t>
      </w:r>
      <w:r w:rsidR="006D5584">
        <w:t>n</w:t>
      </w:r>
      <w:r w:rsidR="00363B96">
        <w:t>s</w:t>
      </w:r>
      <w:r w:rsidR="006D5584">
        <w:t xml:space="preserve"> to frequent opium dens.</w:t>
      </w:r>
      <w:r w:rsidR="006D5584">
        <w:rPr>
          <w:rStyle w:val="FootnoteReference"/>
        </w:rPr>
        <w:footnoteReference w:id="125"/>
      </w:r>
      <w:r w:rsidR="006927BB">
        <w:t xml:space="preserve"> </w:t>
      </w:r>
      <w:r w:rsidR="00C740DE">
        <w:t>Most shamefully, he</w:t>
      </w:r>
      <w:r w:rsidR="00E46A20">
        <w:t xml:space="preserve"> </w:t>
      </w:r>
      <w:r w:rsidR="00012112">
        <w:t xml:space="preserve">treats the people in his life as expendable and brings them </w:t>
      </w:r>
      <w:r w:rsidR="00DD50BB">
        <w:t xml:space="preserve">to </w:t>
      </w:r>
      <w:r w:rsidR="00012112">
        <w:t>shame.</w:t>
      </w:r>
      <w:r w:rsidR="00012112">
        <w:rPr>
          <w:rStyle w:val="FootnoteReference"/>
        </w:rPr>
        <w:footnoteReference w:id="126"/>
      </w:r>
    </w:p>
    <w:p w14:paraId="02C2B60A" w14:textId="77777777" w:rsidR="00700824" w:rsidRDefault="00700824" w:rsidP="00BA2CA1">
      <w:pPr>
        <w:ind w:firstLine="720"/>
      </w:pPr>
    </w:p>
    <w:p w14:paraId="42A552D8" w14:textId="70053650" w:rsidR="00700824" w:rsidRDefault="00700824" w:rsidP="00BA2CA1">
      <w:pPr>
        <w:ind w:firstLine="720"/>
      </w:pPr>
      <w:r>
        <w:t xml:space="preserve">Of course, the </w:t>
      </w:r>
      <w:proofErr w:type="gramStart"/>
      <w:r>
        <w:t>conceit</w:t>
      </w:r>
      <w:proofErr w:type="gramEnd"/>
      <w:r>
        <w:t xml:space="preserve"> of the novel is that Dorian </w:t>
      </w:r>
      <w:r w:rsidR="00562203">
        <w:rPr>
          <w:i/>
          <w:iCs/>
        </w:rPr>
        <w:t>is</w:t>
      </w:r>
      <w:r w:rsidR="00562203">
        <w:t xml:space="preserve"> </w:t>
      </w:r>
      <w:r w:rsidR="00F218D4">
        <w:t xml:space="preserve">in some way </w:t>
      </w:r>
      <w:r w:rsidR="00562203">
        <w:t>free from the laws of nature</w:t>
      </w:r>
      <w:r w:rsidR="00F218D4">
        <w:t xml:space="preserve">. </w:t>
      </w:r>
      <w:r w:rsidR="00AF4B25">
        <w:t>Instead of</w:t>
      </w:r>
      <w:r w:rsidR="00F218D4">
        <w:t xml:space="preserve"> </w:t>
      </w:r>
      <w:r w:rsidR="005D1CE6">
        <w:t xml:space="preserve">suffering the consequences of his choices himself, those consequences are reflected in the </w:t>
      </w:r>
      <w:r w:rsidR="00DC47EC">
        <w:t xml:space="preserve">portrait </w:t>
      </w:r>
      <w:r w:rsidR="00C408B0">
        <w:t xml:space="preserve">of Dorian </w:t>
      </w:r>
      <w:r w:rsidR="003825B3">
        <w:t xml:space="preserve">that </w:t>
      </w:r>
      <w:r w:rsidR="00DC47EC">
        <w:t xml:space="preserve">Basil </w:t>
      </w:r>
      <w:r w:rsidR="00C408B0">
        <w:t>finished</w:t>
      </w:r>
      <w:r w:rsidR="003A0A14">
        <w:t xml:space="preserve"> on the very day </w:t>
      </w:r>
      <w:r w:rsidR="00C408B0">
        <w:t xml:space="preserve">Dorian </w:t>
      </w:r>
      <w:r w:rsidR="003A0A14">
        <w:t>met Lord Henry.</w:t>
      </w:r>
      <w:r w:rsidR="003A0A14">
        <w:rPr>
          <w:rStyle w:val="FootnoteReference"/>
        </w:rPr>
        <w:footnoteReference w:id="127"/>
      </w:r>
      <w:r w:rsidR="00F104E9">
        <w:t xml:space="preserve"> </w:t>
      </w:r>
      <w:r w:rsidR="00BD6C63">
        <w:t>W</w:t>
      </w:r>
      <w:r w:rsidR="00F104E9">
        <w:t xml:space="preserve">hile Dorian </w:t>
      </w:r>
      <w:r w:rsidR="00E85B60">
        <w:t>himself remains impossibly, youthfully beautiful,</w:t>
      </w:r>
      <w:r w:rsidR="00BD6C63">
        <w:rPr>
          <w:rStyle w:val="FootnoteReference"/>
        </w:rPr>
        <w:footnoteReference w:id="128"/>
      </w:r>
      <w:r w:rsidR="00E85B60">
        <w:t xml:space="preserve"> </w:t>
      </w:r>
      <w:r w:rsidR="00BD6C63">
        <w:t xml:space="preserve">the portrait </w:t>
      </w:r>
      <w:r w:rsidR="00986289">
        <w:t xml:space="preserve">steadily </w:t>
      </w:r>
      <w:r w:rsidR="00C408B0">
        <w:t>becomes more hideous</w:t>
      </w:r>
      <w:r w:rsidR="00986289">
        <w:t xml:space="preserve"> as Dorian fulfills each destructive whim.</w:t>
      </w:r>
      <w:r w:rsidR="00E24790">
        <w:rPr>
          <w:rStyle w:val="FootnoteReference"/>
        </w:rPr>
        <w:footnoteReference w:id="129"/>
      </w:r>
    </w:p>
    <w:p w14:paraId="42E9BD5A" w14:textId="77777777" w:rsidR="009053F9" w:rsidRDefault="009053F9" w:rsidP="00BA2CA1">
      <w:pPr>
        <w:ind w:firstLine="720"/>
      </w:pPr>
    </w:p>
    <w:p w14:paraId="012E6C44" w14:textId="77777777" w:rsidR="002C5FE2" w:rsidRDefault="00D66B23" w:rsidP="00BA2CA1">
      <w:pPr>
        <w:ind w:firstLine="720"/>
      </w:pPr>
      <w:r>
        <w:t>E</w:t>
      </w:r>
      <w:r w:rsidR="00C31110">
        <w:t xml:space="preserve">ven </w:t>
      </w:r>
      <w:r w:rsidR="009053F9">
        <w:t>the painting cannot shield Dorian from the psychological consequences of his choices</w:t>
      </w:r>
      <w:r>
        <w:t>, however</w:t>
      </w:r>
      <w:r w:rsidR="009053F9">
        <w:t xml:space="preserve">. </w:t>
      </w:r>
      <w:r w:rsidR="007F76BE">
        <w:t>In denial, he locks it away and eventually kills Basil</w:t>
      </w:r>
      <w:r>
        <w:t xml:space="preserve"> </w:t>
      </w:r>
      <w:r w:rsidR="007F76BE">
        <w:t>to keep his secret secure.</w:t>
      </w:r>
      <w:r w:rsidR="007F76BE">
        <w:rPr>
          <w:rStyle w:val="FootnoteReference"/>
        </w:rPr>
        <w:footnoteReference w:id="130"/>
      </w:r>
      <w:r w:rsidR="003A1E13">
        <w:t xml:space="preserve"> Finally, consumed by guilt and frustration, Dorian</w:t>
      </w:r>
      <w:r>
        <w:t xml:space="preserve"> grabs the knife with which he killed his former friend and stabs</w:t>
      </w:r>
      <w:r w:rsidR="003A1E13">
        <w:t xml:space="preserve"> the painting</w:t>
      </w:r>
      <w:r w:rsidR="00DE44E8">
        <w:t>. In doing so, he fatally stabs himself.</w:t>
      </w:r>
      <w:r w:rsidR="00DE44E8">
        <w:rPr>
          <w:rStyle w:val="FootnoteReference"/>
        </w:rPr>
        <w:footnoteReference w:id="131"/>
      </w:r>
    </w:p>
    <w:p w14:paraId="1CB3B5AF" w14:textId="77777777" w:rsidR="002C5FE2" w:rsidRDefault="002C5FE2" w:rsidP="00BA2CA1">
      <w:pPr>
        <w:ind w:firstLine="720"/>
      </w:pPr>
    </w:p>
    <w:p w14:paraId="776894C0" w14:textId="0D784077" w:rsidR="009053F9" w:rsidRPr="00AD66B6" w:rsidRDefault="008B19D4" w:rsidP="00BA2CA1">
      <w:pPr>
        <w:ind w:firstLine="720"/>
      </w:pPr>
      <w:r>
        <w:lastRenderedPageBreak/>
        <w:t xml:space="preserve"> </w:t>
      </w:r>
      <w:r w:rsidR="002C5FE2">
        <w:t xml:space="preserve">Often </w:t>
      </w:r>
      <w:r w:rsidR="009271BF">
        <w:t>misread as</w:t>
      </w:r>
      <w:r w:rsidR="008F1841">
        <w:t xml:space="preserve"> </w:t>
      </w:r>
      <w:r w:rsidR="00075079">
        <w:t>the</w:t>
      </w:r>
      <w:r w:rsidR="008F1841">
        <w:t xml:space="preserve"> </w:t>
      </w:r>
      <w:r w:rsidR="009271BF">
        <w:t xml:space="preserve">manifesto of </w:t>
      </w:r>
      <w:r w:rsidR="00FC5383">
        <w:t xml:space="preserve">Wilde’s </w:t>
      </w:r>
      <w:r w:rsidR="009271BF">
        <w:t>“new Hedonism,”</w:t>
      </w:r>
      <w:r w:rsidR="009271BF">
        <w:rPr>
          <w:rStyle w:val="FootnoteReference"/>
        </w:rPr>
        <w:footnoteReference w:id="132"/>
      </w:r>
      <w:r w:rsidR="00AD66B6">
        <w:t xml:space="preserve"> </w:t>
      </w:r>
      <w:r w:rsidR="00AD66B6">
        <w:rPr>
          <w:i/>
          <w:iCs/>
        </w:rPr>
        <w:t>Dorian Gray</w:t>
      </w:r>
      <w:r w:rsidR="00AD66B6">
        <w:t xml:space="preserve"> is </w:t>
      </w:r>
      <w:proofErr w:type="gramStart"/>
      <w:r w:rsidR="00AD66B6">
        <w:t xml:space="preserve">actually </w:t>
      </w:r>
      <w:r w:rsidR="00075079">
        <w:t>Wilde’s</w:t>
      </w:r>
      <w:proofErr w:type="gramEnd"/>
      <w:r w:rsidR="0069670B">
        <w:t xml:space="preserve"> sobering </w:t>
      </w:r>
      <w:r w:rsidR="00A12F23">
        <w:t xml:space="preserve">critique </w:t>
      </w:r>
      <w:r w:rsidR="00E06F0B">
        <w:t xml:space="preserve">of </w:t>
      </w:r>
      <w:r w:rsidR="00F7392C">
        <w:t xml:space="preserve">a life </w:t>
      </w:r>
      <w:r w:rsidR="00722552">
        <w:t xml:space="preserve">guided by </w:t>
      </w:r>
      <w:r w:rsidR="00D33013">
        <w:t xml:space="preserve">nothing more than self-centered </w:t>
      </w:r>
      <w:r w:rsidR="00291A26">
        <w:t>desire.</w:t>
      </w:r>
      <w:bookmarkStart w:id="47" w:name="_Ref174791011"/>
      <w:r w:rsidR="00291A26">
        <w:rPr>
          <w:rStyle w:val="FootnoteReference"/>
        </w:rPr>
        <w:footnoteReference w:id="133"/>
      </w:r>
      <w:bookmarkEnd w:id="47"/>
      <w:r w:rsidR="00634B88">
        <w:t xml:space="preserve"> </w:t>
      </w:r>
      <w:r w:rsidR="00F16A88">
        <w:t xml:space="preserve">The force of Wilde’s </w:t>
      </w:r>
      <w:r w:rsidR="00B67BC1">
        <w:t xml:space="preserve">critique is </w:t>
      </w:r>
      <w:r w:rsidR="00E57933">
        <w:t>in</w:t>
      </w:r>
      <w:r w:rsidR="00B67BC1">
        <w:t xml:space="preserve"> the fact that despite being supernaturally shielded from virtually all of the </w:t>
      </w:r>
      <w:r w:rsidR="00FC3E33">
        <w:t xml:space="preserve">natural </w:t>
      </w:r>
      <w:r w:rsidR="00B67BC1">
        <w:t xml:space="preserve">consequences </w:t>
      </w:r>
      <w:r w:rsidR="00FC3E33">
        <w:t>of his actions, Dorian winds up miserable and dead by his own hand.</w:t>
      </w:r>
      <w:r w:rsidR="00F16A88">
        <w:t xml:space="preserve"> </w:t>
      </w:r>
      <w:r w:rsidR="00762142">
        <w:t>Far from “a fresh impulse of joy,”</w:t>
      </w:r>
      <w:bookmarkStart w:id="48" w:name="_Ref174702479"/>
      <w:r w:rsidR="00762142">
        <w:rPr>
          <w:rStyle w:val="FootnoteReference"/>
        </w:rPr>
        <w:footnoteReference w:id="134"/>
      </w:r>
      <w:bookmarkEnd w:id="48"/>
      <w:r w:rsidR="00836750">
        <w:t xml:space="preserve"> as Lord Henry predicted, Dorian’s indulgences brought nothing but suffering </w:t>
      </w:r>
      <w:r w:rsidR="00C96E05">
        <w:t>for him and those around him.</w:t>
      </w:r>
      <w:r w:rsidR="00C77922">
        <w:t xml:space="preserve"> </w:t>
      </w:r>
      <w:r w:rsidR="008B6722">
        <w:t xml:space="preserve">Neither Locke nor the Greeks would </w:t>
      </w:r>
      <w:r w:rsidR="00D57012">
        <w:t xml:space="preserve">have </w:t>
      </w:r>
      <w:r w:rsidR="003E4379">
        <w:t>characterize</w:t>
      </w:r>
      <w:r w:rsidR="00D57012">
        <w:t>d</w:t>
      </w:r>
      <w:r w:rsidR="003E4379">
        <w:t xml:space="preserve"> Dorian’s </w:t>
      </w:r>
      <w:r w:rsidR="00673DF0">
        <w:t xml:space="preserve">tragic </w:t>
      </w:r>
      <w:r w:rsidR="00D15506">
        <w:t>life as “the pursuit of happiness.”</w:t>
      </w:r>
    </w:p>
    <w:p w14:paraId="0D44AF50" w14:textId="77777777" w:rsidR="00FA7547" w:rsidRDefault="00FA7547" w:rsidP="00BA2CA1">
      <w:pPr>
        <w:ind w:firstLine="720"/>
      </w:pPr>
    </w:p>
    <w:p w14:paraId="046347C1" w14:textId="112373B9" w:rsidR="00DF12FF" w:rsidRDefault="00735DD8" w:rsidP="00735DD8">
      <w:pPr>
        <w:pStyle w:val="Heading3"/>
      </w:pPr>
      <w:r>
        <w:t>Epicureanism</w:t>
      </w:r>
    </w:p>
    <w:p w14:paraId="659AB832" w14:textId="77777777" w:rsidR="00796487" w:rsidRDefault="00796487" w:rsidP="00BA2CA1">
      <w:pPr>
        <w:ind w:firstLine="720"/>
      </w:pPr>
    </w:p>
    <w:p w14:paraId="7F695C0F" w14:textId="45A207D0" w:rsidR="00660FFF" w:rsidRDefault="004C7573" w:rsidP="00BA2CA1">
      <w:pPr>
        <w:ind w:firstLine="720"/>
      </w:pPr>
      <w:r>
        <w:t>Because</w:t>
      </w:r>
      <w:r w:rsidR="00A9088F">
        <w:t xml:space="preserve"> the</w:t>
      </w:r>
      <w:r w:rsidR="00BE6CF6">
        <w:t xml:space="preserve"> Ancient Greek philosophers</w:t>
      </w:r>
      <w:r w:rsidR="00A9088F">
        <w:t xml:space="preserve"> unanimously</w:t>
      </w:r>
      <w:r w:rsidR="00BE6CF6">
        <w:t xml:space="preserve"> agreed that happiness </w:t>
      </w:r>
      <w:r w:rsidR="004E51FF">
        <w:t xml:space="preserve">was the ultimate goal of life, </w:t>
      </w:r>
      <w:r w:rsidR="006C5072">
        <w:t>th</w:t>
      </w:r>
      <w:r w:rsidR="00F13056">
        <w:t>ey devoted much of their</w:t>
      </w:r>
      <w:r w:rsidR="006C5072">
        <w:t xml:space="preserve"> </w:t>
      </w:r>
      <w:r w:rsidR="004B6238">
        <w:t xml:space="preserve">individual teachings </w:t>
      </w:r>
      <w:r w:rsidR="00F13056">
        <w:t xml:space="preserve">to </w:t>
      </w:r>
      <w:r w:rsidR="004B6238">
        <w:t>articulating</w:t>
      </w:r>
      <w:r w:rsidR="007355EB">
        <w:t xml:space="preserve"> various means of distinguishing between illusory desires and true happiness</w:t>
      </w:r>
      <w:r w:rsidR="00BF2238">
        <w:t>.</w:t>
      </w:r>
      <w:bookmarkStart w:id="49" w:name="_Ref184893536"/>
      <w:r w:rsidR="00BF2238">
        <w:rPr>
          <w:rStyle w:val="FootnoteReference"/>
        </w:rPr>
        <w:footnoteReference w:id="135"/>
      </w:r>
      <w:bookmarkEnd w:id="49"/>
      <w:r w:rsidR="008E1ACA">
        <w:t xml:space="preserve"> </w:t>
      </w:r>
      <w:r w:rsidR="00EF58D4">
        <w:t xml:space="preserve">One </w:t>
      </w:r>
      <w:r w:rsidR="00D410A1">
        <w:t>Greek philosopher</w:t>
      </w:r>
      <w:r w:rsidR="006D70ED">
        <w:t xml:space="preserve">’s </w:t>
      </w:r>
      <w:r w:rsidR="00175108">
        <w:t xml:space="preserve">proposed </w:t>
      </w:r>
      <w:r w:rsidR="006D70ED">
        <w:t xml:space="preserve">answer to </w:t>
      </w:r>
      <w:r w:rsidR="00DB170C">
        <w:t>the</w:t>
      </w:r>
      <w:r w:rsidR="006D70ED">
        <w:t xml:space="preserve"> dil</w:t>
      </w:r>
      <w:r w:rsidR="00C64E35">
        <w:t xml:space="preserve">emma </w:t>
      </w:r>
      <w:r w:rsidR="00C61200">
        <w:t>exerted</w:t>
      </w:r>
      <w:r w:rsidR="00C64E35">
        <w:t xml:space="preserve"> outsized </w:t>
      </w:r>
      <w:r w:rsidR="00C61200">
        <w:t xml:space="preserve">influence over </w:t>
      </w:r>
      <w:r w:rsidR="0013367E">
        <w:t>Founding-era political theory</w:t>
      </w:r>
      <w:bookmarkStart w:id="50" w:name="_Ref174707659"/>
      <w:r w:rsidR="00F8636C">
        <w:rPr>
          <w:rStyle w:val="FootnoteReference"/>
        </w:rPr>
        <w:footnoteReference w:id="136"/>
      </w:r>
      <w:bookmarkEnd w:id="50"/>
      <w:r w:rsidR="0013367E">
        <w:t xml:space="preserve">: </w:t>
      </w:r>
      <w:r w:rsidR="00DB170C">
        <w:t xml:space="preserve">that of </w:t>
      </w:r>
      <w:r w:rsidR="0013367E">
        <w:t>Epicurus</w:t>
      </w:r>
      <w:r w:rsidR="00F8636C">
        <w:t>, who lived</w:t>
      </w:r>
      <w:r w:rsidR="0072254D">
        <w:t xml:space="preserve"> in Athens between 341 and 270 B.C.E.</w:t>
      </w:r>
      <w:bookmarkStart w:id="51" w:name="_Ref174706984"/>
      <w:r w:rsidR="0072254D">
        <w:rPr>
          <w:rStyle w:val="FootnoteReference"/>
        </w:rPr>
        <w:footnoteReference w:id="137"/>
      </w:r>
      <w:bookmarkEnd w:id="51"/>
      <w:r w:rsidR="00ED6AC5">
        <w:t xml:space="preserve"> </w:t>
      </w:r>
      <w:r w:rsidR="006212AD">
        <w:t xml:space="preserve">Most importantly for my purposes, </w:t>
      </w:r>
      <w:r w:rsidR="008469F3">
        <w:t>Epicureanism profoundly shaped the ideas of John Locke and Thomas Jefferson</w:t>
      </w:r>
      <w:r w:rsidR="00F80152">
        <w:t>.</w:t>
      </w:r>
      <w:bookmarkStart w:id="52" w:name="_Ref174708402"/>
      <w:r w:rsidR="00F80152">
        <w:rPr>
          <w:rStyle w:val="FootnoteReference"/>
        </w:rPr>
        <w:footnoteReference w:id="138"/>
      </w:r>
      <w:bookmarkEnd w:id="52"/>
      <w:r w:rsidR="00175108">
        <w:t xml:space="preserve"> </w:t>
      </w:r>
    </w:p>
    <w:p w14:paraId="28F41FE6" w14:textId="77777777" w:rsidR="00660FFF" w:rsidRDefault="00660FFF" w:rsidP="00BA2CA1">
      <w:pPr>
        <w:ind w:firstLine="720"/>
      </w:pPr>
    </w:p>
    <w:p w14:paraId="1FC6B284" w14:textId="4E8AFB69" w:rsidR="00482632" w:rsidRDefault="00837FF1" w:rsidP="00BA2CA1">
      <w:pPr>
        <w:ind w:firstLine="720"/>
      </w:pPr>
      <w:r>
        <w:t xml:space="preserve">More than any other ancient philosopher, </w:t>
      </w:r>
      <w:r w:rsidR="00482632">
        <w:t xml:space="preserve">Epicurus </w:t>
      </w:r>
      <w:r w:rsidR="00634489">
        <w:t xml:space="preserve">emphasized </w:t>
      </w:r>
      <w:r w:rsidR="0047647A">
        <w:t xml:space="preserve">the </w:t>
      </w:r>
      <w:r w:rsidR="0047647A">
        <w:lastRenderedPageBreak/>
        <w:t xml:space="preserve">utility of subjective pleasure as </w:t>
      </w:r>
      <w:r w:rsidR="007E6390">
        <w:t>a guide toward happiness.</w:t>
      </w:r>
      <w:r w:rsidR="007E6390">
        <w:rPr>
          <w:rStyle w:val="FootnoteReference"/>
        </w:rPr>
        <w:footnoteReference w:id="139"/>
      </w:r>
      <w:r>
        <w:t xml:space="preserve"> </w:t>
      </w:r>
      <w:r w:rsidR="00344F49">
        <w:t>Despite</w:t>
      </w:r>
      <w:r w:rsidR="00463CFB">
        <w:t xml:space="preserve"> </w:t>
      </w:r>
      <w:r w:rsidR="00344F49">
        <w:t>later</w:t>
      </w:r>
      <w:r w:rsidR="00463CFB">
        <w:t xml:space="preserve"> </w:t>
      </w:r>
      <w:r w:rsidR="006E1D85">
        <w:t xml:space="preserve">associations of “epicureanism” with </w:t>
      </w:r>
      <w:r w:rsidR="007279D7">
        <w:t>self-</w:t>
      </w:r>
      <w:r w:rsidR="006E1D85">
        <w:t xml:space="preserve">indulgence and </w:t>
      </w:r>
      <w:r w:rsidR="007279D7">
        <w:t>materialism</w:t>
      </w:r>
      <w:r w:rsidR="006E1D85">
        <w:t>,</w:t>
      </w:r>
      <w:r w:rsidR="000D17DE">
        <w:rPr>
          <w:rStyle w:val="FootnoteReference"/>
        </w:rPr>
        <w:footnoteReference w:id="140"/>
      </w:r>
      <w:r w:rsidR="006E1D85">
        <w:t xml:space="preserve"> ho</w:t>
      </w:r>
      <w:r w:rsidR="004458B2">
        <w:t xml:space="preserve">wever, </w:t>
      </w:r>
      <w:r w:rsidR="00E67B6C">
        <w:t xml:space="preserve">Epicurus understood </w:t>
      </w:r>
      <w:r w:rsidR="005D1CCC">
        <w:t>that</w:t>
      </w:r>
      <w:r w:rsidR="0070167D">
        <w:t xml:space="preserve"> gratifying</w:t>
      </w:r>
      <w:r w:rsidR="00CE5027">
        <w:t xml:space="preserve"> every passing desire that happened to arise within an individual would not make that person happy</w:t>
      </w:r>
      <w:r w:rsidR="00775C12">
        <w:t>.</w:t>
      </w:r>
      <w:r w:rsidR="00775C12">
        <w:rPr>
          <w:rStyle w:val="FootnoteReference"/>
        </w:rPr>
        <w:footnoteReference w:id="141"/>
      </w:r>
      <w:r w:rsidR="00F01F25">
        <w:t xml:space="preserve"> </w:t>
      </w:r>
      <w:r w:rsidR="00D57624">
        <w:t xml:space="preserve">Rather, </w:t>
      </w:r>
      <w:r w:rsidR="00DF3196">
        <w:t xml:space="preserve">the gratification of </w:t>
      </w:r>
      <w:r w:rsidR="00D57624">
        <w:t xml:space="preserve">some desires </w:t>
      </w:r>
      <w:r w:rsidR="008E02FD">
        <w:t>lead</w:t>
      </w:r>
      <w:r w:rsidR="00DF3196">
        <w:t>s</w:t>
      </w:r>
      <w:r w:rsidR="008E02FD">
        <w:t xml:space="preserve"> to happiness </w:t>
      </w:r>
      <w:r w:rsidR="00DF3196">
        <w:t>while</w:t>
      </w:r>
      <w:r w:rsidR="00212786">
        <w:t xml:space="preserve"> </w:t>
      </w:r>
      <w:r w:rsidR="00DF3196">
        <w:t xml:space="preserve">the gratification of </w:t>
      </w:r>
      <w:r w:rsidR="00212786">
        <w:t>others do</w:t>
      </w:r>
      <w:r w:rsidR="00DF3196">
        <w:t>es</w:t>
      </w:r>
      <w:r w:rsidR="00212786">
        <w:t xml:space="preserve"> not</w:t>
      </w:r>
      <w:r w:rsidR="00915C29">
        <w:t>.</w:t>
      </w:r>
      <w:r w:rsidR="00DF3196">
        <w:t xml:space="preserve"> </w:t>
      </w:r>
      <w:r w:rsidR="003E54A2">
        <w:t xml:space="preserve">Epicurus devised a system to </w:t>
      </w:r>
      <w:r w:rsidR="00B70C24">
        <w:t>help distinguish between the two.</w:t>
      </w:r>
    </w:p>
    <w:p w14:paraId="52DB1DCD" w14:textId="77777777" w:rsidR="00B70C24" w:rsidRDefault="00B70C24" w:rsidP="00BA2CA1">
      <w:pPr>
        <w:ind w:firstLine="720"/>
      </w:pPr>
    </w:p>
    <w:p w14:paraId="6956035A" w14:textId="7508B995" w:rsidR="00B70C24" w:rsidRDefault="00B70C24" w:rsidP="00BA2CA1">
      <w:pPr>
        <w:ind w:firstLine="720"/>
      </w:pPr>
      <w:r>
        <w:t xml:space="preserve">Epicurus </w:t>
      </w:r>
      <w:r w:rsidR="00FD25A4">
        <w:t>divided subjective desires in two basic ways.</w:t>
      </w:r>
      <w:bookmarkStart w:id="53" w:name="_Ref176519940"/>
      <w:r w:rsidR="006127AE">
        <w:rPr>
          <w:rStyle w:val="FootnoteReference"/>
        </w:rPr>
        <w:footnoteReference w:id="142"/>
      </w:r>
      <w:bookmarkEnd w:id="53"/>
      <w:r w:rsidR="00FD25A4">
        <w:t xml:space="preserve"> First, he divided </w:t>
      </w:r>
      <w:r w:rsidR="00071FC3">
        <w:t>“natural” desires from “empty” desires.</w:t>
      </w:r>
      <w:r w:rsidR="00D43A52">
        <w:rPr>
          <w:rStyle w:val="FootnoteReference"/>
        </w:rPr>
        <w:footnoteReference w:id="143"/>
      </w:r>
      <w:r w:rsidR="00D065A4">
        <w:t xml:space="preserve"> </w:t>
      </w:r>
      <w:r w:rsidR="000664E9">
        <w:t xml:space="preserve">Natural desires are those </w:t>
      </w:r>
      <w:r w:rsidR="00052A44">
        <w:t>over which humans have no control</w:t>
      </w:r>
      <w:r w:rsidR="00325D67">
        <w:t xml:space="preserve">, including biological necessities such as eating, drinking, and sleeping as well as emotional </w:t>
      </w:r>
      <w:r w:rsidR="00307DC3">
        <w:t>requirements such as love</w:t>
      </w:r>
      <w:r w:rsidR="000F6820">
        <w:t xml:space="preserve"> and humor.</w:t>
      </w:r>
      <w:bookmarkStart w:id="54" w:name="_Ref178324504"/>
      <w:r w:rsidR="000F6820">
        <w:rPr>
          <w:rStyle w:val="FootnoteReference"/>
        </w:rPr>
        <w:footnoteReference w:id="144"/>
      </w:r>
      <w:bookmarkEnd w:id="54"/>
      <w:r w:rsidR="00052A44">
        <w:t xml:space="preserve"> </w:t>
      </w:r>
      <w:r w:rsidR="001B4DCE">
        <w:t xml:space="preserve">Empty desires, by contrast, are those that </w:t>
      </w:r>
      <w:r w:rsidR="00C56BFB">
        <w:t>are</w:t>
      </w:r>
      <w:r w:rsidR="00A22F5A">
        <w:t xml:space="preserve"> </w:t>
      </w:r>
      <w:r w:rsidR="00BE080C">
        <w:t xml:space="preserve">based on </w:t>
      </w:r>
      <w:r w:rsidR="00047B6F">
        <w:t>faulty</w:t>
      </w:r>
      <w:r w:rsidR="00BE080C">
        <w:t xml:space="preserve"> beliefs</w:t>
      </w:r>
      <w:r w:rsidR="00964A0E">
        <w:t>—</w:t>
      </w:r>
      <w:r w:rsidR="00F17CCE">
        <w:t>be</w:t>
      </w:r>
      <w:r w:rsidR="00964A0E">
        <w:t xml:space="preserve">liefs that are not merely factually </w:t>
      </w:r>
      <w:r w:rsidR="00F46276">
        <w:t>mistaken</w:t>
      </w:r>
      <w:r w:rsidR="00964A0E">
        <w:t xml:space="preserve"> but so </w:t>
      </w:r>
      <w:r w:rsidR="00F46276">
        <w:t>wrong</w:t>
      </w:r>
      <w:r w:rsidR="005B6EA3">
        <w:t xml:space="preserve"> as to be harmful or dysfunctional</w:t>
      </w:r>
      <w:r w:rsidR="00BD3422">
        <w:t>.</w:t>
      </w:r>
      <w:r w:rsidR="00BD3422">
        <w:rPr>
          <w:rStyle w:val="FootnoteReference"/>
        </w:rPr>
        <w:footnoteReference w:id="145"/>
      </w:r>
      <w:r w:rsidR="00F17CCE">
        <w:t xml:space="preserve"> </w:t>
      </w:r>
      <w:r w:rsidR="00DC77F0">
        <w:t xml:space="preserve">Gratifying natural desires </w:t>
      </w:r>
      <w:r w:rsidR="00000320">
        <w:t>leads</w:t>
      </w:r>
      <w:r w:rsidR="00DC77F0">
        <w:t xml:space="preserve"> individuals to </w:t>
      </w:r>
      <w:r w:rsidR="00104C19">
        <w:t xml:space="preserve">fulfill </w:t>
      </w:r>
      <w:r w:rsidR="00623792">
        <w:t>their</w:t>
      </w:r>
      <w:r w:rsidR="00104C19">
        <w:t xml:space="preserve"> nature</w:t>
      </w:r>
      <w:r w:rsidR="00000320">
        <w:t xml:space="preserve">s and </w:t>
      </w:r>
      <w:r w:rsidR="00696D06">
        <w:t>thereby</w:t>
      </w:r>
      <w:r w:rsidR="00000320">
        <w:t xml:space="preserve"> to </w:t>
      </w:r>
      <w:r w:rsidR="00696D06">
        <w:t>become happy</w:t>
      </w:r>
      <w:r w:rsidR="00000320">
        <w:rPr>
          <w:rStyle w:val="FootnoteReference"/>
        </w:rPr>
        <w:footnoteReference w:id="146"/>
      </w:r>
      <w:r w:rsidR="00000320">
        <w:t xml:space="preserve">; gratifying empty desires </w:t>
      </w:r>
      <w:r w:rsidR="00540449">
        <w:t>leads</w:t>
      </w:r>
      <w:r w:rsidR="00BE557C">
        <w:t xml:space="preserve"> individuals </w:t>
      </w:r>
      <w:r w:rsidR="00623792">
        <w:t xml:space="preserve">to act contrary to their natures, </w:t>
      </w:r>
      <w:r w:rsidR="005D1A1E">
        <w:t xml:space="preserve">frustrating their </w:t>
      </w:r>
      <w:r w:rsidR="00691EED">
        <w:t>quest for happiness and wasting valuable time and energy.</w:t>
      </w:r>
      <w:bookmarkStart w:id="55" w:name="_Ref184288173"/>
      <w:r w:rsidR="00691EED">
        <w:rPr>
          <w:rStyle w:val="FootnoteReference"/>
        </w:rPr>
        <w:footnoteReference w:id="147"/>
      </w:r>
      <w:bookmarkEnd w:id="55"/>
    </w:p>
    <w:p w14:paraId="111490C9" w14:textId="77777777" w:rsidR="00691EED" w:rsidRDefault="00691EED" w:rsidP="00BA2CA1">
      <w:pPr>
        <w:ind w:firstLine="720"/>
      </w:pPr>
    </w:p>
    <w:p w14:paraId="4C3DC673" w14:textId="6E0CE3A3" w:rsidR="00587C42" w:rsidRDefault="004304C6" w:rsidP="00104185">
      <w:pPr>
        <w:ind w:firstLine="720"/>
      </w:pPr>
      <w:r>
        <w:t xml:space="preserve">Epicurus further divided </w:t>
      </w:r>
      <w:r w:rsidR="00FF129F">
        <w:t>natural desires into “necessary” and “non-necessary” desires.</w:t>
      </w:r>
      <w:bookmarkStart w:id="56" w:name="_Ref184297468"/>
      <w:r w:rsidR="00FF129F">
        <w:rPr>
          <w:rStyle w:val="FootnoteReference"/>
        </w:rPr>
        <w:footnoteReference w:id="148"/>
      </w:r>
      <w:bookmarkEnd w:id="56"/>
      <w:r w:rsidR="00190749">
        <w:t xml:space="preserve"> These categories correspond roughly with “needing” </w:t>
      </w:r>
      <w:r w:rsidR="00190749">
        <w:lastRenderedPageBreak/>
        <w:t>versus</w:t>
      </w:r>
      <w:r w:rsidR="00B13E69">
        <w:t xml:space="preserve"> “wanting.”</w:t>
      </w:r>
      <w:r w:rsidR="00200FA2">
        <w:rPr>
          <w:rStyle w:val="FootnoteReference"/>
        </w:rPr>
        <w:footnoteReference w:id="149"/>
      </w:r>
      <w:r w:rsidR="0058018A">
        <w:t xml:space="preserve"> “A desire is necessary if we cannot be happy, or healthy, or even alive, if we do not have the object of that desire.”</w:t>
      </w:r>
      <w:bookmarkStart w:id="57" w:name="_Ref185769022"/>
      <w:r w:rsidR="0058018A">
        <w:rPr>
          <w:rStyle w:val="FootnoteReference"/>
        </w:rPr>
        <w:footnoteReference w:id="150"/>
      </w:r>
      <w:bookmarkEnd w:id="57"/>
      <w:r w:rsidR="00255329">
        <w:t xml:space="preserve"> </w:t>
      </w:r>
      <w:r w:rsidR="00A10CAE">
        <w:t xml:space="preserve">All other desires are </w:t>
      </w:r>
      <w:r w:rsidR="00255329">
        <w:t>non-necessary.</w:t>
      </w:r>
      <w:r w:rsidR="00A10CAE">
        <w:rPr>
          <w:rStyle w:val="FootnoteReference"/>
        </w:rPr>
        <w:footnoteReference w:id="151"/>
      </w:r>
      <w:r w:rsidR="002A1182">
        <w:t xml:space="preserve"> The necessity of a desire often turns on the level of specificity of its object.</w:t>
      </w:r>
      <w:r w:rsidR="002A1182">
        <w:rPr>
          <w:rStyle w:val="FootnoteReference"/>
        </w:rPr>
        <w:footnoteReference w:id="152"/>
      </w:r>
      <w:r w:rsidR="00434789">
        <w:t xml:space="preserve"> </w:t>
      </w:r>
      <w:r w:rsidR="007F6995">
        <w:t xml:space="preserve">In other words, </w:t>
      </w:r>
      <w:r w:rsidR="008B4900">
        <w:t xml:space="preserve">while the </w:t>
      </w:r>
      <w:r w:rsidR="00B16018">
        <w:t>general desire</w:t>
      </w:r>
      <w:r w:rsidR="008B4900">
        <w:t xml:space="preserve"> for food is undeniably both natural and necessary, </w:t>
      </w:r>
      <w:r w:rsidR="00B16018">
        <w:t xml:space="preserve">the desire for a specific </w:t>
      </w:r>
      <w:r w:rsidR="00B16018">
        <w:rPr>
          <w:i/>
          <w:iCs/>
        </w:rPr>
        <w:t>type</w:t>
      </w:r>
      <w:r w:rsidR="00B16018">
        <w:t xml:space="preserve"> of food is </w:t>
      </w:r>
      <w:r w:rsidR="009250FE">
        <w:t>usually non-necessary.</w:t>
      </w:r>
      <w:bookmarkStart w:id="58" w:name="_Ref178933208"/>
      <w:r w:rsidR="009250FE">
        <w:rPr>
          <w:rStyle w:val="FootnoteReference"/>
        </w:rPr>
        <w:footnoteReference w:id="153"/>
      </w:r>
      <w:bookmarkEnd w:id="58"/>
      <w:r w:rsidR="00E53282">
        <w:t xml:space="preserve"> Indeed</w:t>
      </w:r>
      <w:r w:rsidR="00990786">
        <w:t>, insistence upon</w:t>
      </w:r>
      <w:r w:rsidR="006D38D7">
        <w:t xml:space="preserve"> fulfill</w:t>
      </w:r>
      <w:r w:rsidR="00990786">
        <w:t>ing</w:t>
      </w:r>
      <w:r w:rsidR="006D38D7">
        <w:t xml:space="preserve"> a natural</w:t>
      </w:r>
      <w:r w:rsidR="004B6E03">
        <w:t xml:space="preserve"> desire in a </w:t>
      </w:r>
      <w:r w:rsidR="00A821EB">
        <w:t>specific</w:t>
      </w:r>
      <w:r w:rsidR="004B6E03">
        <w:t xml:space="preserve"> way </w:t>
      </w:r>
      <w:r w:rsidR="00535C0B">
        <w:t>can</w:t>
      </w:r>
      <w:r w:rsidR="004B6E03">
        <w:t xml:space="preserve"> even </w:t>
      </w:r>
      <w:r w:rsidR="006A757F">
        <w:t>transform the desire into an empty one, since</w:t>
      </w:r>
      <w:r w:rsidR="00A821EB">
        <w:t xml:space="preserve"> such a</w:t>
      </w:r>
      <w:r w:rsidR="006A757F">
        <w:t xml:space="preserve"> demand is based upon the false belief that only </w:t>
      </w:r>
      <w:r w:rsidR="00165231">
        <w:t>one</w:t>
      </w:r>
      <w:r w:rsidR="00C1274A">
        <w:t xml:space="preserve"> particular object can satisfy the more general need.</w:t>
      </w:r>
      <w:bookmarkStart w:id="59" w:name="_Ref176519950"/>
      <w:r w:rsidR="00C1274A">
        <w:rPr>
          <w:rStyle w:val="FootnoteReference"/>
        </w:rPr>
        <w:footnoteReference w:id="154"/>
      </w:r>
      <w:bookmarkEnd w:id="59"/>
      <w:r w:rsidR="00474C2E">
        <w:t xml:space="preserve"> It is both natural and necessary for me to eat</w:t>
      </w:r>
      <w:r w:rsidR="00CA4C5E">
        <w:t xml:space="preserve"> regular meals</w:t>
      </w:r>
      <w:r w:rsidR="00474C2E">
        <w:t xml:space="preserve">, but if </w:t>
      </w:r>
      <w:r w:rsidR="00CA4C5E">
        <w:t xml:space="preserve">I refuse to eat anything but </w:t>
      </w:r>
      <w:r w:rsidR="006311EC">
        <w:t xml:space="preserve">cheeseburgers and </w:t>
      </w:r>
      <w:r w:rsidR="00CA4C5E">
        <w:t xml:space="preserve">cheesecake, </w:t>
      </w:r>
      <w:r w:rsidR="00CC2EA1">
        <w:t xml:space="preserve">my desire </w:t>
      </w:r>
      <w:r w:rsidR="00396E99">
        <w:t>will become</w:t>
      </w:r>
      <w:r w:rsidR="00CC2EA1">
        <w:t xml:space="preserve"> empty</w:t>
      </w:r>
      <w:r w:rsidR="00396E99">
        <w:t xml:space="preserve"> even as my arteries fill up with cholesterol</w:t>
      </w:r>
      <w:r w:rsidR="00CC2EA1">
        <w:t>.</w:t>
      </w:r>
    </w:p>
    <w:p w14:paraId="4E1328D9" w14:textId="77777777" w:rsidR="00D159DD" w:rsidRDefault="00D159DD" w:rsidP="00104185">
      <w:pPr>
        <w:ind w:firstLine="720"/>
      </w:pPr>
    </w:p>
    <w:p w14:paraId="60FDA2E4" w14:textId="63E335AA" w:rsidR="00F85E2C" w:rsidRDefault="009A28AE" w:rsidP="00847EC9">
      <w:pPr>
        <w:ind w:firstLine="720"/>
      </w:pPr>
      <w:r>
        <w:t xml:space="preserve">Taken together, Epicurus’ classification of desire may be mapped out in the following grid: </w:t>
      </w:r>
    </w:p>
    <w:p w14:paraId="6E52A49C" w14:textId="77777777" w:rsidR="00847EC9" w:rsidRDefault="00847EC9" w:rsidP="00F85E2C">
      <w:pPr>
        <w:ind w:firstLine="0"/>
      </w:pPr>
    </w:p>
    <w:p w14:paraId="5D5C6294" w14:textId="740DEF8D" w:rsidR="00F85E2C" w:rsidRDefault="00F85E2C" w:rsidP="00F85E2C">
      <w:pPr>
        <w:ind w:firstLine="0"/>
      </w:pPr>
      <w:r>
        <w:t>Fig 1. Epicurus’ Classification of Subjective Desires</w:t>
      </w:r>
      <w:bookmarkStart w:id="60" w:name="_Ref184893551"/>
      <w:r w:rsidR="00442BDF">
        <w:rPr>
          <w:rStyle w:val="FootnoteReference"/>
        </w:rPr>
        <w:footnoteReference w:id="155"/>
      </w:r>
      <w:bookmarkEnd w:id="60"/>
    </w:p>
    <w:p w14:paraId="4393F5E6" w14:textId="77777777" w:rsidR="00F85E2C" w:rsidRDefault="00F85E2C" w:rsidP="00F85E2C">
      <w:pPr>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412"/>
        <w:gridCol w:w="2520"/>
      </w:tblGrid>
      <w:tr w:rsidR="00DE3FA0" w14:paraId="71D556F2" w14:textId="77777777">
        <w:tc>
          <w:tcPr>
            <w:tcW w:w="2628" w:type="dxa"/>
            <w:shd w:val="clear" w:color="auto" w:fill="D9D9D9"/>
          </w:tcPr>
          <w:p w14:paraId="5EEBA08A" w14:textId="77777777" w:rsidR="00F85E2C" w:rsidRDefault="00F85E2C">
            <w:pPr>
              <w:ind w:firstLine="0"/>
              <w:jc w:val="center"/>
            </w:pPr>
          </w:p>
        </w:tc>
        <w:tc>
          <w:tcPr>
            <w:tcW w:w="2412" w:type="dxa"/>
            <w:shd w:val="clear" w:color="auto" w:fill="F2F2F2"/>
          </w:tcPr>
          <w:p w14:paraId="107AB6A9" w14:textId="2B24C4DE" w:rsidR="00F85E2C" w:rsidRDefault="00442BDF">
            <w:pPr>
              <w:ind w:firstLine="0"/>
              <w:jc w:val="center"/>
              <w:rPr>
                <w:b/>
                <w:bCs/>
                <w:smallCaps/>
              </w:rPr>
            </w:pPr>
            <w:r>
              <w:rPr>
                <w:b/>
                <w:bCs/>
                <w:smallCaps/>
              </w:rPr>
              <w:t>Natural</w:t>
            </w:r>
          </w:p>
        </w:tc>
        <w:tc>
          <w:tcPr>
            <w:tcW w:w="2520" w:type="dxa"/>
            <w:shd w:val="clear" w:color="auto" w:fill="F2F2F2"/>
          </w:tcPr>
          <w:p w14:paraId="4EBE33C8" w14:textId="00BAE84B" w:rsidR="00F85E2C" w:rsidRDefault="00442BDF">
            <w:pPr>
              <w:ind w:firstLine="0"/>
              <w:jc w:val="center"/>
              <w:rPr>
                <w:b/>
                <w:bCs/>
                <w:smallCaps/>
              </w:rPr>
            </w:pPr>
            <w:r>
              <w:rPr>
                <w:b/>
                <w:bCs/>
                <w:smallCaps/>
              </w:rPr>
              <w:t>Empty</w:t>
            </w:r>
          </w:p>
        </w:tc>
      </w:tr>
      <w:tr w:rsidR="00DE3FA0" w14:paraId="5C87DDD6" w14:textId="77777777">
        <w:trPr>
          <w:trHeight w:val="1169"/>
        </w:trPr>
        <w:tc>
          <w:tcPr>
            <w:tcW w:w="2628" w:type="dxa"/>
            <w:shd w:val="clear" w:color="auto" w:fill="F2F2F2"/>
          </w:tcPr>
          <w:p w14:paraId="20757335" w14:textId="09E02CA1" w:rsidR="00F85E2C" w:rsidRDefault="00442BDF">
            <w:pPr>
              <w:ind w:firstLine="0"/>
              <w:jc w:val="center"/>
              <w:rPr>
                <w:b/>
                <w:bCs/>
                <w:smallCaps/>
              </w:rPr>
            </w:pPr>
            <w:r>
              <w:rPr>
                <w:b/>
                <w:bCs/>
                <w:smallCaps/>
              </w:rPr>
              <w:t>Non-Necessary</w:t>
            </w:r>
          </w:p>
        </w:tc>
        <w:tc>
          <w:tcPr>
            <w:tcW w:w="2412" w:type="dxa"/>
            <w:shd w:val="clear" w:color="auto" w:fill="auto"/>
          </w:tcPr>
          <w:p w14:paraId="54D1844E" w14:textId="118422B1" w:rsidR="00F85E2C" w:rsidRDefault="006252F2">
            <w:pPr>
              <w:ind w:firstLine="0"/>
              <w:jc w:val="left"/>
            </w:pPr>
            <w:r>
              <w:t>Specific objects of natural desires</w:t>
            </w:r>
          </w:p>
        </w:tc>
        <w:tc>
          <w:tcPr>
            <w:tcW w:w="2520" w:type="dxa"/>
            <w:shd w:val="clear" w:color="auto" w:fill="auto"/>
          </w:tcPr>
          <w:p w14:paraId="04CD8C31" w14:textId="79D1BC46" w:rsidR="00F85E2C" w:rsidRDefault="00B1288A">
            <w:pPr>
              <w:ind w:firstLine="0"/>
              <w:jc w:val="left"/>
            </w:pPr>
            <w:r>
              <w:t xml:space="preserve">Desires based on beliefs that are </w:t>
            </w:r>
            <w:r w:rsidR="00AF3652">
              <w:t>both</w:t>
            </w:r>
            <w:proofErr w:type="gramStart"/>
            <w:r w:rsidR="00AF3652">
              <w:t xml:space="preserve"> </w:t>
            </w:r>
            <w:r w:rsidR="00872F8C">
              <w:t xml:space="preserve">  </w:t>
            </w:r>
            <w:r>
              <w:t>(</w:t>
            </w:r>
            <w:proofErr w:type="gramEnd"/>
            <w:r>
              <w:t xml:space="preserve">1) false and (2) harmful. </w:t>
            </w:r>
          </w:p>
        </w:tc>
      </w:tr>
      <w:tr w:rsidR="00DE3FA0" w14:paraId="4A8BB052" w14:textId="77777777">
        <w:trPr>
          <w:trHeight w:val="1421"/>
        </w:trPr>
        <w:tc>
          <w:tcPr>
            <w:tcW w:w="2628" w:type="dxa"/>
            <w:shd w:val="clear" w:color="auto" w:fill="F2F2F2"/>
          </w:tcPr>
          <w:p w14:paraId="635630C2" w14:textId="0B278D05" w:rsidR="00F85E2C" w:rsidRDefault="00442BDF">
            <w:pPr>
              <w:ind w:firstLine="0"/>
              <w:jc w:val="center"/>
              <w:rPr>
                <w:b/>
                <w:bCs/>
                <w:smallCaps/>
              </w:rPr>
            </w:pPr>
            <w:r>
              <w:rPr>
                <w:b/>
                <w:bCs/>
                <w:smallCaps/>
              </w:rPr>
              <w:t>Necessary</w:t>
            </w:r>
          </w:p>
        </w:tc>
        <w:tc>
          <w:tcPr>
            <w:tcW w:w="2412" w:type="dxa"/>
            <w:shd w:val="clear" w:color="auto" w:fill="auto"/>
          </w:tcPr>
          <w:p w14:paraId="7C997065" w14:textId="425F8462" w:rsidR="00F85E2C" w:rsidRDefault="00C22515">
            <w:pPr>
              <w:ind w:firstLine="0"/>
              <w:jc w:val="left"/>
            </w:pPr>
            <w:r>
              <w:t xml:space="preserve">Desires </w:t>
            </w:r>
            <w:r w:rsidR="00645BFE">
              <w:t>without which humans cannot live or be</w:t>
            </w:r>
            <w:r w:rsidR="002303DD">
              <w:t xml:space="preserve"> physically,</w:t>
            </w:r>
            <w:r w:rsidR="006F51DF">
              <w:t xml:space="preserve"> mentally, or emotionally healthy</w:t>
            </w:r>
            <w:r w:rsidR="002303DD">
              <w:t xml:space="preserve"> </w:t>
            </w:r>
            <w:r w:rsidR="00645BFE">
              <w:t xml:space="preserve"> </w:t>
            </w:r>
          </w:p>
        </w:tc>
        <w:tc>
          <w:tcPr>
            <w:tcW w:w="2520" w:type="dxa"/>
            <w:shd w:val="clear" w:color="auto" w:fill="000000"/>
          </w:tcPr>
          <w:p w14:paraId="2579BE71" w14:textId="77777777" w:rsidR="00F85E2C" w:rsidRDefault="00F85E2C">
            <w:pPr>
              <w:ind w:firstLine="0"/>
              <w:jc w:val="center"/>
            </w:pPr>
          </w:p>
        </w:tc>
      </w:tr>
    </w:tbl>
    <w:p w14:paraId="16816853" w14:textId="77777777" w:rsidR="00F85E2C" w:rsidRDefault="00F85E2C" w:rsidP="00F85E2C">
      <w:pPr>
        <w:ind w:firstLine="0"/>
      </w:pPr>
    </w:p>
    <w:p w14:paraId="7003F793" w14:textId="4E09C023" w:rsidR="00F74BF3" w:rsidRDefault="00212977" w:rsidP="00442492">
      <w:pPr>
        <w:ind w:firstLine="720"/>
      </w:pPr>
      <w:r>
        <w:t xml:space="preserve">Consider the desires of </w:t>
      </w:r>
      <w:r>
        <w:rPr>
          <w:i/>
          <w:iCs/>
        </w:rPr>
        <w:t>Dorian Gray</w:t>
      </w:r>
      <w:r>
        <w:t xml:space="preserve">’s characters according to this </w:t>
      </w:r>
      <w:r>
        <w:lastRenderedPageBreak/>
        <w:t>matrix.</w:t>
      </w:r>
      <w:r w:rsidR="00A112D3">
        <w:rPr>
          <w:rStyle w:val="FootnoteReference"/>
        </w:rPr>
        <w:footnoteReference w:id="156"/>
      </w:r>
      <w:r>
        <w:t xml:space="preserve"> </w:t>
      </w:r>
      <w:r w:rsidR="00431659">
        <w:t xml:space="preserve">Assuming that Dorian’s friend and painter </w:t>
      </w:r>
      <w:r w:rsidR="004F0851">
        <w:t>Basil was in love with him,</w:t>
      </w:r>
      <w:r w:rsidR="004F0851">
        <w:rPr>
          <w:rStyle w:val="FootnoteReference"/>
        </w:rPr>
        <w:footnoteReference w:id="157"/>
      </w:r>
      <w:r w:rsidR="00E64E9B">
        <w:tab/>
      </w:r>
      <w:r w:rsidR="00B90E75">
        <w:t xml:space="preserve">Basil’s sexual and romantic desire for Dorian </w:t>
      </w:r>
      <w:r w:rsidR="00925364">
        <w:t>was</w:t>
      </w:r>
      <w:r w:rsidR="00B90E75">
        <w:t xml:space="preserve"> natural and necessary</w:t>
      </w:r>
      <w:r w:rsidR="00527450">
        <w:t xml:space="preserve">; humans who </w:t>
      </w:r>
      <w:r w:rsidR="000F6225">
        <w:t>feel</w:t>
      </w:r>
      <w:r w:rsidR="00527450">
        <w:t xml:space="preserve"> sexual and romantic attraction</w:t>
      </w:r>
      <w:r w:rsidR="007900AA">
        <w:rPr>
          <w:rStyle w:val="FootnoteReference"/>
        </w:rPr>
        <w:footnoteReference w:id="158"/>
      </w:r>
      <w:r w:rsidR="00903282">
        <w:t>—including for members of the same gender—</w:t>
      </w:r>
      <w:r w:rsidR="000F6225">
        <w:t>experience such feelings as</w:t>
      </w:r>
      <w:r w:rsidR="00D07E79">
        <w:t xml:space="preserve"> uncontrollable needs and experience </w:t>
      </w:r>
      <w:r w:rsidR="000F6225">
        <w:t>pain when such needs</w:t>
      </w:r>
      <w:r w:rsidR="00136EA5">
        <w:t xml:space="preserve"> </w:t>
      </w:r>
      <w:r w:rsidR="007900AA">
        <w:t>go completely unmet.</w:t>
      </w:r>
      <w:r w:rsidR="007900AA">
        <w:rPr>
          <w:rStyle w:val="FootnoteReference"/>
        </w:rPr>
        <w:footnoteReference w:id="159"/>
      </w:r>
      <w:r w:rsidR="007F3626">
        <w:t xml:space="preserve"> </w:t>
      </w:r>
      <w:r w:rsidR="00446134">
        <w:t xml:space="preserve">That said, Basil’s desire to satisfy </w:t>
      </w:r>
      <w:r w:rsidR="00C91A88">
        <w:t xml:space="preserve">his generic sexual and romantic needs with Dorian specifically was </w:t>
      </w:r>
      <w:r w:rsidR="00CF4FD5">
        <w:t xml:space="preserve">non-necessary. Had Basil insisted upon </w:t>
      </w:r>
      <w:r w:rsidR="00003A13">
        <w:t xml:space="preserve">attempting to </w:t>
      </w:r>
      <w:r w:rsidR="00CF4FD5">
        <w:t xml:space="preserve">do so </w:t>
      </w:r>
      <w:r w:rsidR="00A90F11">
        <w:t xml:space="preserve">heedless of </w:t>
      </w:r>
      <w:r w:rsidR="008236D5">
        <w:t>reality</w:t>
      </w:r>
      <w:r w:rsidR="00EC4915">
        <w:t xml:space="preserve">, such as </w:t>
      </w:r>
      <w:r w:rsidR="00582312">
        <w:t>Dorian’s refusal or unavailability</w:t>
      </w:r>
      <w:r w:rsidR="00EC4915">
        <w:t xml:space="preserve">, </w:t>
      </w:r>
      <w:r w:rsidR="002246B7">
        <w:t>the desire would have become empty.</w:t>
      </w:r>
      <w:r w:rsidR="00F643BC">
        <w:t xml:space="preserve"> Perhaps it did.</w:t>
      </w:r>
      <w:r w:rsidR="00F643BC">
        <w:rPr>
          <w:rStyle w:val="FootnoteReference"/>
        </w:rPr>
        <w:footnoteReference w:id="160"/>
      </w:r>
      <w:r w:rsidR="00F643BC">
        <w:t xml:space="preserve"> Perhaps Basil’s obsession was part of </w:t>
      </w:r>
      <w:r w:rsidR="00883339">
        <w:t>his</w:t>
      </w:r>
      <w:r w:rsidR="00F643BC">
        <w:t xml:space="preserve"> drive to seek out Dorian on the night Dorian murdered him.</w:t>
      </w:r>
      <w:r w:rsidR="0013553A">
        <w:rPr>
          <w:rStyle w:val="FootnoteReference"/>
        </w:rPr>
        <w:footnoteReference w:id="161"/>
      </w:r>
    </w:p>
    <w:p w14:paraId="4A5286BA" w14:textId="1E043FE0" w:rsidR="00F74BF3" w:rsidRDefault="00BA36EB" w:rsidP="00F85E2C">
      <w:pPr>
        <w:ind w:firstLine="0"/>
      </w:pPr>
      <w:r>
        <w:tab/>
      </w:r>
    </w:p>
    <w:p w14:paraId="709E06A6" w14:textId="7A7B7741" w:rsidR="00920C6D" w:rsidRDefault="00BA36EB" w:rsidP="00F85E2C">
      <w:pPr>
        <w:ind w:firstLine="0"/>
      </w:pPr>
      <w:r>
        <w:tab/>
      </w:r>
      <w:r w:rsidR="00022645">
        <w:t>By contrast,</w:t>
      </w:r>
      <w:r w:rsidR="004B6375">
        <w:t xml:space="preserve"> all </w:t>
      </w:r>
      <w:r w:rsidR="00022645">
        <w:t xml:space="preserve">Dorian’s desires </w:t>
      </w:r>
      <w:r w:rsidR="004B6375">
        <w:t xml:space="preserve">became </w:t>
      </w:r>
      <w:r w:rsidR="00022645">
        <w:t>empty</w:t>
      </w:r>
      <w:r w:rsidR="004B6375">
        <w:t xml:space="preserve"> the moment he fell under Lord Henry’s sway.</w:t>
      </w:r>
      <w:r w:rsidR="004B6375">
        <w:rPr>
          <w:rStyle w:val="FootnoteReference"/>
        </w:rPr>
        <w:footnoteReference w:id="162"/>
      </w:r>
      <w:r w:rsidR="007D6FB1">
        <w:t xml:space="preserve"> </w:t>
      </w:r>
      <w:r w:rsidR="001B3E20">
        <w:t xml:space="preserve">They </w:t>
      </w:r>
      <w:r w:rsidR="00E16CBF">
        <w:t xml:space="preserve">were empty because they were based on </w:t>
      </w:r>
      <w:r w:rsidR="00B44603">
        <w:t xml:space="preserve">the </w:t>
      </w:r>
      <w:r w:rsidR="00E16CBF">
        <w:t xml:space="preserve">belief </w:t>
      </w:r>
      <w:r w:rsidR="009F299B">
        <w:t xml:space="preserve">that </w:t>
      </w:r>
      <w:r w:rsidR="00B44603">
        <w:t xml:space="preserve">only </w:t>
      </w:r>
      <w:r w:rsidR="0071342C">
        <w:t>ephemeral pleasurable sensations matter</w:t>
      </w:r>
      <w:r w:rsidR="006D1355">
        <w:t>—</w:t>
      </w:r>
      <w:r w:rsidR="004C3B80">
        <w:t xml:space="preserve">that it is possible “‘[t]o cure the soul </w:t>
      </w:r>
      <w:r w:rsidR="00106C3E">
        <w:t>by means of the senses, and the senses by means of the soul!”</w:t>
      </w:r>
      <w:r w:rsidR="00106C3E">
        <w:rPr>
          <w:rStyle w:val="FootnoteReference"/>
        </w:rPr>
        <w:footnoteReference w:id="163"/>
      </w:r>
      <w:r w:rsidR="002C29D6">
        <w:t xml:space="preserve"> </w:t>
      </w:r>
      <w:r w:rsidR="00096269">
        <w:t>T</w:t>
      </w:r>
      <w:r w:rsidR="002C29D6">
        <w:t>hat belief poisons even Dorian’s otherwise natural desires, such as his admiration and love for the young actress Sybil Vane.</w:t>
      </w:r>
      <w:r w:rsidR="002C29D6">
        <w:rPr>
          <w:rStyle w:val="FootnoteReference"/>
        </w:rPr>
        <w:footnoteReference w:id="164"/>
      </w:r>
      <w:r w:rsidR="0053167E">
        <w:t xml:space="preserve"> </w:t>
      </w:r>
      <w:r w:rsidR="004C2EB9">
        <w:t xml:space="preserve">He </w:t>
      </w:r>
      <w:r w:rsidR="00756A57">
        <w:t xml:space="preserve">avoids or silences anyone who confronts him with the </w:t>
      </w:r>
      <w:r w:rsidR="006409F4">
        <w:t>suffering he inflicts so casually upon others</w:t>
      </w:r>
      <w:r w:rsidR="00756A57">
        <w:t>.</w:t>
      </w:r>
      <w:r w:rsidR="00756A57">
        <w:rPr>
          <w:rStyle w:val="FootnoteReference"/>
        </w:rPr>
        <w:footnoteReference w:id="165"/>
      </w:r>
      <w:r w:rsidR="009276DD">
        <w:t xml:space="preserve"> But he cannot silence his own conscience</w:t>
      </w:r>
      <w:r w:rsidR="00A2336C">
        <w:t>: “His soul, certainly, was sick to death.”</w:t>
      </w:r>
      <w:r w:rsidR="009276DD">
        <w:rPr>
          <w:rStyle w:val="FootnoteReference"/>
        </w:rPr>
        <w:footnoteReference w:id="166"/>
      </w:r>
      <w:r w:rsidR="0048091E">
        <w:t xml:space="preserve"> </w:t>
      </w:r>
      <w:r w:rsidR="002C5BEA">
        <w:t>A tree is known by its fruit.</w:t>
      </w:r>
      <w:r w:rsidR="002C5BEA">
        <w:rPr>
          <w:rStyle w:val="FootnoteReference"/>
        </w:rPr>
        <w:footnoteReference w:id="167"/>
      </w:r>
      <w:r w:rsidR="00886A6A">
        <w:t xml:space="preserve"> The proof is in the pudding.</w:t>
      </w:r>
      <w:r w:rsidR="00EA39D7">
        <w:rPr>
          <w:rStyle w:val="FootnoteReference"/>
        </w:rPr>
        <w:footnoteReference w:id="168"/>
      </w:r>
    </w:p>
    <w:p w14:paraId="48378D41" w14:textId="77777777" w:rsidR="00BA36EB" w:rsidRDefault="00BA36EB" w:rsidP="00F85E2C">
      <w:pPr>
        <w:ind w:firstLine="0"/>
      </w:pPr>
    </w:p>
    <w:p w14:paraId="09DCA1CC" w14:textId="10AD5E98" w:rsidR="00767756" w:rsidRDefault="00767756" w:rsidP="00767756">
      <w:pPr>
        <w:ind w:firstLine="0"/>
        <w:jc w:val="center"/>
      </w:pPr>
      <w:r>
        <w:t>***</w:t>
      </w:r>
    </w:p>
    <w:p w14:paraId="01DC5FD1" w14:textId="77777777" w:rsidR="00767756" w:rsidRDefault="00767756" w:rsidP="00F85E2C">
      <w:pPr>
        <w:ind w:firstLine="0"/>
      </w:pPr>
    </w:p>
    <w:p w14:paraId="7D599FF5" w14:textId="35886B62" w:rsidR="00F85E2C" w:rsidRDefault="00B1550A" w:rsidP="00F74BF3">
      <w:pPr>
        <w:ind w:firstLine="720"/>
      </w:pPr>
      <w:r>
        <w:lastRenderedPageBreak/>
        <w:t>Epicurus</w:t>
      </w:r>
      <w:r w:rsidR="00E33E50">
        <w:t xml:space="preserve"> defined </w:t>
      </w:r>
      <w:r>
        <w:t xml:space="preserve">happiness </w:t>
      </w:r>
      <w:r w:rsidR="00E33E50">
        <w:t xml:space="preserve">as </w:t>
      </w:r>
      <w:r>
        <w:t>the</w:t>
      </w:r>
      <w:r w:rsidR="001C4894">
        <w:t xml:space="preserve"> ongoing</w:t>
      </w:r>
      <w:r w:rsidR="00F74BF3">
        <w:t xml:space="preserve"> gratification of one’s subjective desires with due consideration of the natural consequences of one’s choices.</w:t>
      </w:r>
      <w:r w:rsidR="00F74BF3">
        <w:rPr>
          <w:rStyle w:val="FootnoteReference"/>
        </w:rPr>
        <w:footnoteReference w:id="169"/>
      </w:r>
      <w:r w:rsidR="00F74BF3">
        <w:t xml:space="preserve"> As Jefferson pithily put it, “Happiness [is] the aim of life. Virtue [is] the foundation of happiness. Utility [is] the test of virtue.”</w:t>
      </w:r>
      <w:r w:rsidR="00F74BF3">
        <w:rPr>
          <w:rStyle w:val="FootnoteReference"/>
        </w:rPr>
        <w:footnoteReference w:id="170"/>
      </w:r>
      <w:r w:rsidR="00827BF3">
        <w:t xml:space="preserve"> </w:t>
      </w:r>
      <w:r w:rsidR="00C64EAE">
        <w:t xml:space="preserve">When Locke and later Jefferson </w:t>
      </w:r>
      <w:r w:rsidR="00886482">
        <w:t xml:space="preserve">spoke of “pursuing happiness” and defined “liberty” as the freedom to do so, </w:t>
      </w:r>
      <w:r w:rsidR="000D4798">
        <w:t>this is what they meant.</w:t>
      </w:r>
      <w:r w:rsidR="00F925DF">
        <w:t xml:space="preserve"> </w:t>
      </w:r>
      <w:r w:rsidR="00B24363">
        <w:t>As such, this definition suggests significant insights into the original understanding of the substantive rights encompassed with the “liberty” protected by the Due Process Clause.</w:t>
      </w:r>
    </w:p>
    <w:p w14:paraId="3CCB2549" w14:textId="77777777" w:rsidR="00482632" w:rsidRDefault="00482632" w:rsidP="00BA2CA1">
      <w:pPr>
        <w:ind w:firstLine="720"/>
      </w:pPr>
    </w:p>
    <w:p w14:paraId="15EE2E0F" w14:textId="2F4668EB" w:rsidR="000E7E40" w:rsidRPr="000E7E40" w:rsidRDefault="002F6BDD" w:rsidP="000E7E40">
      <w:pPr>
        <w:pStyle w:val="Heading2"/>
      </w:pPr>
      <w:r>
        <w:t>The Meaning of Liberty</w:t>
      </w:r>
    </w:p>
    <w:p w14:paraId="1DDFAC64" w14:textId="1C3F8866" w:rsidR="00893533" w:rsidRDefault="00893533" w:rsidP="00893533">
      <w:pPr>
        <w:ind w:firstLine="0"/>
      </w:pPr>
    </w:p>
    <w:p w14:paraId="1539A76F" w14:textId="523DC6BA" w:rsidR="00893533" w:rsidRDefault="00616C8B" w:rsidP="00503E6D">
      <w:pPr>
        <w:ind w:firstLine="720"/>
      </w:pPr>
      <w:r>
        <w:t>Protecting</w:t>
      </w:r>
      <w:r w:rsidR="00C34DB4">
        <w:t xml:space="preserve"> individual rights against </w:t>
      </w:r>
      <w:r w:rsidR="00EB63D0">
        <w:t xml:space="preserve">legislative </w:t>
      </w:r>
      <w:r w:rsidR="002B203F">
        <w:t>incursion is among the most important constitutional innovations</w:t>
      </w:r>
      <w:r w:rsidR="00CD4AA9">
        <w:t xml:space="preserve"> of the American Framers</w:t>
      </w:r>
      <w:r w:rsidR="002B203F">
        <w:t>.</w:t>
      </w:r>
      <w:r w:rsidR="002B203F">
        <w:rPr>
          <w:rStyle w:val="FootnoteReference"/>
        </w:rPr>
        <w:footnoteReference w:id="171"/>
      </w:r>
      <w:r w:rsidR="005504FD">
        <w:t xml:space="preserve"> </w:t>
      </w:r>
      <w:r w:rsidR="00007AEC">
        <w:t xml:space="preserve">Against the backdrop of </w:t>
      </w:r>
      <w:r w:rsidR="00212D35">
        <w:t xml:space="preserve">the British Parliament’s interference with what they saw as their fundamental freedoms, the Framers </w:t>
      </w:r>
      <w:r w:rsidR="00FC4BCA">
        <w:t xml:space="preserve">marked off certain spheres of individual conduct and choices </w:t>
      </w:r>
      <w:r w:rsidR="007855CA">
        <w:t>with which otherwise legitimate legislative majorities could not interfere.</w:t>
      </w:r>
      <w:r w:rsidR="007855CA">
        <w:rPr>
          <w:rStyle w:val="FootnoteReference"/>
        </w:rPr>
        <w:footnoteReference w:id="172"/>
      </w:r>
      <w:r w:rsidR="00FC4BCA">
        <w:t xml:space="preserve"> </w:t>
      </w:r>
      <w:r w:rsidR="006E449F">
        <w:t xml:space="preserve">In the </w:t>
      </w:r>
      <w:r w:rsidR="004072F5">
        <w:t>now-classic</w:t>
      </w:r>
      <w:r w:rsidR="006E449F">
        <w:t xml:space="preserve"> words of Justice Robert Jackson:</w:t>
      </w:r>
    </w:p>
    <w:p w14:paraId="110017F8" w14:textId="16BBBC90" w:rsidR="006E449F" w:rsidRPr="006E449F" w:rsidRDefault="000829FF" w:rsidP="006E449F">
      <w:pPr>
        <w:ind w:left="1080" w:firstLine="0"/>
        <w:rPr>
          <w:sz w:val="21"/>
          <w:szCs w:val="21"/>
        </w:rPr>
      </w:pPr>
      <w:r w:rsidRPr="000829FF">
        <w:rPr>
          <w:sz w:val="21"/>
          <w:szCs w:val="21"/>
        </w:rPr>
        <w:t>The very purpose of a Bill of Rights was to withdraw certain subjects from the vicissitudes of political controversy, to place them beyond the reach of majorities and officials and to establish them as legal principles to be applied by the courts. One</w:t>
      </w:r>
      <w:r w:rsidR="00536222">
        <w:rPr>
          <w:sz w:val="21"/>
          <w:szCs w:val="21"/>
        </w:rPr>
        <w:t>’</w:t>
      </w:r>
      <w:r w:rsidRPr="000829FF">
        <w:rPr>
          <w:sz w:val="21"/>
          <w:szCs w:val="21"/>
        </w:rPr>
        <w:t>s right to life, liberty, and property, to free speech, a free press, freedom of worship and assembly, and other fundamental rights may not be submitted to vote; they depend on the outcome of no elections.</w:t>
      </w:r>
      <w:r>
        <w:rPr>
          <w:rStyle w:val="FootnoteReference"/>
          <w:sz w:val="21"/>
          <w:szCs w:val="21"/>
        </w:rPr>
        <w:footnoteReference w:id="173"/>
      </w:r>
    </w:p>
    <w:p w14:paraId="39983ADB" w14:textId="77777777" w:rsidR="000829FF" w:rsidRDefault="000829FF" w:rsidP="00893533">
      <w:pPr>
        <w:ind w:firstLine="0"/>
      </w:pPr>
    </w:p>
    <w:p w14:paraId="407C5858" w14:textId="2E73ED8E" w:rsidR="000E6080" w:rsidRDefault="001827A9" w:rsidP="000E6080">
      <w:pPr>
        <w:ind w:firstLine="720"/>
      </w:pPr>
      <w:r>
        <w:t>While everyone agrees that such rights exist,</w:t>
      </w:r>
      <w:r w:rsidR="004072F5">
        <w:rPr>
          <w:rStyle w:val="FootnoteReference"/>
        </w:rPr>
        <w:footnoteReference w:id="174"/>
      </w:r>
      <w:r w:rsidR="004072F5">
        <w:t xml:space="preserve"> however,</w:t>
      </w:r>
      <w:r w:rsidR="00AE3B6A">
        <w:t xml:space="preserve"> their precise articulation</w:t>
      </w:r>
      <w:r w:rsidR="00764F11">
        <w:t xml:space="preserve"> </w:t>
      </w:r>
      <w:r w:rsidR="000B4550">
        <w:t>spurs</w:t>
      </w:r>
      <w:r w:rsidR="00764F11">
        <w:t xml:space="preserve"> </w:t>
      </w:r>
      <w:r w:rsidR="002E606F">
        <w:t>endless</w:t>
      </w:r>
      <w:r w:rsidR="00764F11">
        <w:t xml:space="preserve"> </w:t>
      </w:r>
      <w:r w:rsidR="00EC65BA">
        <w:t>debate</w:t>
      </w:r>
      <w:r w:rsidR="00764F11">
        <w:t>.</w:t>
      </w:r>
      <w:bookmarkStart w:id="61" w:name="_Ref175046072"/>
      <w:r w:rsidR="00764F11">
        <w:rPr>
          <w:rStyle w:val="FootnoteReference"/>
        </w:rPr>
        <w:footnoteReference w:id="175"/>
      </w:r>
      <w:bookmarkEnd w:id="61"/>
      <w:r w:rsidR="008F1311">
        <w:t xml:space="preserve"> </w:t>
      </w:r>
      <w:r w:rsidR="001569FB">
        <w:t xml:space="preserve">This is particularly true of “unenumerated rights,” </w:t>
      </w:r>
      <w:r w:rsidR="00EA78A8">
        <w:t xml:space="preserve">those without an </w:t>
      </w:r>
      <w:r w:rsidR="0098545B">
        <w:t>explicit</w:t>
      </w:r>
      <w:r w:rsidR="00EA78A8">
        <w:t xml:space="preserve"> foothold in the text of the </w:t>
      </w:r>
      <w:r w:rsidR="00EA78A8">
        <w:lastRenderedPageBreak/>
        <w:t>Constitution itself.</w:t>
      </w:r>
      <w:r w:rsidR="00EA78A8">
        <w:rPr>
          <w:rStyle w:val="FootnoteReference"/>
        </w:rPr>
        <w:footnoteReference w:id="176"/>
      </w:r>
      <w:r w:rsidR="00560C0C">
        <w:t xml:space="preserve"> The most controversial of these </w:t>
      </w:r>
      <w:r w:rsidR="006E54FA">
        <w:t>are rights defined by the Supreme Court as part of the “liberty” protected by the Due Process Clauses of the Fifth and Fourteenth Amendment</w:t>
      </w:r>
      <w:r w:rsidR="00926D77">
        <w:t>s</w:t>
      </w:r>
      <w:r w:rsidR="006E54FA">
        <w:t>.</w:t>
      </w:r>
      <w:bookmarkStart w:id="62" w:name="_Ref175046444"/>
      <w:r w:rsidR="00014F80">
        <w:rPr>
          <w:rStyle w:val="FootnoteReference"/>
        </w:rPr>
        <w:footnoteReference w:id="177"/>
      </w:r>
      <w:bookmarkEnd w:id="62"/>
      <w:r w:rsidR="00560C0C">
        <w:t xml:space="preserve"> </w:t>
      </w:r>
      <w:r w:rsidR="00AD49ED">
        <w:t xml:space="preserve">The </w:t>
      </w:r>
      <w:r w:rsidR="006411D2">
        <w:t xml:space="preserve">jurisprudence of defining these rights is called </w:t>
      </w:r>
      <w:r w:rsidR="002032C3">
        <w:t>“</w:t>
      </w:r>
      <w:r w:rsidR="006411D2">
        <w:t>s</w:t>
      </w:r>
      <w:r w:rsidR="002032C3">
        <w:t>ubstantive due process,”</w:t>
      </w:r>
      <w:r w:rsidR="00C77134">
        <w:rPr>
          <w:rStyle w:val="FootnoteReference"/>
        </w:rPr>
        <w:footnoteReference w:id="178"/>
      </w:r>
      <w:r w:rsidR="00AD49ED">
        <w:t xml:space="preserve"> </w:t>
      </w:r>
      <w:r w:rsidR="006411D2">
        <w:t xml:space="preserve">and it is a </w:t>
      </w:r>
      <w:r w:rsidR="002E606F">
        <w:t xml:space="preserve">perennial </w:t>
      </w:r>
      <w:r w:rsidR="006411D2">
        <w:t xml:space="preserve">favorite target of </w:t>
      </w:r>
      <w:r w:rsidR="00F30F6C">
        <w:t>conservative critics of the Supreme Court</w:t>
      </w:r>
      <w:r w:rsidR="002E606F">
        <w:t>—often including its own justices</w:t>
      </w:r>
      <w:r w:rsidR="00F30F6C">
        <w:t>.</w:t>
      </w:r>
      <w:r w:rsidR="002E606F">
        <w:rPr>
          <w:rStyle w:val="FootnoteReference"/>
        </w:rPr>
        <w:footnoteReference w:id="179"/>
      </w:r>
    </w:p>
    <w:p w14:paraId="69CF1A01" w14:textId="77777777" w:rsidR="000E6080" w:rsidRDefault="000E6080" w:rsidP="00893533">
      <w:pPr>
        <w:ind w:firstLine="0"/>
      </w:pPr>
    </w:p>
    <w:p w14:paraId="2967E24B" w14:textId="44EA0D0D" w:rsidR="00893533" w:rsidRDefault="00821508" w:rsidP="00893533">
      <w:pPr>
        <w:pStyle w:val="Heading3"/>
      </w:pPr>
      <w:r>
        <w:t>The</w:t>
      </w:r>
      <w:r w:rsidR="00893533">
        <w:t xml:space="preserve"> False Dichotomy</w:t>
      </w:r>
      <w:r>
        <w:t xml:space="preserve"> of Originalism</w:t>
      </w:r>
    </w:p>
    <w:p w14:paraId="34F50F90" w14:textId="77777777" w:rsidR="00893533" w:rsidRDefault="00893533" w:rsidP="00B048A6">
      <w:pPr>
        <w:ind w:firstLine="720"/>
      </w:pPr>
    </w:p>
    <w:p w14:paraId="11F7FECE" w14:textId="7C6E77C1" w:rsidR="00B048A6" w:rsidRPr="004D2C75" w:rsidRDefault="002A1300" w:rsidP="00B048A6">
      <w:pPr>
        <w:ind w:firstLine="720"/>
      </w:pPr>
      <w:r>
        <w:t>In</w:t>
      </w:r>
      <w:r w:rsidR="00B048A6">
        <w:t xml:space="preserve"> July 2015, less than a month after the Supreme Court ruled that</w:t>
      </w:r>
      <w:r w:rsidR="00243264">
        <w:t xml:space="preserve"> the </w:t>
      </w:r>
      <w:r w:rsidR="00197535">
        <w:t>Fourteenth Amendment</w:t>
      </w:r>
      <w:r w:rsidR="00635810">
        <w:t xml:space="preserve"> </w:t>
      </w:r>
      <w:r w:rsidR="00CB1E57">
        <w:t xml:space="preserve">protects the right to same-gender marriage </w:t>
      </w:r>
      <w:r w:rsidR="00635810">
        <w:t xml:space="preserve">in </w:t>
      </w:r>
      <w:r w:rsidR="00635810">
        <w:rPr>
          <w:i/>
          <w:iCs/>
        </w:rPr>
        <w:t>Obergefell v. Hodges</w:t>
      </w:r>
      <w:r w:rsidR="00197535">
        <w:t>,</w:t>
      </w:r>
      <w:bookmarkStart w:id="63" w:name="_Ref175046615"/>
      <w:r w:rsidR="00197535">
        <w:rPr>
          <w:rStyle w:val="FootnoteReference"/>
        </w:rPr>
        <w:footnoteReference w:id="180"/>
      </w:r>
      <w:bookmarkEnd w:id="63"/>
      <w:r>
        <w:t xml:space="preserve"> </w:t>
      </w:r>
      <w:r w:rsidR="0031164A">
        <w:t xml:space="preserve">Justice Samuel Alito </w:t>
      </w:r>
      <w:r w:rsidR="0042303E">
        <w:t>spoke to Bill Kristol about his opposition to the decision</w:t>
      </w:r>
      <w:r w:rsidR="00106CCC">
        <w:t>.</w:t>
      </w:r>
      <w:bookmarkStart w:id="64" w:name="_Ref174886729"/>
      <w:r w:rsidR="00106CCC">
        <w:rPr>
          <w:rStyle w:val="FootnoteReference"/>
        </w:rPr>
        <w:footnoteReference w:id="181"/>
      </w:r>
      <w:bookmarkEnd w:id="64"/>
      <w:r w:rsidR="009B2B3F">
        <w:t xml:space="preserve"> </w:t>
      </w:r>
      <w:r w:rsidR="00F14ED7">
        <w:t>“</w:t>
      </w:r>
      <w:r w:rsidR="00484F1B">
        <w:t>[H]ow do we determine what liberty in the Fourteenth Amendment means?”</w:t>
      </w:r>
      <w:r w:rsidR="004D1FC3">
        <w:t xml:space="preserve"> Alito </w:t>
      </w:r>
      <w:r w:rsidR="00484F1B">
        <w:t>asked</w:t>
      </w:r>
      <w:r w:rsidR="004D1FC3">
        <w:t xml:space="preserve"> </w:t>
      </w:r>
      <w:r w:rsidR="001C295F">
        <w:t>rhetorically</w:t>
      </w:r>
      <w:r w:rsidR="004D1FC3">
        <w:t>. “</w:t>
      </w:r>
      <w:r w:rsidR="00484F1B">
        <w:t>Liberty means different things to different people</w:t>
      </w:r>
      <w:r w:rsidR="00745BE6">
        <w:t xml:space="preserve"> </w:t>
      </w:r>
      <w:proofErr w:type="gramStart"/>
      <w:r w:rsidR="00745BE6">
        <w:t>. . . .</w:t>
      </w:r>
      <w:proofErr w:type="gramEnd"/>
      <w:r w:rsidR="00745BE6">
        <w:t xml:space="preserve"> There’s no limit </w:t>
      </w:r>
      <w:proofErr w:type="gramStart"/>
      <w:r w:rsidR="00745BE6">
        <w:t>. . . .</w:t>
      </w:r>
      <w:proofErr w:type="gramEnd"/>
      <w:r w:rsidR="00745BE6">
        <w:t xml:space="preserve"> </w:t>
      </w:r>
      <w:r w:rsidR="008940DB">
        <w:t xml:space="preserve">If it’s not in the text of the Constitution or it’s not something that’s objectively [] ascertainable, </w:t>
      </w:r>
      <w:r w:rsidR="006B33C0">
        <w:t>if it’s just whatever I as an appointee of the Supreme Court happen to think is very important</w:t>
      </w:r>
      <w:r w:rsidR="00EB093E">
        <w:t>, . . . it raises questions of legitimacy</w:t>
      </w:r>
      <w:r w:rsidR="000607E8">
        <w:t>[.]</w:t>
      </w:r>
      <w:r w:rsidR="00EB093E">
        <w:t>”</w:t>
      </w:r>
      <w:r w:rsidR="00D37818">
        <w:rPr>
          <w:rStyle w:val="FootnoteReference"/>
        </w:rPr>
        <w:footnoteReference w:id="182"/>
      </w:r>
      <w:r w:rsidR="004D2C75">
        <w:t xml:space="preserve"> Alito further accused the </w:t>
      </w:r>
      <w:r w:rsidR="004D2C75">
        <w:rPr>
          <w:i/>
          <w:iCs/>
        </w:rPr>
        <w:t>Obergefell</w:t>
      </w:r>
      <w:r w:rsidR="004D2C75">
        <w:t xml:space="preserve"> majority of </w:t>
      </w:r>
      <w:r w:rsidR="00F23182">
        <w:t xml:space="preserve">baselessly </w:t>
      </w:r>
      <w:r w:rsidR="004D2C75">
        <w:lastRenderedPageBreak/>
        <w:t xml:space="preserve">constitutionalizing its own “postmodern” </w:t>
      </w:r>
      <w:r w:rsidR="0084042C">
        <w:t>view of liberty</w:t>
      </w:r>
      <w:r w:rsidR="00F23182">
        <w:t>, “the freedom to define your understanding of the meaning of your life.”</w:t>
      </w:r>
      <w:bookmarkStart w:id="65" w:name="_Ref175046625"/>
      <w:r w:rsidR="00F23182">
        <w:rPr>
          <w:rStyle w:val="FootnoteReference"/>
        </w:rPr>
        <w:footnoteReference w:id="183"/>
      </w:r>
      <w:bookmarkEnd w:id="65"/>
    </w:p>
    <w:p w14:paraId="3418C771" w14:textId="77777777" w:rsidR="00407CE4" w:rsidRDefault="00407CE4" w:rsidP="009305AE">
      <w:pPr>
        <w:ind w:firstLine="720"/>
      </w:pPr>
    </w:p>
    <w:p w14:paraId="5B5B35FD" w14:textId="559BBD4B" w:rsidR="00E57A73" w:rsidRDefault="003F1485" w:rsidP="009305AE">
      <w:pPr>
        <w:ind w:firstLine="720"/>
      </w:pPr>
      <w:r>
        <w:t xml:space="preserve">Alito’s critique of </w:t>
      </w:r>
      <w:r w:rsidR="00EF42D3">
        <w:rPr>
          <w:i/>
          <w:iCs/>
        </w:rPr>
        <w:t>Obergefell</w:t>
      </w:r>
      <w:r w:rsidR="009A5739">
        <w:t xml:space="preserve"> </w:t>
      </w:r>
      <w:r w:rsidR="006367FA">
        <w:t>rehashes a longstanding critique of</w:t>
      </w:r>
      <w:r w:rsidR="00544F41">
        <w:t xml:space="preserve"> </w:t>
      </w:r>
      <w:r>
        <w:t>substantive due process</w:t>
      </w:r>
      <w:r w:rsidR="00D80FA7">
        <w:t>.</w:t>
      </w:r>
      <w:bookmarkStart w:id="66" w:name="_Ref174896525"/>
      <w:r w:rsidR="002223D8">
        <w:rPr>
          <w:rStyle w:val="FootnoteReference"/>
        </w:rPr>
        <w:footnoteReference w:id="184"/>
      </w:r>
      <w:bookmarkEnd w:id="66"/>
      <w:r w:rsidR="002223D8">
        <w:t xml:space="preserve">  </w:t>
      </w:r>
      <w:r w:rsidR="003E1F2D">
        <w:t xml:space="preserve">Every first-year law student </w:t>
      </w:r>
      <w:r w:rsidR="005F01E8">
        <w:t>hears</w:t>
      </w:r>
      <w:r w:rsidR="001A176A">
        <w:t xml:space="preserve"> the </w:t>
      </w:r>
      <w:r w:rsidR="005F01E8">
        <w:t>fable</w:t>
      </w:r>
      <w:r w:rsidR="00F26BE6">
        <w:t xml:space="preserve"> of </w:t>
      </w:r>
      <w:r w:rsidR="00F26BE6">
        <w:rPr>
          <w:i/>
          <w:iCs/>
        </w:rPr>
        <w:t>Lochner v. New York</w:t>
      </w:r>
      <w:r w:rsidR="00F26BE6">
        <w:t>,</w:t>
      </w:r>
      <w:bookmarkStart w:id="67" w:name="_Ref175061372"/>
      <w:r w:rsidR="00F7687B">
        <w:rPr>
          <w:rStyle w:val="FootnoteReference"/>
        </w:rPr>
        <w:footnoteReference w:id="185"/>
      </w:r>
      <w:bookmarkEnd w:id="67"/>
      <w:r w:rsidR="00F7687B">
        <w:t xml:space="preserve"> in which</w:t>
      </w:r>
      <w:r w:rsidR="0014766B">
        <w:t xml:space="preserve"> the</w:t>
      </w:r>
      <w:r w:rsidR="00FD478E">
        <w:t xml:space="preserve"> fin-de-siecle</w:t>
      </w:r>
      <w:r w:rsidR="0014766B">
        <w:t xml:space="preserve"> Supreme Court, </w:t>
      </w:r>
      <w:r w:rsidR="00986B00">
        <w:t xml:space="preserve">controlled by callous Gilded Age plutocrats, struck down New York’s </w:t>
      </w:r>
      <w:r w:rsidR="00B202F5">
        <w:t>maximum-hours</w:t>
      </w:r>
      <w:r w:rsidR="00986B00">
        <w:t xml:space="preserve"> law for bakers </w:t>
      </w:r>
      <w:r w:rsidR="003D76C3">
        <w:t>as violating</w:t>
      </w:r>
      <w:r w:rsidR="00E22AAD">
        <w:t xml:space="preserve"> the “liberty of contract”</w:t>
      </w:r>
      <w:r w:rsidR="003B1BB1">
        <w:t xml:space="preserve"> supposedly</w:t>
      </w:r>
      <w:r w:rsidR="00E22AAD">
        <w:t xml:space="preserve"> protected by the Due Process Clause.</w:t>
      </w:r>
      <w:r w:rsidR="00E22AAD">
        <w:rPr>
          <w:rStyle w:val="FootnoteReference"/>
        </w:rPr>
        <w:footnoteReference w:id="186"/>
      </w:r>
      <w:r w:rsidR="006D19B8">
        <w:t xml:space="preserve"> </w:t>
      </w:r>
      <w:r w:rsidR="000D1095">
        <w:t>S</w:t>
      </w:r>
      <w:r w:rsidR="001409D9">
        <w:t>tudents</w:t>
      </w:r>
      <w:r w:rsidR="00A6479F">
        <w:t xml:space="preserve"> further</w:t>
      </w:r>
      <w:r w:rsidR="001409D9">
        <w:t xml:space="preserve"> </w:t>
      </w:r>
      <w:r w:rsidR="000D1095">
        <w:t>learn</w:t>
      </w:r>
      <w:r w:rsidR="008A3404">
        <w:t xml:space="preserve"> that </w:t>
      </w:r>
      <w:r w:rsidR="000D1095">
        <w:t>Justice Oliver Wendell Holmes</w:t>
      </w:r>
      <w:r w:rsidR="008A3404">
        <w:t>’s dissenting view</w:t>
      </w:r>
      <w:r w:rsidR="008A3404">
        <w:rPr>
          <w:rStyle w:val="FootnoteReference"/>
        </w:rPr>
        <w:footnoteReference w:id="187"/>
      </w:r>
      <w:r w:rsidR="00915570">
        <w:t xml:space="preserve"> became that of a majority of the Court </w:t>
      </w:r>
      <w:r w:rsidR="00EA4060">
        <w:t xml:space="preserve">three decades later: </w:t>
      </w:r>
    </w:p>
    <w:p w14:paraId="4A94FDAD" w14:textId="6CCB3E2B" w:rsidR="00675A1E" w:rsidRPr="00E57A73" w:rsidRDefault="00107DE0" w:rsidP="00E57A73">
      <w:pPr>
        <w:ind w:left="1080" w:firstLine="0"/>
        <w:rPr>
          <w:sz w:val="21"/>
          <w:szCs w:val="21"/>
        </w:rPr>
      </w:pPr>
      <w:r w:rsidRPr="00107DE0">
        <w:rPr>
          <w:sz w:val="21"/>
          <w:szCs w:val="21"/>
        </w:rPr>
        <w:t>In each case the violation alleged by those attacking minimum wage regulation for women is deprivation of freedom of contract.</w:t>
      </w:r>
      <w:r>
        <w:rPr>
          <w:sz w:val="21"/>
          <w:szCs w:val="21"/>
        </w:rPr>
        <w:t xml:space="preserve"> </w:t>
      </w:r>
      <w:r w:rsidR="00E57A73" w:rsidRPr="00E57A73">
        <w:rPr>
          <w:sz w:val="21"/>
          <w:szCs w:val="21"/>
        </w:rPr>
        <w:t>What is this freedom? The Constitution does not speak of freedom of contract. It speaks of liberty and prohibits the deprivation of liberty without due process of law. In prohibiting that deprivation, the Constitution does not recognize an absolute and uncontrollable liberty.</w:t>
      </w:r>
      <w:r w:rsidR="00E57A73">
        <w:rPr>
          <w:rStyle w:val="FootnoteReference"/>
          <w:sz w:val="21"/>
          <w:szCs w:val="21"/>
        </w:rPr>
        <w:footnoteReference w:id="188"/>
      </w:r>
    </w:p>
    <w:p w14:paraId="27EF1471" w14:textId="77777777" w:rsidR="00443E38" w:rsidRDefault="00443E38" w:rsidP="009305AE">
      <w:pPr>
        <w:ind w:firstLine="720"/>
      </w:pPr>
    </w:p>
    <w:p w14:paraId="0B4CD066" w14:textId="6835EFED" w:rsidR="00AC2050" w:rsidRPr="003F4C33" w:rsidRDefault="00BF0EA7" w:rsidP="009305AE">
      <w:pPr>
        <w:ind w:firstLine="720"/>
      </w:pPr>
      <w:r>
        <w:rPr>
          <w:i/>
          <w:iCs/>
        </w:rPr>
        <w:t>Lochner</w:t>
      </w:r>
      <w:r w:rsidR="00F04389">
        <w:t>’s rise and fall</w:t>
      </w:r>
      <w:r>
        <w:t xml:space="preserve"> has </w:t>
      </w:r>
      <w:r w:rsidR="00F04389">
        <w:t>bestowed the case with</w:t>
      </w:r>
      <w:r w:rsidR="00E74E1C">
        <w:t xml:space="preserve"> totemic significance within constitutional law</w:t>
      </w:r>
      <w:r w:rsidR="00AB5FE3">
        <w:t xml:space="preserve">, </w:t>
      </w:r>
      <w:r w:rsidR="001B7DB0">
        <w:t xml:space="preserve">making it </w:t>
      </w:r>
      <w:r w:rsidR="002B5DD1">
        <w:t>a byword for the kind of “judicial activism”</w:t>
      </w:r>
      <w:r w:rsidR="00777FF1">
        <w:t xml:space="preserve"> </w:t>
      </w:r>
      <w:r w:rsidR="0070156D">
        <w:t>whereby</w:t>
      </w:r>
      <w:r w:rsidR="00775D0D">
        <w:t xml:space="preserve"> judges </w:t>
      </w:r>
      <w:r w:rsidR="0070156D">
        <w:t xml:space="preserve">exploit the ambiguity of </w:t>
      </w:r>
      <w:r w:rsidR="007C72DE">
        <w:t xml:space="preserve">the word “liberty” in the Due Process Clause to constitutionalize their own policy </w:t>
      </w:r>
      <w:r w:rsidR="007C72DE">
        <w:lastRenderedPageBreak/>
        <w:t>preferences.</w:t>
      </w:r>
      <w:r w:rsidR="007C72DE">
        <w:rPr>
          <w:rStyle w:val="FootnoteReference"/>
        </w:rPr>
        <w:footnoteReference w:id="189"/>
      </w:r>
      <w:r w:rsidR="00CC7E75">
        <w:t xml:space="preserve"> </w:t>
      </w:r>
      <w:r w:rsidR="000849EF">
        <w:t>U</w:t>
      </w:r>
      <w:r w:rsidR="00CC7E75">
        <w:t xml:space="preserve">nsurprisingly, </w:t>
      </w:r>
      <w:r w:rsidR="000849EF">
        <w:t xml:space="preserve">therefore, </w:t>
      </w:r>
      <w:r w:rsidR="00CC7E75">
        <w:t xml:space="preserve">critics of later </w:t>
      </w:r>
      <w:r w:rsidR="001B32D7">
        <w:t>decisions</w:t>
      </w:r>
      <w:r w:rsidR="007643D8">
        <w:t xml:space="preserve"> based on</w:t>
      </w:r>
      <w:r w:rsidR="001C2CFA">
        <w:t xml:space="preserve"> that liberty </w:t>
      </w:r>
      <w:r w:rsidR="00172E32">
        <w:t xml:space="preserve">frequently invoke </w:t>
      </w:r>
      <w:r w:rsidR="00172E32">
        <w:rPr>
          <w:i/>
          <w:iCs/>
        </w:rPr>
        <w:t>Lochner</w:t>
      </w:r>
      <w:r w:rsidR="00172E32">
        <w:t>, accusing justices</w:t>
      </w:r>
      <w:r w:rsidR="00D871FC">
        <w:t xml:space="preserve"> of elevating their personal views o</w:t>
      </w:r>
      <w:r w:rsidR="00A0145D">
        <w:t>n</w:t>
      </w:r>
      <w:r w:rsidR="00D871FC">
        <w:t xml:space="preserve"> contraception</w:t>
      </w:r>
      <w:r w:rsidR="00351F82">
        <w:t>,</w:t>
      </w:r>
      <w:r w:rsidR="00351F82">
        <w:rPr>
          <w:rStyle w:val="FootnoteReference"/>
        </w:rPr>
        <w:footnoteReference w:id="190"/>
      </w:r>
      <w:r w:rsidR="00351F82">
        <w:t xml:space="preserve"> abortion,</w:t>
      </w:r>
      <w:r w:rsidR="00351F82">
        <w:rPr>
          <w:rStyle w:val="FootnoteReference"/>
        </w:rPr>
        <w:footnoteReference w:id="191"/>
      </w:r>
      <w:r w:rsidR="00A0145D">
        <w:t xml:space="preserve"> and</w:t>
      </w:r>
      <w:r w:rsidR="00065B63">
        <w:t xml:space="preserve"> </w:t>
      </w:r>
      <w:r w:rsidR="00B82001">
        <w:t>sexuality</w:t>
      </w:r>
      <w:r w:rsidR="00A0145D">
        <w:t>,</w:t>
      </w:r>
      <w:r w:rsidR="00EC7371">
        <w:rPr>
          <w:rStyle w:val="FootnoteReference"/>
        </w:rPr>
        <w:footnoteReference w:id="192"/>
      </w:r>
      <w:r w:rsidR="00A0145D">
        <w:t xml:space="preserve"> for example, </w:t>
      </w:r>
      <w:r w:rsidR="007F6927">
        <w:t xml:space="preserve">to the status of constitutional rights </w:t>
      </w:r>
      <w:r w:rsidR="00A0145D">
        <w:t xml:space="preserve">in the same way that the </w:t>
      </w:r>
      <w:r w:rsidR="00A0145D">
        <w:rPr>
          <w:i/>
          <w:iCs/>
        </w:rPr>
        <w:t>Lochner</w:t>
      </w:r>
      <w:r w:rsidR="00A0145D">
        <w:t xml:space="preserve"> majority</w:t>
      </w:r>
      <w:r w:rsidR="007F6927">
        <w:t xml:space="preserve"> elevated the “freedom of contract.”</w:t>
      </w:r>
      <w:r w:rsidR="0027207A">
        <w:rPr>
          <w:rStyle w:val="FootnoteReference"/>
        </w:rPr>
        <w:footnoteReference w:id="193"/>
      </w:r>
      <w:r w:rsidR="004A7986">
        <w:t xml:space="preserve"> </w:t>
      </w:r>
      <w:r w:rsidR="00743129">
        <w:t xml:space="preserve">Though </w:t>
      </w:r>
      <w:r w:rsidR="0027207A">
        <w:t>Alito</w:t>
      </w:r>
      <w:r w:rsidR="00743129">
        <w:t xml:space="preserve"> did not</w:t>
      </w:r>
      <w:r w:rsidR="0027207A">
        <w:t xml:space="preserve"> mention </w:t>
      </w:r>
      <w:r w:rsidR="0027207A">
        <w:rPr>
          <w:i/>
          <w:iCs/>
        </w:rPr>
        <w:t>Lochner</w:t>
      </w:r>
      <w:r w:rsidR="0027207A">
        <w:t xml:space="preserve"> by name</w:t>
      </w:r>
      <w:r w:rsidR="00754812">
        <w:t>, he alluded</w:t>
      </w:r>
      <w:r w:rsidR="003F4C33">
        <w:t xml:space="preserve"> to the </w:t>
      </w:r>
      <w:r w:rsidR="00C5774B">
        <w:t>decision</w:t>
      </w:r>
      <w:r w:rsidR="003F4C33">
        <w:t xml:space="preserve"> heavily in his </w:t>
      </w:r>
      <w:r w:rsidR="001264FB">
        <w:t xml:space="preserve">July 2015 </w:t>
      </w:r>
      <w:r w:rsidR="003F4C33">
        <w:t xml:space="preserve">critique of </w:t>
      </w:r>
      <w:r w:rsidR="003F4C33">
        <w:rPr>
          <w:i/>
          <w:iCs/>
        </w:rPr>
        <w:t>Obergefell</w:t>
      </w:r>
      <w:r w:rsidR="003F4C33">
        <w:t>.</w:t>
      </w:r>
      <w:r w:rsidR="003F4C33">
        <w:rPr>
          <w:rStyle w:val="FootnoteReference"/>
        </w:rPr>
        <w:footnoteReference w:id="194"/>
      </w:r>
    </w:p>
    <w:p w14:paraId="5FEC5694" w14:textId="77777777" w:rsidR="00AC2050" w:rsidRDefault="00AC2050" w:rsidP="009305AE">
      <w:pPr>
        <w:ind w:firstLine="720"/>
      </w:pPr>
    </w:p>
    <w:p w14:paraId="2699EA99" w14:textId="076CED96" w:rsidR="004553DD" w:rsidRDefault="000C6A84" w:rsidP="009305AE">
      <w:pPr>
        <w:ind w:firstLine="720"/>
      </w:pPr>
      <w:r>
        <w:t>Alito’s proposed solution to the excess subjectivity of substantive due process is</w:t>
      </w:r>
      <w:r w:rsidR="00CE5E84">
        <w:t xml:space="preserve"> originalism</w:t>
      </w:r>
      <w:r w:rsidR="0096174D">
        <w:t>, the belief that</w:t>
      </w:r>
      <w:r w:rsidR="001D47D7">
        <w:t xml:space="preserve"> the Constitution’s meaning is </w:t>
      </w:r>
      <w:r w:rsidR="007905AB">
        <w:t xml:space="preserve">strictly </w:t>
      </w:r>
      <w:r w:rsidR="001D47D7">
        <w:t>limited to the “original public meaning” of its text at the time it was drafted</w:t>
      </w:r>
      <w:bookmarkStart w:id="68" w:name="_Ref174977973"/>
      <w:r>
        <w:t>.</w:t>
      </w:r>
      <w:r w:rsidR="001D47D7">
        <w:rPr>
          <w:rStyle w:val="FootnoteReference"/>
        </w:rPr>
        <w:footnoteReference w:id="195"/>
      </w:r>
      <w:bookmarkEnd w:id="68"/>
      <w:r w:rsidR="00CE5E84">
        <w:t xml:space="preserve"> </w:t>
      </w:r>
      <w:r w:rsidR="00181E11">
        <w:t xml:space="preserve">Indeed, proponents of originalism often tout its </w:t>
      </w:r>
      <w:r w:rsidR="00391C74">
        <w:t>supposed</w:t>
      </w:r>
      <w:r w:rsidR="00CE5E84">
        <w:t xml:space="preserve"> ability</w:t>
      </w:r>
      <w:r w:rsidR="007E7500">
        <w:rPr>
          <w:rStyle w:val="FootnoteReference"/>
        </w:rPr>
        <w:footnoteReference w:id="196"/>
      </w:r>
      <w:r w:rsidR="00CE5E84">
        <w:t xml:space="preserve"> to cabin the </w:t>
      </w:r>
      <w:r w:rsidR="001D2ECE">
        <w:t xml:space="preserve">excess </w:t>
      </w:r>
      <w:r w:rsidR="00CE5E84">
        <w:t xml:space="preserve">subjectivity of substantive due process jurisprudence as one </w:t>
      </w:r>
      <w:r w:rsidR="00664A93">
        <w:t xml:space="preserve">of </w:t>
      </w:r>
      <w:r w:rsidR="00CE5E84">
        <w:t xml:space="preserve">its </w:t>
      </w:r>
      <w:r w:rsidR="00664A93">
        <w:t>primary</w:t>
      </w:r>
      <w:r w:rsidR="001B477E">
        <w:t xml:space="preserve"> </w:t>
      </w:r>
      <w:r w:rsidR="00B66CFA">
        <w:t>advantages</w:t>
      </w:r>
      <w:r w:rsidR="001B477E">
        <w:t>.</w:t>
      </w:r>
      <w:bookmarkStart w:id="69" w:name="_Ref176523110"/>
      <w:r w:rsidR="00ED5218">
        <w:rPr>
          <w:rStyle w:val="FootnoteReference"/>
        </w:rPr>
        <w:footnoteReference w:id="197"/>
      </w:r>
      <w:bookmarkEnd w:id="69"/>
      <w:r w:rsidR="0021147D">
        <w:t xml:space="preserve"> </w:t>
      </w:r>
      <w:r w:rsidR="008176DC">
        <w:t>The originalist</w:t>
      </w:r>
      <w:r w:rsidR="00AB3E03">
        <w:t xml:space="preserve"> method of substantive due process analysis involves two</w:t>
      </w:r>
      <w:r w:rsidR="004C3FF9">
        <w:t xml:space="preserve"> </w:t>
      </w:r>
      <w:r w:rsidR="006A5851">
        <w:t>steps.</w:t>
      </w:r>
      <w:bookmarkStart w:id="70" w:name="_Ref175059646"/>
      <w:r w:rsidR="006A5851">
        <w:rPr>
          <w:rStyle w:val="FootnoteReference"/>
        </w:rPr>
        <w:footnoteReference w:id="198"/>
      </w:r>
      <w:bookmarkEnd w:id="70"/>
      <w:r w:rsidR="00BB010D">
        <w:t xml:space="preserve"> The </w:t>
      </w:r>
      <w:r w:rsidR="008F2D60">
        <w:t>first step is to articulate</w:t>
      </w:r>
      <w:r w:rsidR="00D4715B">
        <w:t xml:space="preserve"> a “‘careful description of the fundamental liberty interest,’”</w:t>
      </w:r>
      <w:r w:rsidR="007B58D6">
        <w:rPr>
          <w:rStyle w:val="FootnoteReference"/>
        </w:rPr>
        <w:footnoteReference w:id="199"/>
      </w:r>
      <w:r w:rsidR="00960B95">
        <w:t xml:space="preserve"> </w:t>
      </w:r>
      <w:r w:rsidR="007B58D6">
        <w:t xml:space="preserve">which in practice </w:t>
      </w:r>
      <w:r w:rsidR="00B80CF6">
        <w:t>requires defining</w:t>
      </w:r>
      <w:r w:rsidR="007B58D6">
        <w:t xml:space="preserve"> the right as </w:t>
      </w:r>
      <w:r w:rsidR="006377A7">
        <w:t>narrowly</w:t>
      </w:r>
      <w:r w:rsidR="007B58D6">
        <w:t xml:space="preserve"> </w:t>
      </w:r>
      <w:r w:rsidR="008F4BFE">
        <w:t xml:space="preserve">and specifically </w:t>
      </w:r>
      <w:r w:rsidR="007B58D6">
        <w:t xml:space="preserve">as </w:t>
      </w:r>
      <w:r w:rsidR="007B58D6">
        <w:lastRenderedPageBreak/>
        <w:t>possible.</w:t>
      </w:r>
      <w:r w:rsidR="006377A7">
        <w:rPr>
          <w:rStyle w:val="FootnoteReference"/>
        </w:rPr>
        <w:footnoteReference w:id="200"/>
      </w:r>
      <w:r w:rsidR="006377A7">
        <w:t xml:space="preserve"> </w:t>
      </w:r>
      <w:r w:rsidR="00873E71">
        <w:t xml:space="preserve">The </w:t>
      </w:r>
      <w:r w:rsidR="008F2D60">
        <w:t>next step is to</w:t>
      </w:r>
      <w:r w:rsidR="00873E71">
        <w:t xml:space="preserve"> </w:t>
      </w:r>
      <w:r w:rsidR="009A70B9">
        <w:t xml:space="preserve">inquire whether the right, so defined, is </w:t>
      </w:r>
      <w:r w:rsidR="007E276D">
        <w:t>“</w:t>
      </w:r>
      <w:r w:rsidR="00D93EF8">
        <w:t>‘</w:t>
      </w:r>
      <w:r w:rsidR="007E276D" w:rsidRPr="007E276D">
        <w:t>objectively, deeply rooted in this Nation's history and tradition.</w:t>
      </w:r>
      <w:r w:rsidR="00D93EF8">
        <w:t>’</w:t>
      </w:r>
      <w:r w:rsidR="007E276D">
        <w:t>”</w:t>
      </w:r>
      <w:bookmarkStart w:id="71" w:name="_Ref179543865"/>
      <w:r w:rsidR="007E276D">
        <w:rPr>
          <w:rStyle w:val="FootnoteReference"/>
        </w:rPr>
        <w:footnoteReference w:id="201"/>
      </w:r>
      <w:bookmarkEnd w:id="71"/>
      <w:r w:rsidR="009C11F6">
        <w:t xml:space="preserve"> Unsurprisingly,</w:t>
      </w:r>
      <w:r w:rsidR="00B315BD">
        <w:t xml:space="preserve"> substantive due process rights rarely survive this analysis.</w:t>
      </w:r>
      <w:bookmarkStart w:id="72" w:name="_Ref179543615"/>
      <w:r w:rsidR="00F41DD6">
        <w:rPr>
          <w:rStyle w:val="FootnoteReference"/>
        </w:rPr>
        <w:footnoteReference w:id="202"/>
      </w:r>
      <w:bookmarkEnd w:id="72"/>
    </w:p>
    <w:p w14:paraId="49E87A45" w14:textId="77777777" w:rsidR="004553DD" w:rsidRDefault="004553DD" w:rsidP="009305AE">
      <w:pPr>
        <w:ind w:firstLine="720"/>
      </w:pPr>
    </w:p>
    <w:p w14:paraId="0BD741C1" w14:textId="6ABBF775" w:rsidR="00470E6C" w:rsidRPr="00DA14A3" w:rsidRDefault="00183A0E" w:rsidP="009305AE">
      <w:pPr>
        <w:ind w:firstLine="720"/>
      </w:pPr>
      <w:r>
        <w:t xml:space="preserve">In </w:t>
      </w:r>
      <w:r>
        <w:rPr>
          <w:i/>
          <w:iCs/>
        </w:rPr>
        <w:t xml:space="preserve">Department of State v. </w:t>
      </w:r>
      <w:r w:rsidRPr="00183A0E">
        <w:rPr>
          <w:i/>
          <w:iCs/>
        </w:rPr>
        <w:t>Mu</w:t>
      </w:r>
      <w:r w:rsidRPr="00183A0E">
        <w:rPr>
          <w:rFonts w:ascii="Times New Roman" w:hAnsi="Times New Roman"/>
          <w:i/>
          <w:iCs/>
        </w:rPr>
        <w:t>ñoz</w:t>
      </w:r>
      <w:r>
        <w:rPr>
          <w:rFonts w:ascii="Times New Roman" w:hAnsi="Times New Roman"/>
        </w:rPr>
        <w:t xml:space="preserve">, for example, </w:t>
      </w:r>
      <w:r w:rsidR="00381667">
        <w:rPr>
          <w:rFonts w:ascii="Times New Roman" w:hAnsi="Times New Roman"/>
        </w:rPr>
        <w:t xml:space="preserve">Sandra </w:t>
      </w:r>
      <w:r w:rsidR="00381667">
        <w:t>Mu</w:t>
      </w:r>
      <w:r w:rsidR="00381667">
        <w:rPr>
          <w:rFonts w:ascii="Times New Roman" w:hAnsi="Times New Roman"/>
        </w:rPr>
        <w:t xml:space="preserve">ñoz, </w:t>
      </w:r>
      <w:r w:rsidR="003550BF">
        <w:rPr>
          <w:rFonts w:ascii="Times New Roman" w:hAnsi="Times New Roman"/>
        </w:rPr>
        <w:t>an American citizen</w:t>
      </w:r>
      <w:r w:rsidR="005876A2">
        <w:rPr>
          <w:rFonts w:ascii="Times New Roman" w:hAnsi="Times New Roman"/>
        </w:rPr>
        <w:t>,</w:t>
      </w:r>
      <w:r w:rsidR="003550BF">
        <w:rPr>
          <w:rFonts w:ascii="Times New Roman" w:hAnsi="Times New Roman"/>
        </w:rPr>
        <w:t xml:space="preserve"> challenged the government’s </w:t>
      </w:r>
      <w:r w:rsidR="002A0E47">
        <w:rPr>
          <w:rFonts w:ascii="Times New Roman" w:hAnsi="Times New Roman"/>
        </w:rPr>
        <w:t>denial of her husband’s visa to live with her in the</w:t>
      </w:r>
      <w:r w:rsidR="00CC4F1E">
        <w:rPr>
          <w:rFonts w:ascii="Times New Roman" w:hAnsi="Times New Roman"/>
        </w:rPr>
        <w:t xml:space="preserve"> U.S.</w:t>
      </w:r>
      <w:r w:rsidR="00CC4F1E">
        <w:rPr>
          <w:rStyle w:val="FootnoteReference"/>
          <w:rFonts w:ascii="Times New Roman" w:hAnsi="Times New Roman"/>
        </w:rPr>
        <w:footnoteReference w:id="203"/>
      </w:r>
      <w:r>
        <w:rPr>
          <w:rFonts w:ascii="Times New Roman" w:hAnsi="Times New Roman"/>
        </w:rPr>
        <w:t xml:space="preserve"> </w:t>
      </w:r>
      <w:r w:rsidR="0093001E">
        <w:t>Mu</w:t>
      </w:r>
      <w:r w:rsidR="0093001E">
        <w:rPr>
          <w:rFonts w:ascii="Times New Roman" w:hAnsi="Times New Roman"/>
        </w:rPr>
        <w:t>ñoz claimed that the denial violated her fundamental right to marriage</w:t>
      </w:r>
      <w:r w:rsidR="004553DD">
        <w:rPr>
          <w:rFonts w:ascii="Times New Roman" w:hAnsi="Times New Roman"/>
        </w:rPr>
        <w:t>,</w:t>
      </w:r>
      <w:r w:rsidR="00A54584">
        <w:rPr>
          <w:rStyle w:val="FootnoteReference"/>
          <w:rFonts w:ascii="Times New Roman" w:hAnsi="Times New Roman"/>
        </w:rPr>
        <w:footnoteReference w:id="204"/>
      </w:r>
      <w:r w:rsidR="004553DD">
        <w:rPr>
          <w:rFonts w:ascii="Times New Roman" w:hAnsi="Times New Roman"/>
        </w:rPr>
        <w:t xml:space="preserve"> which the Supreme Court has repeatedly held</w:t>
      </w:r>
      <w:r w:rsidR="00FB30CB">
        <w:rPr>
          <w:rFonts w:ascii="Times New Roman" w:hAnsi="Times New Roman"/>
        </w:rPr>
        <w:t xml:space="preserve"> to be </w:t>
      </w:r>
      <w:r w:rsidR="004C5D3C">
        <w:rPr>
          <w:rFonts w:ascii="Times New Roman" w:hAnsi="Times New Roman"/>
        </w:rPr>
        <w:t xml:space="preserve">part of the liberty </w:t>
      </w:r>
      <w:r w:rsidR="00FB30CB">
        <w:rPr>
          <w:rFonts w:ascii="Times New Roman" w:hAnsi="Times New Roman"/>
        </w:rPr>
        <w:t>protected by the Due Process Clause of the Fifth Amendment.</w:t>
      </w:r>
      <w:r w:rsidR="00FB30CB">
        <w:rPr>
          <w:rStyle w:val="FootnoteReference"/>
          <w:rFonts w:ascii="Times New Roman" w:hAnsi="Times New Roman"/>
        </w:rPr>
        <w:footnoteReference w:id="205"/>
      </w:r>
      <w:r w:rsidR="004553DD">
        <w:rPr>
          <w:rFonts w:ascii="Times New Roman" w:hAnsi="Times New Roman"/>
        </w:rPr>
        <w:t xml:space="preserve"> </w:t>
      </w:r>
      <w:r w:rsidR="007533A7">
        <w:rPr>
          <w:rFonts w:ascii="Times New Roman" w:hAnsi="Times New Roman"/>
        </w:rPr>
        <w:t xml:space="preserve">But </w:t>
      </w:r>
      <w:r w:rsidR="007533A7">
        <w:t>Mu</w:t>
      </w:r>
      <w:r w:rsidR="007533A7">
        <w:rPr>
          <w:rFonts w:ascii="Times New Roman" w:hAnsi="Times New Roman"/>
        </w:rPr>
        <w:t>ñoz jumped over the first step in the originalist analysis</w:t>
      </w:r>
      <w:r w:rsidR="004E159A">
        <w:rPr>
          <w:rFonts w:ascii="Times New Roman" w:hAnsi="Times New Roman"/>
        </w:rPr>
        <w:t xml:space="preserve">. A “careful description” of the right asserted by </w:t>
      </w:r>
      <w:r w:rsidR="004E159A">
        <w:t>Mu</w:t>
      </w:r>
      <w:r w:rsidR="004E159A">
        <w:rPr>
          <w:rFonts w:ascii="Times New Roman" w:hAnsi="Times New Roman"/>
        </w:rPr>
        <w:t>ñoz</w:t>
      </w:r>
      <w:r w:rsidR="002161DD">
        <w:rPr>
          <w:rFonts w:ascii="Times New Roman" w:hAnsi="Times New Roman"/>
        </w:rPr>
        <w:t xml:space="preserve">, the Court held, </w:t>
      </w:r>
      <w:r w:rsidR="00D7719B">
        <w:rPr>
          <w:rFonts w:ascii="Times New Roman" w:hAnsi="Times New Roman"/>
        </w:rPr>
        <w:t xml:space="preserve">showed that it </w:t>
      </w:r>
      <w:r w:rsidR="007C082C">
        <w:rPr>
          <w:rFonts w:ascii="Times New Roman" w:hAnsi="Times New Roman"/>
        </w:rPr>
        <w:t>was “something distinct” from the more general right to marriage</w:t>
      </w:r>
      <w:r w:rsidR="00A62CDD">
        <w:rPr>
          <w:rFonts w:ascii="Times New Roman" w:hAnsi="Times New Roman"/>
        </w:rPr>
        <w:t xml:space="preserve">; the right </w:t>
      </w:r>
      <w:r w:rsidR="00A62CDD">
        <w:t>Mu</w:t>
      </w:r>
      <w:r w:rsidR="00A62CDD">
        <w:rPr>
          <w:rFonts w:ascii="Times New Roman" w:hAnsi="Times New Roman"/>
        </w:rPr>
        <w:t>ñoz claimed was instead</w:t>
      </w:r>
      <w:r w:rsidR="007C082C">
        <w:rPr>
          <w:rFonts w:ascii="Times New Roman" w:hAnsi="Times New Roman"/>
        </w:rPr>
        <w:t xml:space="preserve"> “</w:t>
      </w:r>
      <w:r w:rsidR="007C082C" w:rsidRPr="007C082C">
        <w:rPr>
          <w:rFonts w:ascii="Times New Roman" w:hAnsi="Times New Roman"/>
          <w:i/>
          <w:iCs/>
        </w:rPr>
        <w:t>the right to reside with her noncitizen spouse in the United States</w:t>
      </w:r>
      <w:r w:rsidR="007C082C" w:rsidRPr="007C082C">
        <w:rPr>
          <w:rFonts w:ascii="Times New Roman" w:hAnsi="Times New Roman"/>
        </w:rPr>
        <w:t>.</w:t>
      </w:r>
      <w:r w:rsidR="007C082C">
        <w:rPr>
          <w:rFonts w:ascii="Times New Roman" w:hAnsi="Times New Roman"/>
        </w:rPr>
        <w:t>”</w:t>
      </w:r>
      <w:bookmarkStart w:id="73" w:name="_Ref176523117"/>
      <w:r w:rsidR="007C082C">
        <w:rPr>
          <w:rStyle w:val="FootnoteReference"/>
          <w:rFonts w:ascii="Times New Roman" w:hAnsi="Times New Roman"/>
        </w:rPr>
        <w:footnoteReference w:id="206"/>
      </w:r>
      <w:bookmarkEnd w:id="73"/>
      <w:r w:rsidR="002161DD">
        <w:rPr>
          <w:rFonts w:ascii="Times New Roman" w:hAnsi="Times New Roman"/>
        </w:rPr>
        <w:t xml:space="preserve"> </w:t>
      </w:r>
      <w:r w:rsidR="00DA14A3">
        <w:rPr>
          <w:rFonts w:ascii="Times New Roman" w:hAnsi="Times New Roman"/>
        </w:rPr>
        <w:t xml:space="preserve">The Court had little trouble dismissing </w:t>
      </w:r>
      <w:r w:rsidR="00DA14A3" w:rsidRPr="00CB129A">
        <w:rPr>
          <w:rFonts w:ascii="Times New Roman" w:hAnsi="Times New Roman"/>
        </w:rPr>
        <w:t>this</w:t>
      </w:r>
      <w:r w:rsidR="00DA14A3">
        <w:rPr>
          <w:rFonts w:ascii="Times New Roman" w:hAnsi="Times New Roman"/>
        </w:rPr>
        <w:t xml:space="preserve"> </w:t>
      </w:r>
      <w:r w:rsidR="00CB129A">
        <w:rPr>
          <w:rFonts w:ascii="Times New Roman" w:hAnsi="Times New Roman"/>
        </w:rPr>
        <w:t xml:space="preserve">characterization of the </w:t>
      </w:r>
      <w:r w:rsidR="00DA14A3">
        <w:rPr>
          <w:rFonts w:ascii="Times New Roman" w:hAnsi="Times New Roman"/>
        </w:rPr>
        <w:t xml:space="preserve">right </w:t>
      </w:r>
      <w:r w:rsidR="00285B03">
        <w:rPr>
          <w:rFonts w:ascii="Times New Roman" w:hAnsi="Times New Roman"/>
        </w:rPr>
        <w:t>due to</w:t>
      </w:r>
      <w:r w:rsidR="00F83426">
        <w:rPr>
          <w:rFonts w:ascii="Times New Roman" w:hAnsi="Times New Roman"/>
        </w:rPr>
        <w:t xml:space="preserve"> the U.S. government’s </w:t>
      </w:r>
      <w:r w:rsidR="00EF4119">
        <w:rPr>
          <w:rFonts w:ascii="Times New Roman" w:hAnsi="Times New Roman"/>
        </w:rPr>
        <w:t xml:space="preserve">extensive </w:t>
      </w:r>
      <w:r w:rsidR="00F83426">
        <w:rPr>
          <w:rFonts w:ascii="Times New Roman" w:hAnsi="Times New Roman"/>
        </w:rPr>
        <w:t xml:space="preserve">“history and tradition” of excluding </w:t>
      </w:r>
      <w:r w:rsidR="009C11F6">
        <w:rPr>
          <w:rFonts w:ascii="Times New Roman" w:hAnsi="Times New Roman"/>
        </w:rPr>
        <w:t>foreign nationals.</w:t>
      </w:r>
      <w:bookmarkStart w:id="74" w:name="_Ref175059654"/>
      <w:r w:rsidR="00BB7EEF">
        <w:rPr>
          <w:rStyle w:val="FootnoteReference"/>
          <w:rFonts w:ascii="Times New Roman" w:hAnsi="Times New Roman"/>
        </w:rPr>
        <w:footnoteReference w:id="207"/>
      </w:r>
      <w:bookmarkEnd w:id="74"/>
    </w:p>
    <w:p w14:paraId="5EE946DC" w14:textId="77777777" w:rsidR="00470E6C" w:rsidRDefault="00470E6C" w:rsidP="009305AE">
      <w:pPr>
        <w:ind w:firstLine="720"/>
      </w:pPr>
    </w:p>
    <w:p w14:paraId="3D615690" w14:textId="2A9B0245" w:rsidR="00525298" w:rsidRDefault="00BC69AD" w:rsidP="009305AE">
      <w:pPr>
        <w:ind w:firstLine="720"/>
      </w:pPr>
      <w:r>
        <w:t xml:space="preserve">But the </w:t>
      </w:r>
      <w:proofErr w:type="gramStart"/>
      <w:r>
        <w:t>originalist</w:t>
      </w:r>
      <w:proofErr w:type="gramEnd"/>
      <w:r>
        <w:t xml:space="preserve"> choice between </w:t>
      </w:r>
      <w:r w:rsidR="00E721D9">
        <w:t>a myopic, regressive</w:t>
      </w:r>
      <w:r w:rsidR="00E721D9">
        <w:rPr>
          <w:rStyle w:val="FootnoteReference"/>
        </w:rPr>
        <w:footnoteReference w:id="208"/>
      </w:r>
      <w:r w:rsidR="00E721D9">
        <w:t xml:space="preserve"> historical inquiry and</w:t>
      </w:r>
      <w:r>
        <w:t xml:space="preserve"> </w:t>
      </w:r>
      <w:r w:rsidR="006011B8">
        <w:t xml:space="preserve">a </w:t>
      </w:r>
      <w:r>
        <w:t>free-wheeling</w:t>
      </w:r>
      <w:r w:rsidR="006011B8">
        <w:t>, unrestrained rule-by-judges</w:t>
      </w:r>
      <w:r w:rsidR="00E721D9">
        <w:t xml:space="preserve"> is a false dichotomy.</w:t>
      </w:r>
      <w:r w:rsidR="006011B8">
        <w:t xml:space="preserve"> </w:t>
      </w:r>
      <w:r w:rsidR="002F0FAF">
        <w:t xml:space="preserve">The </w:t>
      </w:r>
      <w:r w:rsidR="007D470B">
        <w:t xml:space="preserve">Framers’ </w:t>
      </w:r>
      <w:r w:rsidR="00B40D20">
        <w:t xml:space="preserve">Epicurean </w:t>
      </w:r>
      <w:r w:rsidR="0045286D">
        <w:t>understanding</w:t>
      </w:r>
      <w:r w:rsidR="002F0FAF">
        <w:t xml:space="preserve"> of liberty as the pursuit of happiness </w:t>
      </w:r>
      <w:r w:rsidR="00F6307F">
        <w:t xml:space="preserve">provides </w:t>
      </w:r>
      <w:r w:rsidR="00B26ED4">
        <w:t xml:space="preserve">both substance and limits to the liberty protected by </w:t>
      </w:r>
      <w:r w:rsidR="00B26ED4">
        <w:lastRenderedPageBreak/>
        <w:t xml:space="preserve">the Due Process Clause. In other words, Alito’s two-fold critique </w:t>
      </w:r>
      <w:r w:rsidR="001826CE">
        <w:t xml:space="preserve">of </w:t>
      </w:r>
      <w:r w:rsidR="001826CE">
        <w:rPr>
          <w:i/>
          <w:iCs/>
        </w:rPr>
        <w:t>Obergefell</w:t>
      </w:r>
      <w:r w:rsidR="001826CE">
        <w:t xml:space="preserve"> is</w:t>
      </w:r>
      <w:r w:rsidR="00532361">
        <w:t xml:space="preserve"> wrong on both counts.</w:t>
      </w:r>
      <w:r w:rsidR="005B69A7">
        <w:rPr>
          <w:rStyle w:val="FootnoteReference"/>
        </w:rPr>
        <w:footnoteReference w:id="209"/>
      </w:r>
      <w:r w:rsidR="00532361">
        <w:t xml:space="preserve"> </w:t>
      </w:r>
      <w:r w:rsidR="006A58C4">
        <w:t xml:space="preserve">Defining </w:t>
      </w:r>
      <w:r w:rsidR="00532361">
        <w:t>“</w:t>
      </w:r>
      <w:r w:rsidR="006A58C4">
        <w:t>l</w:t>
      </w:r>
      <w:r w:rsidR="00532361">
        <w:t>iberty”</w:t>
      </w:r>
      <w:r w:rsidR="008D544F">
        <w:t xml:space="preserve"> as </w:t>
      </w:r>
      <w:r w:rsidR="00CC22BD">
        <w:t xml:space="preserve">evolving </w:t>
      </w:r>
      <w:r w:rsidR="008D544F">
        <w:t>self-definition</w:t>
      </w:r>
      <w:r w:rsidR="00532361">
        <w:t xml:space="preserve"> is neither </w:t>
      </w:r>
      <w:r w:rsidR="009F157A">
        <w:t xml:space="preserve">impossibly subjective </w:t>
      </w:r>
      <w:r w:rsidR="008D544F">
        <w:t xml:space="preserve">nor postmodern, but </w:t>
      </w:r>
      <w:r w:rsidR="000562F8">
        <w:t>literally</w:t>
      </w:r>
      <w:r w:rsidR="008D544F">
        <w:t xml:space="preserve"> ancient and deeply rooted in the Framers’ original understanding of the Constitution</w:t>
      </w:r>
      <w:r w:rsidR="00121CB0">
        <w:t>al text</w:t>
      </w:r>
      <w:r w:rsidR="008D544F">
        <w:t>.</w:t>
      </w:r>
      <w:r w:rsidR="00A82C3D">
        <w:rPr>
          <w:rStyle w:val="FootnoteReference"/>
        </w:rPr>
        <w:footnoteReference w:id="210"/>
      </w:r>
    </w:p>
    <w:p w14:paraId="4B1262FF" w14:textId="77777777" w:rsidR="00525298" w:rsidRDefault="00525298" w:rsidP="009305AE">
      <w:pPr>
        <w:ind w:firstLine="720"/>
      </w:pPr>
    </w:p>
    <w:p w14:paraId="1AB737FD" w14:textId="3B6C1FDD" w:rsidR="00C36026" w:rsidRDefault="00381FA4" w:rsidP="00C36026">
      <w:pPr>
        <w:pStyle w:val="Heading3"/>
      </w:pPr>
      <w:r>
        <w:t>The Right to Subjectivity</w:t>
      </w:r>
    </w:p>
    <w:p w14:paraId="480AEB13" w14:textId="77777777" w:rsidR="00C36026" w:rsidRDefault="00C36026" w:rsidP="009305AE">
      <w:pPr>
        <w:ind w:firstLine="720"/>
      </w:pPr>
    </w:p>
    <w:p w14:paraId="23EA1507" w14:textId="4CA0660E" w:rsidR="00443E38" w:rsidRDefault="00AC565D" w:rsidP="009305AE">
      <w:pPr>
        <w:ind w:firstLine="720"/>
      </w:pPr>
      <w:r>
        <w:t>At first glance,</w:t>
      </w:r>
      <w:r w:rsidR="00453AEE">
        <w:t xml:space="preserve"> defining “liberty” as “the pursuit of happiness” </w:t>
      </w:r>
      <w:r w:rsidR="00F01027">
        <w:t>seems to do</w:t>
      </w:r>
      <w:r w:rsidR="00B24E3C">
        <w:t xml:space="preserve"> little to </w:t>
      </w:r>
      <w:r w:rsidR="002A3742">
        <w:t xml:space="preserve">resolve the problem of </w:t>
      </w:r>
      <w:r w:rsidR="00054A3C">
        <w:t xml:space="preserve">excess </w:t>
      </w:r>
      <w:r w:rsidR="002A3742">
        <w:t>subjectivity</w:t>
      </w:r>
      <w:r w:rsidR="00A826E1">
        <w:t xml:space="preserve">. </w:t>
      </w:r>
      <w:r w:rsidR="001675A8">
        <w:t>Like the definition of liberty, t</w:t>
      </w:r>
      <w:r w:rsidR="00381FA4">
        <w:t>he means of achieving happiness</w:t>
      </w:r>
      <w:r w:rsidR="001675A8">
        <w:t xml:space="preserve"> </w:t>
      </w:r>
      <w:r w:rsidR="0001577B">
        <w:t>often</w:t>
      </w:r>
      <w:r w:rsidR="00381FA4">
        <w:t xml:space="preserve"> differ</w:t>
      </w:r>
      <w:r w:rsidR="0001577B">
        <w:t>s</w:t>
      </w:r>
      <w:r w:rsidR="00381FA4">
        <w:t xml:space="preserve"> widely from person to person</w:t>
      </w:r>
      <w:r w:rsidR="00515237">
        <w:t>.</w:t>
      </w:r>
      <w:bookmarkStart w:id="75" w:name="_Ref183442134"/>
      <w:r w:rsidR="001675A8">
        <w:rPr>
          <w:rStyle w:val="FootnoteReference"/>
        </w:rPr>
        <w:footnoteReference w:id="211"/>
      </w:r>
      <w:bookmarkEnd w:id="75"/>
      <w:r w:rsidR="00515237">
        <w:t xml:space="preserve"> </w:t>
      </w:r>
      <w:r w:rsidR="00861CB7">
        <w:t>E</w:t>
      </w:r>
      <w:r w:rsidR="0001577B">
        <w:t>xcavating</w:t>
      </w:r>
      <w:r w:rsidR="00887FAF">
        <w:t xml:space="preserve"> the Fra</w:t>
      </w:r>
      <w:r w:rsidR="0001577B">
        <w:t xml:space="preserve">mers’ </w:t>
      </w:r>
      <w:r w:rsidR="007B6BAF">
        <w:t xml:space="preserve">original </w:t>
      </w:r>
      <w:r w:rsidR="00AD7167">
        <w:t>understanding of</w:t>
      </w:r>
      <w:r w:rsidR="002B5776">
        <w:t xml:space="preserve"> liberty </w:t>
      </w:r>
      <w:r w:rsidR="00A67AD3">
        <w:t xml:space="preserve">as the pursuit of happiness </w:t>
      </w:r>
      <w:r w:rsidR="00BB46C8">
        <w:t xml:space="preserve">exposes </w:t>
      </w:r>
      <w:r w:rsidR="00C72B6A">
        <w:t xml:space="preserve">the kerfuffle </w:t>
      </w:r>
      <w:r w:rsidR="00190D8E">
        <w:t>over subjectivity as a red herring</w:t>
      </w:r>
      <w:r w:rsidR="00861CB7">
        <w:t>, however</w:t>
      </w:r>
      <w:r w:rsidR="00190D8E">
        <w:t xml:space="preserve">. If “liberty” means </w:t>
      </w:r>
      <w:r w:rsidR="00D13CE9">
        <w:t xml:space="preserve">the right of individuals to </w:t>
      </w:r>
      <w:r w:rsidR="007F1A15">
        <w:t>align their lives with their subjective preferences in a manner that brings them happiness</w:t>
      </w:r>
      <w:r w:rsidR="00177190">
        <w:t>,</w:t>
      </w:r>
      <w:r w:rsidR="00561C7C">
        <w:rPr>
          <w:rStyle w:val="FootnoteReference"/>
        </w:rPr>
        <w:footnoteReference w:id="212"/>
      </w:r>
      <w:r w:rsidR="00177190">
        <w:t xml:space="preserve"> then </w:t>
      </w:r>
      <w:r w:rsidR="000D5251">
        <w:rPr>
          <w:i/>
          <w:iCs/>
        </w:rPr>
        <w:t xml:space="preserve">subjectivity is the </w:t>
      </w:r>
      <w:r w:rsidR="003819C3">
        <w:rPr>
          <w:i/>
          <w:iCs/>
        </w:rPr>
        <w:t>entire</w:t>
      </w:r>
      <w:r w:rsidR="00663279">
        <w:rPr>
          <w:i/>
          <w:iCs/>
        </w:rPr>
        <w:t xml:space="preserve"> </w:t>
      </w:r>
      <w:r w:rsidR="000D5251">
        <w:rPr>
          <w:i/>
          <w:iCs/>
        </w:rPr>
        <w:t>point of liberty</w:t>
      </w:r>
      <w:r w:rsidR="000D5251">
        <w:t>.</w:t>
      </w:r>
      <w:r w:rsidR="00C17756">
        <w:t xml:space="preserve"> </w:t>
      </w:r>
    </w:p>
    <w:p w14:paraId="66E614BF" w14:textId="77777777" w:rsidR="00C77D66" w:rsidRDefault="00C77D66" w:rsidP="009305AE">
      <w:pPr>
        <w:ind w:firstLine="720"/>
      </w:pPr>
    </w:p>
    <w:p w14:paraId="76B67362" w14:textId="09D43D78" w:rsidR="008575D2" w:rsidRPr="00773323" w:rsidRDefault="00D91739" w:rsidP="009305AE">
      <w:pPr>
        <w:ind w:firstLine="720"/>
      </w:pPr>
      <w:r>
        <w:t xml:space="preserve">Debates about substantive due process typically turn on whether </w:t>
      </w:r>
      <w:r w:rsidR="00BD4343">
        <w:t xml:space="preserve">a </w:t>
      </w:r>
      <w:r>
        <w:t xml:space="preserve">discrete interest </w:t>
      </w:r>
      <w:r w:rsidR="00F24336">
        <w:t>count</w:t>
      </w:r>
      <w:r w:rsidR="00A37FCE">
        <w:t>s</w:t>
      </w:r>
      <w:r w:rsidR="00F24336">
        <w:t xml:space="preserve"> as “liberty</w:t>
      </w:r>
      <w:r w:rsidR="00BA6004">
        <w:t>.”</w:t>
      </w:r>
      <w:bookmarkStart w:id="76" w:name="_Ref176524312"/>
      <w:r w:rsidR="00BA6004">
        <w:rPr>
          <w:rStyle w:val="FootnoteReference"/>
        </w:rPr>
        <w:footnoteReference w:id="213"/>
      </w:r>
      <w:bookmarkEnd w:id="76"/>
      <w:r w:rsidR="00F24336">
        <w:t xml:space="preserve"> </w:t>
      </w:r>
      <w:r w:rsidR="003221C5">
        <w:t>But b</w:t>
      </w:r>
      <w:r w:rsidR="00407BE2">
        <w:t xml:space="preserve">ased on </w:t>
      </w:r>
      <w:r w:rsidR="002D2345">
        <w:t>the Framers’</w:t>
      </w:r>
      <w:r w:rsidR="00407BE2">
        <w:t xml:space="preserve"> definition,</w:t>
      </w:r>
      <w:r w:rsidR="002D2345">
        <w:t xml:space="preserve"> </w:t>
      </w:r>
      <w:r w:rsidR="00407BE2" w:rsidRPr="003221C5">
        <w:rPr>
          <w:i/>
          <w:iCs/>
        </w:rPr>
        <w:t>e</w:t>
      </w:r>
      <w:r w:rsidR="005F0ECB" w:rsidRPr="003221C5">
        <w:rPr>
          <w:i/>
          <w:iCs/>
        </w:rPr>
        <w:t>very</w:t>
      </w:r>
      <w:r w:rsidR="005F0ECB">
        <w:t xml:space="preserve"> government action </w:t>
      </w:r>
      <w:r w:rsidR="00407BE2">
        <w:t xml:space="preserve">that </w:t>
      </w:r>
      <w:r w:rsidR="00E61BC2">
        <w:t xml:space="preserve">hinders </w:t>
      </w:r>
      <w:r w:rsidR="00E61BC2" w:rsidRPr="003221C5">
        <w:rPr>
          <w:i/>
          <w:iCs/>
        </w:rPr>
        <w:t>any</w:t>
      </w:r>
      <w:r w:rsidR="00E61BC2">
        <w:t xml:space="preserve"> individual’s</w:t>
      </w:r>
      <w:r w:rsidR="002E723C">
        <w:t xml:space="preserve"> ability to act upon their subjective preferences is</w:t>
      </w:r>
      <w:r w:rsidR="008575D2">
        <w:t>, for that reason,</w:t>
      </w:r>
      <w:r w:rsidR="002E723C">
        <w:t xml:space="preserve"> an infringement upo</w:t>
      </w:r>
      <w:r w:rsidR="00785843">
        <w:t>n that person’s liberty</w:t>
      </w:r>
      <w:r w:rsidR="00407BE2">
        <w:t>.</w:t>
      </w:r>
      <w:r w:rsidR="00785843">
        <w:t xml:space="preserve"> </w:t>
      </w:r>
      <w:r w:rsidR="00C520F8">
        <w:t>If</w:t>
      </w:r>
      <w:r w:rsidR="006F1AFC">
        <w:t xml:space="preserve"> that proposition conjures visions of anarchy and </w:t>
      </w:r>
      <w:r w:rsidR="004A15B3">
        <w:t>a</w:t>
      </w:r>
      <w:r w:rsidR="006F1AFC">
        <w:t xml:space="preserve"> </w:t>
      </w:r>
      <w:r w:rsidR="00B74007">
        <w:t xml:space="preserve">chaotic </w:t>
      </w:r>
      <w:r w:rsidR="006F1AFC">
        <w:t>“state of nature,”</w:t>
      </w:r>
      <w:bookmarkStart w:id="77" w:name="_Ref184288065"/>
      <w:r w:rsidR="00B74007">
        <w:rPr>
          <w:rStyle w:val="FootnoteReference"/>
        </w:rPr>
        <w:footnoteReference w:id="214"/>
      </w:r>
      <w:bookmarkEnd w:id="77"/>
      <w:r w:rsidR="006F1AFC">
        <w:t xml:space="preserve"> it is because the Supreme Court has</w:t>
      </w:r>
      <w:r w:rsidR="00DE7852">
        <w:t xml:space="preserve"> </w:t>
      </w:r>
      <w:r w:rsidR="00022312">
        <w:t xml:space="preserve">taken </w:t>
      </w:r>
      <w:r w:rsidR="002D30F9">
        <w:t>an</w:t>
      </w:r>
      <w:r w:rsidR="00022312">
        <w:t xml:space="preserve"> </w:t>
      </w:r>
      <w:r w:rsidR="008E0142">
        <w:t>all</w:t>
      </w:r>
      <w:r w:rsidR="00022312">
        <w:t>-or-</w:t>
      </w:r>
      <w:r w:rsidR="008E0142">
        <w:t>nothing</w:t>
      </w:r>
      <w:r w:rsidR="00022312">
        <w:t xml:space="preserve"> approach to</w:t>
      </w:r>
      <w:r w:rsidR="008E0142">
        <w:t xml:space="preserve"> the level of permissible</w:t>
      </w:r>
      <w:r w:rsidR="00022312">
        <w:t xml:space="preserve"> government infringement based </w:t>
      </w:r>
      <w:r w:rsidR="0050083D">
        <w:t xml:space="preserve">on the outcome of its liberty-or-not inquiry. If </w:t>
      </w:r>
      <w:r w:rsidR="00B93D55">
        <w:t>the Court determines that an</w:t>
      </w:r>
      <w:r w:rsidR="0050083D">
        <w:t xml:space="preserve"> interest counts as liberty, the government cannot interfere with the interest except in the most extreme circumstances; if not, the government is essentially free to trammel the interest at will.</w:t>
      </w:r>
      <w:bookmarkStart w:id="78" w:name="_Ref176524320"/>
      <w:r w:rsidR="0050083D">
        <w:rPr>
          <w:rStyle w:val="FootnoteReference"/>
        </w:rPr>
        <w:footnoteReference w:id="215"/>
      </w:r>
      <w:bookmarkEnd w:id="78"/>
      <w:r w:rsidR="0050083D">
        <w:t xml:space="preserve"> </w:t>
      </w:r>
      <w:r w:rsidR="00773323">
        <w:t xml:space="preserve">This all-or-nothing approach was on full display in </w:t>
      </w:r>
      <w:r w:rsidR="00773323" w:rsidRPr="00183A0E">
        <w:rPr>
          <w:i/>
          <w:iCs/>
        </w:rPr>
        <w:t>Mu</w:t>
      </w:r>
      <w:r w:rsidR="00773323" w:rsidRPr="00183A0E">
        <w:rPr>
          <w:rFonts w:ascii="Times New Roman" w:hAnsi="Times New Roman"/>
          <w:i/>
          <w:iCs/>
        </w:rPr>
        <w:t>ñoz</w:t>
      </w:r>
      <w:r w:rsidR="00773323">
        <w:rPr>
          <w:rFonts w:ascii="Times New Roman" w:hAnsi="Times New Roman"/>
        </w:rPr>
        <w:t xml:space="preserve">, </w:t>
      </w:r>
      <w:r w:rsidR="00CA7B9A">
        <w:rPr>
          <w:rFonts w:ascii="Times New Roman" w:hAnsi="Times New Roman"/>
        </w:rPr>
        <w:t xml:space="preserve">in which </w:t>
      </w:r>
      <w:r w:rsidR="000E09F1">
        <w:rPr>
          <w:rFonts w:ascii="Times New Roman" w:hAnsi="Times New Roman"/>
        </w:rPr>
        <w:t xml:space="preserve">the </w:t>
      </w:r>
      <w:r w:rsidR="00A258FE">
        <w:rPr>
          <w:rFonts w:ascii="Times New Roman" w:hAnsi="Times New Roman"/>
        </w:rPr>
        <w:t xml:space="preserve">plaintiff sought </w:t>
      </w:r>
      <w:r w:rsidR="00083072">
        <w:rPr>
          <w:rFonts w:ascii="Times New Roman" w:hAnsi="Times New Roman"/>
        </w:rPr>
        <w:t xml:space="preserve">additional process but something less than strict scrutiny </w:t>
      </w:r>
      <w:r w:rsidR="000E09F1">
        <w:rPr>
          <w:rFonts w:ascii="Times New Roman" w:hAnsi="Times New Roman"/>
        </w:rPr>
        <w:t xml:space="preserve">for the State Department’s denial of her request for her non-citizen husband to </w:t>
      </w:r>
      <w:r w:rsidR="00E44A3A">
        <w:rPr>
          <w:rFonts w:ascii="Times New Roman" w:hAnsi="Times New Roman"/>
        </w:rPr>
        <w:t>live with</w:t>
      </w:r>
      <w:r w:rsidR="000E09F1">
        <w:rPr>
          <w:rFonts w:ascii="Times New Roman" w:hAnsi="Times New Roman"/>
        </w:rPr>
        <w:t xml:space="preserve"> her in the U.S.</w:t>
      </w:r>
      <w:r w:rsidR="00E44A3A">
        <w:rPr>
          <w:rStyle w:val="FootnoteReference"/>
          <w:rFonts w:ascii="Times New Roman" w:hAnsi="Times New Roman"/>
        </w:rPr>
        <w:footnoteReference w:id="216"/>
      </w:r>
      <w:r w:rsidR="0076481F">
        <w:rPr>
          <w:rFonts w:ascii="Times New Roman" w:hAnsi="Times New Roman"/>
        </w:rPr>
        <w:t xml:space="preserve"> </w:t>
      </w:r>
      <w:r w:rsidR="006514CA">
        <w:rPr>
          <w:rFonts w:ascii="Times New Roman" w:hAnsi="Times New Roman"/>
        </w:rPr>
        <w:t>For</w:t>
      </w:r>
      <w:r w:rsidR="00C934AE">
        <w:rPr>
          <w:rFonts w:ascii="Times New Roman" w:hAnsi="Times New Roman"/>
        </w:rPr>
        <w:t xml:space="preserve"> </w:t>
      </w:r>
      <w:r w:rsidR="00A95A82">
        <w:rPr>
          <w:rFonts w:ascii="Times New Roman" w:hAnsi="Times New Roman"/>
        </w:rPr>
        <w:t>fail</w:t>
      </w:r>
      <w:r w:rsidR="006514CA">
        <w:rPr>
          <w:rFonts w:ascii="Times New Roman" w:hAnsi="Times New Roman"/>
        </w:rPr>
        <w:t>ing</w:t>
      </w:r>
      <w:r w:rsidR="00A95A82">
        <w:rPr>
          <w:rFonts w:ascii="Times New Roman" w:hAnsi="Times New Roman"/>
        </w:rPr>
        <w:t xml:space="preserve"> to align her</w:t>
      </w:r>
      <w:r w:rsidR="0081580B">
        <w:rPr>
          <w:rFonts w:ascii="Times New Roman" w:hAnsi="Times New Roman"/>
        </w:rPr>
        <w:t xml:space="preserve"> asserted interest</w:t>
      </w:r>
      <w:r w:rsidR="00A95A82">
        <w:rPr>
          <w:rFonts w:ascii="Times New Roman" w:hAnsi="Times New Roman"/>
        </w:rPr>
        <w:t xml:space="preserve"> with the cramped liberty-or-not inquiry, t</w:t>
      </w:r>
      <w:r w:rsidR="00D8418A">
        <w:rPr>
          <w:rFonts w:ascii="Times New Roman" w:hAnsi="Times New Roman"/>
        </w:rPr>
        <w:t xml:space="preserve">he Court dismissed </w:t>
      </w:r>
      <w:r w:rsidR="006514CA" w:rsidRPr="006514CA">
        <w:t>Mu</w:t>
      </w:r>
      <w:r w:rsidR="006514CA" w:rsidRPr="006514CA">
        <w:rPr>
          <w:rFonts w:ascii="Times New Roman" w:hAnsi="Times New Roman"/>
        </w:rPr>
        <w:t>ñoz</w:t>
      </w:r>
      <w:r w:rsidR="0081580B">
        <w:rPr>
          <w:rFonts w:ascii="Times New Roman" w:hAnsi="Times New Roman"/>
        </w:rPr>
        <w:t>’s claim</w:t>
      </w:r>
      <w:r w:rsidR="006514CA">
        <w:rPr>
          <w:rFonts w:ascii="Times New Roman" w:hAnsi="Times New Roman"/>
        </w:rPr>
        <w:t xml:space="preserve"> </w:t>
      </w:r>
      <w:r w:rsidR="00D8418A">
        <w:rPr>
          <w:rFonts w:ascii="Times New Roman" w:hAnsi="Times New Roman"/>
        </w:rPr>
        <w:t xml:space="preserve">as “neither fish </w:t>
      </w:r>
      <w:r w:rsidR="00D8418A">
        <w:rPr>
          <w:rFonts w:ascii="Times New Roman" w:hAnsi="Times New Roman"/>
        </w:rPr>
        <w:lastRenderedPageBreak/>
        <w:t>nor fowl.”</w:t>
      </w:r>
      <w:r w:rsidR="004578C4">
        <w:rPr>
          <w:rStyle w:val="FootnoteReference"/>
          <w:rFonts w:ascii="Times New Roman" w:hAnsi="Times New Roman"/>
        </w:rPr>
        <w:footnoteReference w:id="217"/>
      </w:r>
    </w:p>
    <w:p w14:paraId="43870397" w14:textId="77777777" w:rsidR="008575D2" w:rsidRDefault="008575D2" w:rsidP="009305AE">
      <w:pPr>
        <w:ind w:firstLine="720"/>
      </w:pPr>
    </w:p>
    <w:p w14:paraId="412E8315" w14:textId="54DFD6C7" w:rsidR="00C422FF" w:rsidRDefault="006837FF" w:rsidP="009305AE">
      <w:pPr>
        <w:ind w:firstLine="720"/>
      </w:pPr>
      <w:r>
        <w:t xml:space="preserve">This is another false dichotomy—one not supported by the text of the Due Process Clause </w:t>
      </w:r>
      <w:r w:rsidR="00426961">
        <w:t>itself</w:t>
      </w:r>
      <w:r w:rsidR="00C520F8">
        <w:t>.</w:t>
      </w:r>
      <w:r w:rsidR="00E916E4">
        <w:t xml:space="preserve"> </w:t>
      </w:r>
      <w:r w:rsidR="00023B21">
        <w:t xml:space="preserve">As the Court’s “procedural due process” cases </w:t>
      </w:r>
      <w:r w:rsidR="00AF0505">
        <w:t>indicate</w:t>
      </w:r>
      <w:r w:rsidR="00023B21">
        <w:t>,</w:t>
      </w:r>
      <w:r w:rsidR="00F25AD6">
        <w:t xml:space="preserve"> the </w:t>
      </w:r>
      <w:r w:rsidR="002E7105">
        <w:t>combinations</w:t>
      </w:r>
      <w:r w:rsidR="00F25AD6">
        <w:t xml:space="preserve"> of </w:t>
      </w:r>
      <w:r w:rsidR="002E7105">
        <w:t xml:space="preserve">various procedural hurdles the Court </w:t>
      </w:r>
      <w:r w:rsidR="002127A3">
        <w:t xml:space="preserve">can impose upon government action </w:t>
      </w:r>
      <w:r w:rsidR="00CC667B">
        <w:t>are virtually infinite.</w:t>
      </w:r>
      <w:r w:rsidR="00CC667B">
        <w:rPr>
          <w:rStyle w:val="FootnoteReference"/>
        </w:rPr>
        <w:footnoteReference w:id="218"/>
      </w:r>
      <w:r w:rsidR="00DE05BE">
        <w:t xml:space="preserve"> </w:t>
      </w:r>
      <w:r w:rsidR="001023A8">
        <w:t>Similarly, the</w:t>
      </w:r>
      <w:r w:rsidR="00C422FF">
        <w:t xml:space="preserve"> Court need not limit itself to</w:t>
      </w:r>
      <w:r w:rsidR="001023A8">
        <w:t xml:space="preserve"> one of two extreme outcomes in substantive due process cases.</w:t>
      </w:r>
      <w:r w:rsidR="00C422FF">
        <w:t xml:space="preserve"> </w:t>
      </w:r>
      <w:r w:rsidR="003572E7">
        <w:t>Rather, i</w:t>
      </w:r>
      <w:r w:rsidR="006749FC">
        <w:t xml:space="preserve">f various domains of human life deserve varying levels of protection from government intrusion, </w:t>
      </w:r>
      <w:r w:rsidR="00CA40C5">
        <w:t>it makes sense to</w:t>
      </w:r>
      <w:r w:rsidR="006749FC">
        <w:t xml:space="preserve"> create a sliding scale whereby government action becomes more difficult—more process becomes </w:t>
      </w:r>
      <w:r w:rsidR="006749FC">
        <w:rPr>
          <w:i/>
          <w:iCs/>
        </w:rPr>
        <w:t>due</w:t>
      </w:r>
      <w:r w:rsidR="006749FC">
        <w:t xml:space="preserve">—as the action intrudes </w:t>
      </w:r>
      <w:r w:rsidR="00420ABC">
        <w:t>into</w:t>
      </w:r>
      <w:r w:rsidR="006749FC">
        <w:t xml:space="preserve"> </w:t>
      </w:r>
      <w:r w:rsidR="00104348">
        <w:t xml:space="preserve">progressively </w:t>
      </w:r>
      <w:r w:rsidR="006749FC">
        <w:t xml:space="preserve">more important domains. </w:t>
      </w:r>
      <w:r w:rsidR="00A8543B">
        <w:t>A</w:t>
      </w:r>
      <w:r w:rsidR="00DE05BE">
        <w:t xml:space="preserve">s Jamal Greene has noted, </w:t>
      </w:r>
      <w:r w:rsidR="00E4668A">
        <w:t>“[d]</w:t>
      </w:r>
      <w:proofErr w:type="spellStart"/>
      <w:r w:rsidR="00E4668A">
        <w:t>ue</w:t>
      </w:r>
      <w:proofErr w:type="spellEnd"/>
      <w:r w:rsidR="00E4668A">
        <w:t xml:space="preserve"> process contemplates a rule of reason that calibrates the relation between, on one hand, the nature of </w:t>
      </w:r>
      <w:r w:rsidR="006A0198">
        <w:t>and scope of a deprivation and, on the other hand, the process that attends it.”</w:t>
      </w:r>
      <w:r w:rsidR="006A0198">
        <w:rPr>
          <w:rStyle w:val="FootnoteReference"/>
        </w:rPr>
        <w:footnoteReference w:id="219"/>
      </w:r>
      <w:r w:rsidR="009C1301">
        <w:t xml:space="preserve"> </w:t>
      </w:r>
    </w:p>
    <w:p w14:paraId="0F2720BD" w14:textId="77777777" w:rsidR="00C422FF" w:rsidRDefault="00C422FF" w:rsidP="009305AE">
      <w:pPr>
        <w:ind w:firstLine="720"/>
      </w:pPr>
    </w:p>
    <w:p w14:paraId="39A210E6" w14:textId="7876BA91" w:rsidR="00C77D66" w:rsidRPr="00D13D57" w:rsidRDefault="00754112" w:rsidP="009305AE">
      <w:pPr>
        <w:ind w:firstLine="720"/>
      </w:pPr>
      <w:r>
        <w:t xml:space="preserve">Accordingly, substantive due process debates </w:t>
      </w:r>
      <w:r w:rsidR="009B75E8">
        <w:t xml:space="preserve">should be—indeed, </w:t>
      </w:r>
      <w:r w:rsidR="009B75E8">
        <w:rPr>
          <w:i/>
          <w:iCs/>
        </w:rPr>
        <w:t>are</w:t>
      </w:r>
      <w:r w:rsidR="009B75E8">
        <w:t>—</w:t>
      </w:r>
      <w:r w:rsidR="0094306B">
        <w:t>less</w:t>
      </w:r>
      <w:r w:rsidR="009B75E8">
        <w:t xml:space="preserve"> </w:t>
      </w:r>
      <w:r w:rsidR="0094306B">
        <w:t xml:space="preserve">about the definition of </w:t>
      </w:r>
      <w:r w:rsidR="00C73498">
        <w:t>“</w:t>
      </w:r>
      <w:r w:rsidR="0094306B" w:rsidRPr="00C73498">
        <w:t>liberty</w:t>
      </w:r>
      <w:r w:rsidR="00C73498">
        <w:t>”</w:t>
      </w:r>
      <w:r w:rsidR="00743D36">
        <w:t xml:space="preserve"> </w:t>
      </w:r>
      <w:r w:rsidR="0094306B">
        <w:t xml:space="preserve">than about </w:t>
      </w:r>
      <w:r w:rsidR="00C73498">
        <w:t>the definition of “due</w:t>
      </w:r>
      <w:r w:rsidR="00F21330">
        <w:t>.</w:t>
      </w:r>
      <w:r w:rsidR="00C73498">
        <w:t>”</w:t>
      </w:r>
      <w:r w:rsidR="00F21330">
        <w:rPr>
          <w:rStyle w:val="FootnoteReference"/>
        </w:rPr>
        <w:footnoteReference w:id="220"/>
      </w:r>
      <w:r w:rsidR="00C73498">
        <w:t xml:space="preserve"> </w:t>
      </w:r>
      <w:r w:rsidR="006374D8">
        <w:t xml:space="preserve">Substantive due process cases do not require judges to decide </w:t>
      </w:r>
      <w:r w:rsidR="006374D8">
        <w:rPr>
          <w:i/>
          <w:iCs/>
        </w:rPr>
        <w:t xml:space="preserve">whether </w:t>
      </w:r>
      <w:r w:rsidR="006374D8">
        <w:t xml:space="preserve">an interest counts as liberty but </w:t>
      </w:r>
      <w:r w:rsidR="006374D8" w:rsidRPr="006374D8">
        <w:rPr>
          <w:i/>
          <w:iCs/>
        </w:rPr>
        <w:t>how</w:t>
      </w:r>
      <w:r w:rsidR="006374D8">
        <w:t xml:space="preserve"> important that liberty is.</w:t>
      </w:r>
      <w:r w:rsidR="00BB24E0">
        <w:t xml:space="preserve"> </w:t>
      </w:r>
      <w:r w:rsidR="00C73498" w:rsidRPr="006374D8">
        <w:t>In</w:t>
      </w:r>
      <w:r w:rsidR="00C73498">
        <w:t xml:space="preserve"> other words, </w:t>
      </w:r>
      <w:r w:rsidR="0063637B">
        <w:t xml:space="preserve">substantive due process </w:t>
      </w:r>
      <w:r w:rsidR="007C2703">
        <w:t>jurisprudence</w:t>
      </w:r>
      <w:r w:rsidR="00C73498">
        <w:t xml:space="preserve"> </w:t>
      </w:r>
      <w:r w:rsidR="00C93F59">
        <w:t xml:space="preserve">is </w:t>
      </w:r>
      <w:r w:rsidR="00C73498">
        <w:t xml:space="preserve">about </w:t>
      </w:r>
      <w:r w:rsidR="00D13D57" w:rsidRPr="002F2C74">
        <w:t>the relative importance of the interest at stake</w:t>
      </w:r>
      <w:r w:rsidR="003373DE">
        <w:t xml:space="preserve"> </w:t>
      </w:r>
      <w:r w:rsidR="001E227A">
        <w:t>weighed against</w:t>
      </w:r>
      <w:r w:rsidR="00682092">
        <w:t xml:space="preserve"> </w:t>
      </w:r>
      <w:r w:rsidR="00D86770">
        <w:t xml:space="preserve">both </w:t>
      </w:r>
      <w:r w:rsidR="00682092">
        <w:t xml:space="preserve">the government’s </w:t>
      </w:r>
      <w:r w:rsidR="00261DA3">
        <w:t xml:space="preserve">specific </w:t>
      </w:r>
      <w:r w:rsidR="00682092">
        <w:t>interest</w:t>
      </w:r>
      <w:r w:rsidR="001E227A">
        <w:t xml:space="preserve"> in regulati</w:t>
      </w:r>
      <w:r w:rsidR="00057769">
        <w:t xml:space="preserve">ng the </w:t>
      </w:r>
      <w:proofErr w:type="gramStart"/>
      <w:r w:rsidR="00057769">
        <w:t>particular liberty</w:t>
      </w:r>
      <w:proofErr w:type="gramEnd"/>
      <w:r w:rsidR="00057769">
        <w:t xml:space="preserve"> </w:t>
      </w:r>
      <w:r w:rsidR="00D64833">
        <w:t xml:space="preserve">interest </w:t>
      </w:r>
      <w:r w:rsidR="00057769">
        <w:t>at issue and</w:t>
      </w:r>
      <w:r w:rsidR="00D86770">
        <w:t xml:space="preserve"> its</w:t>
      </w:r>
      <w:r w:rsidR="002F0413">
        <w:t xml:space="preserve"> general interest in regulation more broadly</w:t>
      </w:r>
      <w:r w:rsidR="0063637B">
        <w:t>.</w:t>
      </w:r>
      <w:r w:rsidR="001E227A">
        <w:rPr>
          <w:rStyle w:val="FootnoteReference"/>
        </w:rPr>
        <w:footnoteReference w:id="221"/>
      </w:r>
      <w:r w:rsidR="00CA5543">
        <w:t xml:space="preserve"> </w:t>
      </w:r>
    </w:p>
    <w:p w14:paraId="78825EAF" w14:textId="77777777" w:rsidR="007840F9" w:rsidRDefault="007840F9" w:rsidP="007840F9">
      <w:pPr>
        <w:ind w:firstLine="0"/>
      </w:pPr>
    </w:p>
    <w:p w14:paraId="68178AF9" w14:textId="35B8A070" w:rsidR="007840F9" w:rsidRDefault="00CC5C31" w:rsidP="007840F9">
      <w:pPr>
        <w:pStyle w:val="Heading3"/>
      </w:pPr>
      <w:r>
        <w:t>The Point of Happiness</w:t>
      </w:r>
    </w:p>
    <w:p w14:paraId="05DB6CDF" w14:textId="77777777" w:rsidR="007840F9" w:rsidRDefault="007840F9" w:rsidP="007840F9">
      <w:pPr>
        <w:ind w:firstLine="0"/>
      </w:pPr>
    </w:p>
    <w:p w14:paraId="12D84BE2" w14:textId="5E2F0586" w:rsidR="00704B54" w:rsidRDefault="00D344AD" w:rsidP="0091200D">
      <w:pPr>
        <w:ind w:firstLine="720"/>
      </w:pPr>
      <w:r>
        <w:t>Here</w:t>
      </w:r>
      <w:r w:rsidR="00D50270">
        <w:t>, the excess subjectivity objection raises its head for the</w:t>
      </w:r>
      <w:r w:rsidR="00D6694C">
        <w:t xml:space="preserve"> final time:</w:t>
      </w:r>
      <w:r w:rsidR="00BC3933">
        <w:t xml:space="preserve"> What </w:t>
      </w:r>
      <w:r w:rsidR="00B94E44">
        <w:t>prevents</w:t>
      </w:r>
      <w:r w:rsidR="00BC3933">
        <w:t xml:space="preserve"> judges </w:t>
      </w:r>
      <w:r w:rsidR="00F660E9">
        <w:t>from</w:t>
      </w:r>
      <w:r w:rsidR="00724DCF">
        <w:t xml:space="preserve"> </w:t>
      </w:r>
      <w:r w:rsidR="00704B54">
        <w:t>ranking</w:t>
      </w:r>
      <w:r w:rsidR="000974A5">
        <w:t xml:space="preserve"> the importance of liberty interests based on their own personal preferences?</w:t>
      </w:r>
      <w:r w:rsidR="000974A5">
        <w:rPr>
          <w:rStyle w:val="FootnoteReference"/>
        </w:rPr>
        <w:footnoteReference w:id="222"/>
      </w:r>
      <w:r w:rsidR="000D5F4C">
        <w:t xml:space="preserve"> </w:t>
      </w:r>
      <w:r w:rsidR="006605C5">
        <w:t xml:space="preserve">Once again, the Framers’ </w:t>
      </w:r>
      <w:r w:rsidR="006605C5">
        <w:lastRenderedPageBreak/>
        <w:t xml:space="preserve">understanding of liberty as the pursuit of happiness provides the </w:t>
      </w:r>
      <w:r w:rsidR="00FB55CB">
        <w:t xml:space="preserve">answer. </w:t>
      </w:r>
      <w:r w:rsidR="00550507">
        <w:t>That understanding suggests that the Framers</w:t>
      </w:r>
      <w:r w:rsidR="000F6D18">
        <w:t xml:space="preserve"> </w:t>
      </w:r>
      <w:r w:rsidR="000C4423">
        <w:t>valued</w:t>
      </w:r>
      <w:r w:rsidR="000F6D18">
        <w:t xml:space="preserve"> liberty interests </w:t>
      </w:r>
      <w:r w:rsidR="000C4423">
        <w:t>according to their</w:t>
      </w:r>
      <w:r w:rsidR="003E12D3">
        <w:t xml:space="preserve"> </w:t>
      </w:r>
      <w:r w:rsidR="0021746F">
        <w:t>essentiality to human happiness</w:t>
      </w:r>
      <w:r w:rsidR="000C4423">
        <w:t xml:space="preserve">. </w:t>
      </w:r>
      <w:r w:rsidR="00C97C41">
        <w:t xml:space="preserve">Though </w:t>
      </w:r>
      <w:r w:rsidR="00AB6D84">
        <w:t>the Framers defined</w:t>
      </w:r>
      <w:r w:rsidR="00C97C41">
        <w:t xml:space="preserve"> liberty as respect for individual</w:t>
      </w:r>
      <w:r w:rsidR="009754DE">
        <w:t>s’</w:t>
      </w:r>
      <w:r w:rsidR="00C97C41">
        <w:t xml:space="preserve"> </w:t>
      </w:r>
      <w:r w:rsidR="006D5DD0">
        <w:t>subjective preferences</w:t>
      </w:r>
      <w:r w:rsidR="0028738F">
        <w:t xml:space="preserve"> </w:t>
      </w:r>
      <w:r w:rsidR="009754DE">
        <w:t>about</w:t>
      </w:r>
      <w:r w:rsidR="007E19D8">
        <w:t xml:space="preserve"> various parts</w:t>
      </w:r>
      <w:r w:rsidR="009754DE">
        <w:t xml:space="preserve"> </w:t>
      </w:r>
      <w:r w:rsidR="00274D01">
        <w:t xml:space="preserve">of </w:t>
      </w:r>
      <w:r w:rsidR="009754DE">
        <w:t>their lives</w:t>
      </w:r>
      <w:r w:rsidR="0028738F">
        <w:t>,</w:t>
      </w:r>
      <w:r w:rsidR="009754DE">
        <w:t xml:space="preserve"> that respect did not extend to </w:t>
      </w:r>
      <w:r w:rsidR="007E19D8">
        <w:t>individuals’ subjective</w:t>
      </w:r>
      <w:r w:rsidR="004F14E7">
        <w:t xml:space="preserve"> </w:t>
      </w:r>
      <w:r w:rsidR="00B436DB">
        <w:t xml:space="preserve">valuations of the importance of </w:t>
      </w:r>
      <w:r w:rsidR="00FA27E8">
        <w:t>those various parts</w:t>
      </w:r>
      <w:r w:rsidR="004F14E7">
        <w:t>.</w:t>
      </w:r>
      <w:r w:rsidR="00C97C41">
        <w:t xml:space="preserve"> </w:t>
      </w:r>
      <w:r w:rsidR="00E2715D">
        <w:t xml:space="preserve">In other words, the ranking of </w:t>
      </w:r>
      <w:r w:rsidR="00FA27E8">
        <w:t xml:space="preserve">the </w:t>
      </w:r>
      <w:r w:rsidR="00110877">
        <w:t>domains</w:t>
      </w:r>
      <w:r w:rsidR="009C3801">
        <w:t xml:space="preserve"> </w:t>
      </w:r>
      <w:r w:rsidR="00FA27E8">
        <w:t xml:space="preserve">of </w:t>
      </w:r>
      <w:r w:rsidR="00E332D0">
        <w:t xml:space="preserve">human </w:t>
      </w:r>
      <w:r w:rsidR="00FA27E8">
        <w:t xml:space="preserve">life </w:t>
      </w:r>
      <w:r w:rsidR="009C3801">
        <w:t>in which subjectivity must be respected is itself objective.</w:t>
      </w:r>
    </w:p>
    <w:p w14:paraId="57691F6A" w14:textId="77777777" w:rsidR="00704B54" w:rsidRDefault="00704B54" w:rsidP="0091200D">
      <w:pPr>
        <w:ind w:firstLine="720"/>
      </w:pPr>
    </w:p>
    <w:p w14:paraId="3199ACF4" w14:textId="32F0F8A9" w:rsidR="00E14283" w:rsidRDefault="00C52F67" w:rsidP="0091200D">
      <w:pPr>
        <w:ind w:firstLine="720"/>
      </w:pPr>
      <w:r>
        <w:t xml:space="preserve">Recall that </w:t>
      </w:r>
      <w:r w:rsidR="00777F9A">
        <w:t xml:space="preserve">Epicurus </w:t>
      </w:r>
      <w:r w:rsidR="003365E3">
        <w:t xml:space="preserve">divided human desires into natural and empty ones, </w:t>
      </w:r>
      <w:r w:rsidR="00A04B1E">
        <w:t>further dividing</w:t>
      </w:r>
      <w:r w:rsidR="003365E3">
        <w:t xml:space="preserve"> natural desires into necessary and unnecessary ones.</w:t>
      </w:r>
      <w:r w:rsidR="00A04B1E">
        <w:rPr>
          <w:rStyle w:val="FootnoteReference"/>
        </w:rPr>
        <w:footnoteReference w:id="223"/>
      </w:r>
      <w:r w:rsidR="00115C1D">
        <w:t xml:space="preserve"> Natural and necessary </w:t>
      </w:r>
      <w:r w:rsidR="000B5082">
        <w:t>desires</w:t>
      </w:r>
      <w:r w:rsidR="008A01F8">
        <w:t xml:space="preserve"> are </w:t>
      </w:r>
      <w:r w:rsidR="006B1786">
        <w:t xml:space="preserve">those </w:t>
      </w:r>
      <w:r w:rsidR="000D2C3E">
        <w:t xml:space="preserve">at the core of human existence such that </w:t>
      </w:r>
      <w:r w:rsidR="00812CD0">
        <w:t>an individual</w:t>
      </w:r>
      <w:r w:rsidR="000D2C3E">
        <w:t xml:space="preserve"> ha</w:t>
      </w:r>
      <w:r w:rsidR="00812CD0">
        <w:t>s</w:t>
      </w:r>
      <w:r w:rsidR="000D2C3E">
        <w:t xml:space="preserve"> little control over them and </w:t>
      </w:r>
      <w:r w:rsidR="00E14283">
        <w:t xml:space="preserve">failing to satisfy them </w:t>
      </w:r>
      <w:r w:rsidR="00812CD0">
        <w:t>causes</w:t>
      </w:r>
      <w:r w:rsidR="00E14283">
        <w:t xml:space="preserve"> physical or emotional pain.</w:t>
      </w:r>
      <w:r w:rsidR="00E14283">
        <w:rPr>
          <w:rStyle w:val="FootnoteReference"/>
        </w:rPr>
        <w:footnoteReference w:id="224"/>
      </w:r>
      <w:r w:rsidR="00E14283">
        <w:t xml:space="preserve"> </w:t>
      </w:r>
      <w:r w:rsidR="003365E3">
        <w:t xml:space="preserve"> </w:t>
      </w:r>
      <w:r w:rsidR="00B976CA">
        <w:t xml:space="preserve">Natural but unnecessary desires </w:t>
      </w:r>
      <w:r w:rsidR="00703389">
        <w:t>include</w:t>
      </w:r>
      <w:r w:rsidR="00A406E7">
        <w:t xml:space="preserve"> things </w:t>
      </w:r>
      <w:r w:rsidR="0017147D">
        <w:t>an individual</w:t>
      </w:r>
      <w:r w:rsidR="00A406E7">
        <w:t xml:space="preserve"> want</w:t>
      </w:r>
      <w:r w:rsidR="0017147D">
        <w:t>s</w:t>
      </w:r>
      <w:r w:rsidR="00A406E7">
        <w:t xml:space="preserve"> but do</w:t>
      </w:r>
      <w:r w:rsidR="0017147D">
        <w:t>es</w:t>
      </w:r>
      <w:r w:rsidR="00A406E7">
        <w:t xml:space="preserve"> not need; </w:t>
      </w:r>
      <w:r w:rsidR="00C02D4C">
        <w:t xml:space="preserve">failing to satisfy them will not cause </w:t>
      </w:r>
      <w:r w:rsidR="00703389">
        <w:t xml:space="preserve">the individual </w:t>
      </w:r>
      <w:r w:rsidR="00C02D4C">
        <w:t xml:space="preserve">pain but neither will </w:t>
      </w:r>
      <w:r w:rsidR="00235436">
        <w:t>satisfying them</w:t>
      </w:r>
      <w:r w:rsidR="00703389">
        <w:t xml:space="preserve"> bring</w:t>
      </w:r>
      <w:r w:rsidR="0017147D">
        <w:t xml:space="preserve"> harm</w:t>
      </w:r>
      <w:r w:rsidR="00235436">
        <w:t>.</w:t>
      </w:r>
      <w:r w:rsidR="00235436">
        <w:rPr>
          <w:rStyle w:val="FootnoteReference"/>
        </w:rPr>
        <w:footnoteReference w:id="225"/>
      </w:r>
      <w:r w:rsidR="00235436">
        <w:t xml:space="preserve"> Finally, empty desires are </w:t>
      </w:r>
      <w:r w:rsidR="001A442B">
        <w:t xml:space="preserve">those based on false beliefs, such that satisfying them actually impedes rather than advances </w:t>
      </w:r>
      <w:r w:rsidR="008D1811">
        <w:t>the individual’s happiness.</w:t>
      </w:r>
      <w:r w:rsidR="00367B91">
        <w:rPr>
          <w:rStyle w:val="FootnoteReference"/>
        </w:rPr>
        <w:footnoteReference w:id="226"/>
      </w:r>
    </w:p>
    <w:p w14:paraId="745BEBEA" w14:textId="77777777" w:rsidR="00367B91" w:rsidRDefault="00367B91" w:rsidP="0091200D">
      <w:pPr>
        <w:ind w:firstLine="720"/>
      </w:pPr>
    </w:p>
    <w:p w14:paraId="2C739117" w14:textId="0D881AE4" w:rsidR="00367B91" w:rsidRDefault="005C7DDB" w:rsidP="0091200D">
      <w:pPr>
        <w:ind w:firstLine="720"/>
      </w:pPr>
      <w:r>
        <w:t xml:space="preserve">The Epicurean classification of desires </w:t>
      </w:r>
      <w:r w:rsidR="00674871">
        <w:t>supplies</w:t>
      </w:r>
      <w:r w:rsidR="00CD49B6">
        <w:t xml:space="preserve"> objective criteria</w:t>
      </w:r>
      <w:r w:rsidR="00674871">
        <w:t xml:space="preserve"> </w:t>
      </w:r>
      <w:r w:rsidR="00CD49B6">
        <w:t xml:space="preserve">for determining the relative importance of </w:t>
      </w:r>
      <w:r w:rsidR="00834B22">
        <w:t>liberty interests for protection against government intrusion</w:t>
      </w:r>
      <w:r w:rsidR="00DD2048">
        <w:t>.</w:t>
      </w:r>
      <w:r w:rsidR="006379FE">
        <w:t xml:space="preserve"> </w:t>
      </w:r>
      <w:r w:rsidR="006E33ED">
        <w:t xml:space="preserve">According to </w:t>
      </w:r>
      <w:proofErr w:type="gramStart"/>
      <w:r w:rsidR="006E33ED">
        <w:t>this</w:t>
      </w:r>
      <w:proofErr w:type="gramEnd"/>
      <w:r w:rsidR="006E33ED">
        <w:t xml:space="preserve"> criteria,</w:t>
      </w:r>
      <w:r w:rsidR="005F621A">
        <w:t xml:space="preserve"> natural and necessary desires </w:t>
      </w:r>
      <w:r w:rsidR="00670F34">
        <w:t>are</w:t>
      </w:r>
      <w:r w:rsidR="005F621A">
        <w:t xml:space="preserve"> the most important liberty interests.</w:t>
      </w:r>
      <w:r w:rsidR="00E45174">
        <w:t xml:space="preserve"> </w:t>
      </w:r>
      <w:r w:rsidR="005F621A">
        <w:t>Thus, t</w:t>
      </w:r>
      <w:r w:rsidR="006E4A39">
        <w:t xml:space="preserve">he more natural and necessary an asserted liberty interest is, the more </w:t>
      </w:r>
      <w:r w:rsidR="008E0DC0">
        <w:t xml:space="preserve">difficult it should be for the government to intrude upon it. </w:t>
      </w:r>
      <w:r w:rsidR="000718EC">
        <w:t>By contrast,</w:t>
      </w:r>
      <w:r w:rsidR="007A432A">
        <w:t xml:space="preserve"> the</w:t>
      </w:r>
      <w:r w:rsidR="000718EC">
        <w:t xml:space="preserve"> government </w:t>
      </w:r>
      <w:r w:rsidR="007A432A">
        <w:t>should have virtually free rein</w:t>
      </w:r>
      <w:r w:rsidR="00293E59">
        <w:t xml:space="preserve"> to regulate empty desires. Natural but unnecessary desires occupy </w:t>
      </w:r>
      <w:r w:rsidR="007F4C5C">
        <w:t>a middle ground</w:t>
      </w:r>
      <w:r w:rsidR="005034EF">
        <w:t xml:space="preserve">, where perhaps “normal” legislative and judicial processes apply. </w:t>
      </w:r>
      <w:r w:rsidR="00FB4DC3">
        <w:t>Imposing a vector</w:t>
      </w:r>
      <w:r w:rsidR="00712B83">
        <w:t xml:space="preserve"> representing government authority on the above grid of Epicurean desires </w:t>
      </w:r>
      <w:r w:rsidR="0042391B">
        <w:t>visualizes this spectrum:</w:t>
      </w:r>
    </w:p>
    <w:p w14:paraId="3D5D3647" w14:textId="77777777" w:rsidR="00B46B28" w:rsidRDefault="00B46B28" w:rsidP="00B46B28">
      <w:pPr>
        <w:ind w:firstLine="0"/>
      </w:pPr>
    </w:p>
    <w:p w14:paraId="0F63458F" w14:textId="5ADE6543" w:rsidR="005B5C05" w:rsidRDefault="005B5C05" w:rsidP="00B46B28">
      <w:pPr>
        <w:ind w:firstLine="0"/>
      </w:pPr>
      <w:r>
        <w:t xml:space="preserve">Fig. 2: </w:t>
      </w:r>
      <w:r w:rsidR="00355721">
        <w:t>Regulable Interests</w:t>
      </w:r>
    </w:p>
    <w:p w14:paraId="60489CE8" w14:textId="77777777" w:rsidR="005B5C05" w:rsidRDefault="005B5C05" w:rsidP="00B46B28">
      <w:pPr>
        <w:ind w:firstLine="0"/>
      </w:pPr>
    </w:p>
    <w:tbl>
      <w:tblPr>
        <w:tblW w:w="7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459"/>
        <w:gridCol w:w="2569"/>
      </w:tblGrid>
      <w:tr w:rsidR="00DE3FA0" w14:paraId="35EFFAC1" w14:textId="77777777">
        <w:trPr>
          <w:trHeight w:val="363"/>
        </w:trPr>
        <w:tc>
          <w:tcPr>
            <w:tcW w:w="2679" w:type="dxa"/>
            <w:shd w:val="clear" w:color="auto" w:fill="D9D9D9"/>
          </w:tcPr>
          <w:p w14:paraId="09F2B820" w14:textId="77777777" w:rsidR="005B5C05" w:rsidRDefault="005B5C05">
            <w:pPr>
              <w:ind w:firstLine="0"/>
              <w:jc w:val="center"/>
            </w:pPr>
          </w:p>
        </w:tc>
        <w:tc>
          <w:tcPr>
            <w:tcW w:w="2459" w:type="dxa"/>
            <w:shd w:val="clear" w:color="auto" w:fill="F2F2F2"/>
          </w:tcPr>
          <w:p w14:paraId="3F8E4E8F" w14:textId="77777777" w:rsidR="005B5C05" w:rsidRDefault="005B5C05">
            <w:pPr>
              <w:ind w:firstLine="0"/>
              <w:jc w:val="center"/>
              <w:rPr>
                <w:b/>
                <w:bCs/>
                <w:smallCaps/>
              </w:rPr>
            </w:pPr>
            <w:r>
              <w:rPr>
                <w:b/>
                <w:bCs/>
                <w:smallCaps/>
              </w:rPr>
              <w:t>Natural</w:t>
            </w:r>
          </w:p>
        </w:tc>
        <w:tc>
          <w:tcPr>
            <w:tcW w:w="2569" w:type="dxa"/>
            <w:shd w:val="clear" w:color="auto" w:fill="F2F2F2"/>
          </w:tcPr>
          <w:p w14:paraId="5168A0DC" w14:textId="77777777" w:rsidR="005B5C05" w:rsidRDefault="005B5C05">
            <w:pPr>
              <w:ind w:firstLine="0"/>
              <w:jc w:val="center"/>
              <w:rPr>
                <w:b/>
                <w:bCs/>
                <w:smallCaps/>
              </w:rPr>
            </w:pPr>
            <w:r>
              <w:rPr>
                <w:b/>
                <w:bCs/>
                <w:smallCaps/>
              </w:rPr>
              <w:t>Empty</w:t>
            </w:r>
          </w:p>
        </w:tc>
      </w:tr>
      <w:tr w:rsidR="00DE3FA0" w14:paraId="30C3182E" w14:textId="77777777">
        <w:trPr>
          <w:trHeight w:val="1563"/>
        </w:trPr>
        <w:tc>
          <w:tcPr>
            <w:tcW w:w="2679" w:type="dxa"/>
            <w:shd w:val="clear" w:color="auto" w:fill="F2F2F2"/>
          </w:tcPr>
          <w:p w14:paraId="527387FE" w14:textId="2000097A" w:rsidR="005B5C05" w:rsidRDefault="008E0059">
            <w:pPr>
              <w:ind w:firstLine="0"/>
              <w:jc w:val="center"/>
              <w:rPr>
                <w:b/>
                <w:bCs/>
                <w:smallCaps/>
              </w:rPr>
            </w:pPr>
            <w:r>
              <w:rPr>
                <w:b/>
                <w:bCs/>
                <w:smallCaps/>
                <w:noProof/>
              </w:rPr>
              <w:pict w14:anchorId="0F70D589">
                <v:shapetype id="_x0000_t32" coordsize="21600,21600" o:spt="32" o:oned="t" path="m,l21600,21600e" filled="f">
                  <v:path arrowok="t" fillok="f" o:connecttype="none"/>
                  <o:lock v:ext="edit" shapetype="t"/>
                </v:shapetype>
                <v:shape id="_x0000_s1026" type="#_x0000_t32" style="position:absolute;left:0;text-align:left;margin-left:127.55pt;margin-top:1.05pt;width:250.65pt;height:172.5pt;flip:y;z-index:251657728;mso-position-horizontal-relative:text;mso-position-vertical-relative:text" o:connectortype="straight">
                  <v:stroke endarrow="block"/>
                </v:shape>
              </w:pict>
            </w:r>
            <w:r w:rsidR="005B5C05">
              <w:rPr>
                <w:b/>
                <w:bCs/>
                <w:smallCaps/>
              </w:rPr>
              <w:t>Non-Necessary</w:t>
            </w:r>
          </w:p>
        </w:tc>
        <w:tc>
          <w:tcPr>
            <w:tcW w:w="2459" w:type="dxa"/>
            <w:shd w:val="clear" w:color="auto" w:fill="auto"/>
          </w:tcPr>
          <w:p w14:paraId="3534F8DC" w14:textId="2B38F2BA" w:rsidR="005B5C05" w:rsidRDefault="005B5C05">
            <w:pPr>
              <w:ind w:firstLine="0"/>
              <w:jc w:val="left"/>
            </w:pPr>
          </w:p>
        </w:tc>
        <w:tc>
          <w:tcPr>
            <w:tcW w:w="2569" w:type="dxa"/>
            <w:shd w:val="clear" w:color="auto" w:fill="auto"/>
          </w:tcPr>
          <w:p w14:paraId="4C3BE4BE" w14:textId="42C49420" w:rsidR="005B5C05" w:rsidRDefault="005B5C05">
            <w:pPr>
              <w:ind w:firstLine="0"/>
              <w:jc w:val="left"/>
            </w:pPr>
          </w:p>
        </w:tc>
      </w:tr>
      <w:tr w:rsidR="00DE3FA0" w14:paraId="63450FCC" w14:textId="77777777">
        <w:trPr>
          <w:trHeight w:val="1901"/>
        </w:trPr>
        <w:tc>
          <w:tcPr>
            <w:tcW w:w="2679" w:type="dxa"/>
            <w:shd w:val="clear" w:color="auto" w:fill="F2F2F2"/>
          </w:tcPr>
          <w:p w14:paraId="4783574E" w14:textId="6982146E" w:rsidR="005B5C05" w:rsidRDefault="005B5C05">
            <w:pPr>
              <w:ind w:firstLine="0"/>
              <w:jc w:val="center"/>
              <w:rPr>
                <w:b/>
                <w:bCs/>
                <w:smallCaps/>
              </w:rPr>
            </w:pPr>
            <w:r>
              <w:rPr>
                <w:b/>
                <w:bCs/>
                <w:smallCaps/>
              </w:rPr>
              <w:t>Necessary</w:t>
            </w:r>
          </w:p>
        </w:tc>
        <w:tc>
          <w:tcPr>
            <w:tcW w:w="2459" w:type="dxa"/>
            <w:shd w:val="clear" w:color="auto" w:fill="auto"/>
          </w:tcPr>
          <w:p w14:paraId="14B926D4" w14:textId="77A25F8F" w:rsidR="005B5C05" w:rsidRDefault="005B5C05">
            <w:pPr>
              <w:ind w:firstLine="0"/>
              <w:jc w:val="left"/>
            </w:pPr>
          </w:p>
        </w:tc>
        <w:tc>
          <w:tcPr>
            <w:tcW w:w="2569" w:type="dxa"/>
            <w:shd w:val="clear" w:color="auto" w:fill="000000"/>
          </w:tcPr>
          <w:p w14:paraId="1E133E2D" w14:textId="77777777" w:rsidR="005B5C05" w:rsidRDefault="005B5C05">
            <w:pPr>
              <w:ind w:firstLine="0"/>
              <w:jc w:val="center"/>
            </w:pPr>
          </w:p>
        </w:tc>
      </w:tr>
    </w:tbl>
    <w:p w14:paraId="79150BF2" w14:textId="77777777" w:rsidR="005B5C05" w:rsidRDefault="005B5C05" w:rsidP="00B46B28">
      <w:pPr>
        <w:ind w:firstLine="0"/>
      </w:pPr>
    </w:p>
    <w:p w14:paraId="442A6DE3" w14:textId="15DC9D88" w:rsidR="00623D16" w:rsidRDefault="00BF36DC" w:rsidP="00373843">
      <w:pPr>
        <w:ind w:firstLine="720"/>
      </w:pPr>
      <w:r>
        <w:t xml:space="preserve">At the far end of </w:t>
      </w:r>
      <w:r w:rsidR="00084B3C">
        <w:t xml:space="preserve">this spectrum—the point </w:t>
      </w:r>
      <w:r w:rsidR="003C3D6C">
        <w:t>at which</w:t>
      </w:r>
      <w:r w:rsidR="00084B3C">
        <w:t xml:space="preserve"> human desires are most natural and most </w:t>
      </w:r>
      <w:proofErr w:type="gramStart"/>
      <w:r w:rsidR="00084B3C">
        <w:t>necessary</w:t>
      </w:r>
      <w:r w:rsidR="00FA4A44">
        <w:t>—</w:t>
      </w:r>
      <w:r w:rsidR="003F7234">
        <w:t>lies</w:t>
      </w:r>
      <w:proofErr w:type="gramEnd"/>
      <w:r w:rsidR="00FA4A44">
        <w:t xml:space="preserve"> a zone </w:t>
      </w:r>
      <w:r w:rsidR="003F7234">
        <w:t>of liberty interests over which</w:t>
      </w:r>
      <w:r w:rsidR="00026BB5">
        <w:t xml:space="preserve"> government regulatory authority must be essentially nil. </w:t>
      </w:r>
      <w:r w:rsidR="00DD1E7B">
        <w:t>For example, i</w:t>
      </w:r>
      <w:r w:rsidR="002978C8">
        <w:t xml:space="preserve">t is difficult to </w:t>
      </w:r>
      <w:r w:rsidR="00EC3AE2">
        <w:t>imagine</w:t>
      </w:r>
      <w:r w:rsidR="002978C8">
        <w:t xml:space="preserve"> a </w:t>
      </w:r>
      <w:r w:rsidR="00EC3AE2">
        <w:t xml:space="preserve">level of process sufficient to justify a regulation that </w:t>
      </w:r>
      <w:r w:rsidR="000C408F">
        <w:t>totally</w:t>
      </w:r>
      <w:r w:rsidR="00DD1E7B">
        <w:t xml:space="preserve"> prohibit</w:t>
      </w:r>
      <w:r w:rsidR="00731B69">
        <w:t>s</w:t>
      </w:r>
      <w:r w:rsidR="00DD1E7B">
        <w:t xml:space="preserve"> individuals from fulfilling desires essential for their physical survival, such as eating or sleeping.</w:t>
      </w:r>
      <w:bookmarkStart w:id="79" w:name="_Ref178328512"/>
      <w:r w:rsidR="00861FAF">
        <w:rPr>
          <w:rStyle w:val="FootnoteReference"/>
        </w:rPr>
        <w:footnoteReference w:id="227"/>
      </w:r>
      <w:bookmarkEnd w:id="79"/>
      <w:r w:rsidR="004E6BCE">
        <w:t xml:space="preserve"> </w:t>
      </w:r>
    </w:p>
    <w:p w14:paraId="293B778D" w14:textId="77777777" w:rsidR="006C1162" w:rsidRDefault="006C1162" w:rsidP="00373843">
      <w:pPr>
        <w:ind w:firstLine="720"/>
      </w:pPr>
    </w:p>
    <w:p w14:paraId="18582E3E" w14:textId="21197505" w:rsidR="005B5C05" w:rsidRDefault="00690969" w:rsidP="00373843">
      <w:pPr>
        <w:ind w:firstLine="720"/>
      </w:pPr>
      <w:r>
        <w:t>It</w:t>
      </w:r>
      <w:r w:rsidR="0016729E">
        <w:t xml:space="preserve"> is </w:t>
      </w:r>
      <w:r w:rsidR="0009172A">
        <w:t>equally</w:t>
      </w:r>
      <w:r w:rsidR="0016729E">
        <w:t xml:space="preserve"> difficult to fathom why any government would </w:t>
      </w:r>
      <w:r w:rsidR="0009172A">
        <w:t>enact</w:t>
      </w:r>
      <w:r w:rsidR="0016729E">
        <w:t xml:space="preserve"> such a </w:t>
      </w:r>
      <w:r w:rsidR="00BA2DF9">
        <w:t xml:space="preserve">sweeping </w:t>
      </w:r>
      <w:r w:rsidR="0016729E">
        <w:t>prohibition.</w:t>
      </w:r>
      <w:r w:rsidR="00EB1A4F">
        <w:t xml:space="preserve"> </w:t>
      </w:r>
      <w:r>
        <w:t>That said</w:t>
      </w:r>
      <w:r w:rsidR="00EB1A4F">
        <w:t>,</w:t>
      </w:r>
      <w:r w:rsidR="00FA328A">
        <w:t xml:space="preserve"> many</w:t>
      </w:r>
      <w:r w:rsidR="000F69DC">
        <w:t xml:space="preserve"> regulations restrict specific means of fulfilling such desires</w:t>
      </w:r>
      <w:r w:rsidR="00E34F3C">
        <w:t xml:space="preserve">—e.g., telling people </w:t>
      </w:r>
      <w:r w:rsidR="00E34F3C">
        <w:rPr>
          <w:i/>
          <w:iCs/>
        </w:rPr>
        <w:t>what</w:t>
      </w:r>
      <w:r w:rsidR="00E34F3C">
        <w:t xml:space="preserve"> they may </w:t>
      </w:r>
      <w:r w:rsidR="005F2176">
        <w:t xml:space="preserve">(not) </w:t>
      </w:r>
      <w:r w:rsidR="00E34F3C">
        <w:t xml:space="preserve">eat, </w:t>
      </w:r>
      <w:r w:rsidR="005F2176">
        <w:rPr>
          <w:i/>
          <w:iCs/>
        </w:rPr>
        <w:t>where</w:t>
      </w:r>
      <w:r w:rsidR="005F2176">
        <w:t xml:space="preserve"> they may (not) sleep, etc.</w:t>
      </w:r>
      <w:r w:rsidR="00C83A5B">
        <w:t xml:space="preserve"> </w:t>
      </w:r>
      <w:r w:rsidR="00EA49E8">
        <w:t>So</w:t>
      </w:r>
      <w:r w:rsidR="00752C8C">
        <w:t xml:space="preserve"> long as any alternative means of fulfilling a natural desire </w:t>
      </w:r>
      <w:r w:rsidR="003534CB">
        <w:t>remains</w:t>
      </w:r>
      <w:r w:rsidR="00F46670">
        <w:t xml:space="preserve"> available</w:t>
      </w:r>
      <w:r w:rsidR="003534CB">
        <w:t xml:space="preserve">, </w:t>
      </w:r>
      <w:r w:rsidR="0012431C">
        <w:t xml:space="preserve">specific means of fulfilling the desire are “unnecessary” </w:t>
      </w:r>
      <w:r w:rsidR="0022353E">
        <w:t>under the Epicurean classification system</w:t>
      </w:r>
      <w:r w:rsidR="0081021A">
        <w:t>.</w:t>
      </w:r>
      <w:r w:rsidR="00232703">
        <w:t xml:space="preserve"> </w:t>
      </w:r>
      <w:r w:rsidR="0022353E">
        <w:t>But n</w:t>
      </w:r>
      <w:r w:rsidR="00046696">
        <w:t xml:space="preserve">ecessity is </w:t>
      </w:r>
      <w:r w:rsidR="00CE6627">
        <w:t xml:space="preserve">itself </w:t>
      </w:r>
      <w:r w:rsidR="00046696">
        <w:t>a spectrum</w:t>
      </w:r>
      <w:r w:rsidR="00E00236">
        <w:t xml:space="preserve">, a function </w:t>
      </w:r>
      <w:r w:rsidR="007A5B7F">
        <w:t>of both</w:t>
      </w:r>
      <w:r w:rsidR="00E00236">
        <w:t xml:space="preserve"> the </w:t>
      </w:r>
      <w:r w:rsidR="007A5B7F">
        <w:t xml:space="preserve">general </w:t>
      </w:r>
      <w:r w:rsidR="00E00236">
        <w:t xml:space="preserve">availability of alternatives </w:t>
      </w:r>
      <w:r w:rsidR="007A5B7F">
        <w:t xml:space="preserve">and the </w:t>
      </w:r>
      <w:r w:rsidR="00330A28">
        <w:t xml:space="preserve">relative </w:t>
      </w:r>
      <w:r w:rsidR="007A5B7F">
        <w:t>efficacy of those alternatives.</w:t>
      </w:r>
      <w:r w:rsidR="00AE7343">
        <w:t xml:space="preserve"> </w:t>
      </w:r>
      <w:r w:rsidR="00332208">
        <w:t>Forbidding</w:t>
      </w:r>
      <w:r w:rsidR="00AE7343">
        <w:t xml:space="preserve"> citizens </w:t>
      </w:r>
      <w:r w:rsidR="00332208">
        <w:t>from eating</w:t>
      </w:r>
      <w:r w:rsidR="00AE7343">
        <w:t xml:space="preserve"> cheese</w:t>
      </w:r>
      <w:r w:rsidR="005F1178">
        <w:t>burgers</w:t>
      </w:r>
      <w:r w:rsidR="00AE7343">
        <w:t xml:space="preserve"> is </w:t>
      </w:r>
      <w:r w:rsidR="005F1178">
        <w:t>less</w:t>
      </w:r>
      <w:r w:rsidR="00615D31">
        <w:t xml:space="preserve"> restrictive </w:t>
      </w:r>
      <w:r w:rsidR="005F1178">
        <w:t>than</w:t>
      </w:r>
      <w:r w:rsidR="00AE7343">
        <w:t xml:space="preserve"> </w:t>
      </w:r>
      <w:r w:rsidR="00332208">
        <w:t>forbidding them from eating anything but</w:t>
      </w:r>
      <w:r w:rsidR="00AE7343">
        <w:t xml:space="preserve"> cheese</w:t>
      </w:r>
      <w:r w:rsidR="00332208">
        <w:t>burgers</w:t>
      </w:r>
      <w:r w:rsidR="00AE7343">
        <w:t xml:space="preserve">. </w:t>
      </w:r>
      <w:r w:rsidR="00913695">
        <w:t xml:space="preserve">Telling a koala that it may eat anything in the world other than eucalyptus leaves </w:t>
      </w:r>
      <w:r w:rsidR="00CF65DD">
        <w:t>is similarly restrictive.</w:t>
      </w:r>
      <w:r w:rsidR="00653399">
        <w:t xml:space="preserve"> These examples clarify that </w:t>
      </w:r>
      <w:r w:rsidR="009B2F21">
        <w:t xml:space="preserve">the necessity analysis is about how close the regulation comes to a total ban. As the impingement nears totality, </w:t>
      </w:r>
      <w:r w:rsidR="009B2F21">
        <w:lastRenderedPageBreak/>
        <w:t>government regulatory authority decrease</w:t>
      </w:r>
      <w:r w:rsidR="00524BAE">
        <w:t xml:space="preserve">s, thus requiring more </w:t>
      </w:r>
      <w:r w:rsidR="00F556AF">
        <w:t>processes to justify its exercise</w:t>
      </w:r>
      <w:r w:rsidR="009B2F21">
        <w:t>.</w:t>
      </w:r>
    </w:p>
    <w:p w14:paraId="67DE393B" w14:textId="77777777" w:rsidR="005F2176" w:rsidRDefault="005F2176" w:rsidP="00373843">
      <w:pPr>
        <w:ind w:firstLine="720"/>
      </w:pPr>
    </w:p>
    <w:p w14:paraId="11E27CFC" w14:textId="35B74970" w:rsidR="00AF5308" w:rsidRDefault="005F2176" w:rsidP="00D77951">
      <w:pPr>
        <w:ind w:firstLine="720"/>
        <w:rPr>
          <w:rFonts w:ascii="Times New Roman" w:hAnsi="Times New Roman"/>
        </w:rPr>
      </w:pPr>
      <w:r>
        <w:t>Consider</w:t>
      </w:r>
      <w:r w:rsidR="00F556AF">
        <w:t xml:space="preserve"> </w:t>
      </w:r>
      <w:r w:rsidR="000213C9">
        <w:t>the facts of</w:t>
      </w:r>
      <w:r w:rsidR="00D77951">
        <w:t xml:space="preserve"> </w:t>
      </w:r>
      <w:r w:rsidR="00D77951">
        <w:rPr>
          <w:i/>
          <w:iCs/>
        </w:rPr>
        <w:t>City of Grants Pass v. Johnson</w:t>
      </w:r>
      <w:r w:rsidR="00D77951">
        <w:t>.</w:t>
      </w:r>
      <w:bookmarkStart w:id="80" w:name="_Ref178328515"/>
      <w:r w:rsidR="00D77951">
        <w:rPr>
          <w:rStyle w:val="FootnoteReference"/>
        </w:rPr>
        <w:footnoteReference w:id="228"/>
      </w:r>
      <w:bookmarkEnd w:id="80"/>
      <w:r w:rsidR="00D77951">
        <w:t xml:space="preserve"> Grants Pass, Oregon</w:t>
      </w:r>
      <w:r w:rsidR="00F229E4">
        <w:t xml:space="preserve">, </w:t>
      </w:r>
      <w:r w:rsidR="00E16A60">
        <w:t xml:space="preserve">places several restrictions </w:t>
      </w:r>
      <w:r w:rsidR="00874711">
        <w:t>on when and where people may sleep within its borders.</w:t>
      </w:r>
      <w:r w:rsidR="00874711">
        <w:rPr>
          <w:rStyle w:val="FootnoteReference"/>
        </w:rPr>
        <w:footnoteReference w:id="229"/>
      </w:r>
      <w:r w:rsidR="000C01F8">
        <w:t xml:space="preserve"> </w:t>
      </w:r>
      <w:r w:rsidR="00FA5FB6">
        <w:t xml:space="preserve">Specifically, people may not sleep </w:t>
      </w:r>
      <w:r w:rsidR="000C01F8">
        <w:t xml:space="preserve">“on public sidewalks, streets, or alleyways” or </w:t>
      </w:r>
      <w:r w:rsidR="005A5441">
        <w:t xml:space="preserve">in a “campsite”—essentially </w:t>
      </w:r>
      <w:r w:rsidR="00C27087">
        <w:t>any place with a pillow or sleeping bag—on public property.</w:t>
      </w:r>
      <w:r w:rsidR="00983E38">
        <w:rPr>
          <w:rStyle w:val="FootnoteReference"/>
        </w:rPr>
        <w:footnoteReference w:id="230"/>
      </w:r>
      <w:r w:rsidR="006B25B2">
        <w:t xml:space="preserve"> </w:t>
      </w:r>
      <w:r w:rsidR="004C0B02">
        <w:t>Homeless residents of Grants Pass challenged these restrictions under the Eighth Amendment</w:t>
      </w:r>
      <w:r w:rsidR="00844B0B">
        <w:t>,</w:t>
      </w:r>
      <w:r w:rsidR="009D5809">
        <w:rPr>
          <w:rStyle w:val="FootnoteReference"/>
        </w:rPr>
        <w:footnoteReference w:id="231"/>
      </w:r>
      <w:r w:rsidR="00844B0B">
        <w:t xml:space="preserve"> but many—including seemingly the Supreme Court itself</w:t>
      </w:r>
      <w:r w:rsidR="002471CA">
        <w:t xml:space="preserve">—believe the </w:t>
      </w:r>
      <w:r w:rsidR="00D819B6">
        <w:t xml:space="preserve">better claim to </w:t>
      </w:r>
      <w:r w:rsidR="00BA192E">
        <w:t>be one of substantive due process.</w:t>
      </w:r>
      <w:r w:rsidR="00BA192E">
        <w:rPr>
          <w:rStyle w:val="FootnoteReference"/>
        </w:rPr>
        <w:footnoteReference w:id="232"/>
      </w:r>
      <w:r w:rsidR="006A47FA">
        <w:t xml:space="preserve"> Under the </w:t>
      </w:r>
      <w:r w:rsidR="00A02FA5">
        <w:t>two-step</w:t>
      </w:r>
      <w:r w:rsidR="006A47FA">
        <w:t xml:space="preserve"> analysis espoused in </w:t>
      </w:r>
      <w:r w:rsidR="006A47FA">
        <w:rPr>
          <w:i/>
          <w:iCs/>
        </w:rPr>
        <w:t>Glucksberg</w:t>
      </w:r>
      <w:r w:rsidR="006A47FA">
        <w:t xml:space="preserve"> and </w:t>
      </w:r>
      <w:r w:rsidR="007D090D">
        <w:t xml:space="preserve">revived by </w:t>
      </w:r>
      <w:r w:rsidR="007D090D" w:rsidRPr="00183A0E">
        <w:rPr>
          <w:i/>
          <w:iCs/>
        </w:rPr>
        <w:t>Mu</w:t>
      </w:r>
      <w:r w:rsidR="007D090D" w:rsidRPr="00183A0E">
        <w:rPr>
          <w:rFonts w:ascii="Times New Roman" w:hAnsi="Times New Roman"/>
          <w:i/>
          <w:iCs/>
        </w:rPr>
        <w:t>ñoz</w:t>
      </w:r>
      <w:r w:rsidR="007D090D">
        <w:rPr>
          <w:rFonts w:ascii="Times New Roman" w:hAnsi="Times New Roman"/>
        </w:rPr>
        <w:t>,</w:t>
      </w:r>
      <w:r w:rsidR="00A02FA5">
        <w:rPr>
          <w:rStyle w:val="FootnoteReference"/>
          <w:rFonts w:ascii="Times New Roman" w:hAnsi="Times New Roman"/>
        </w:rPr>
        <w:footnoteReference w:id="233"/>
      </w:r>
      <w:r w:rsidR="0054498E">
        <w:rPr>
          <w:rFonts w:ascii="Times New Roman" w:hAnsi="Times New Roman"/>
        </w:rPr>
        <w:t xml:space="preserve"> the Court would likely </w:t>
      </w:r>
      <w:r w:rsidR="001327E1">
        <w:rPr>
          <w:rFonts w:ascii="Times New Roman" w:hAnsi="Times New Roman"/>
        </w:rPr>
        <w:t>analyze</w:t>
      </w:r>
      <w:r w:rsidR="00716040">
        <w:rPr>
          <w:rFonts w:ascii="Times New Roman" w:hAnsi="Times New Roman"/>
        </w:rPr>
        <w:t xml:space="preserve"> a </w:t>
      </w:r>
      <w:r w:rsidR="006C6F75">
        <w:rPr>
          <w:rFonts w:ascii="Times New Roman" w:hAnsi="Times New Roman"/>
        </w:rPr>
        <w:t>substantive due process challenge to the Grants Pass ordinances</w:t>
      </w:r>
      <w:r w:rsidR="00A107D2">
        <w:rPr>
          <w:rFonts w:ascii="Times New Roman" w:hAnsi="Times New Roman"/>
        </w:rPr>
        <w:t xml:space="preserve"> by defining the homeless plaintiffs’ interest as something like “sleeping</w:t>
      </w:r>
      <w:r w:rsidR="006E0D3A">
        <w:rPr>
          <w:rFonts w:ascii="Times New Roman" w:hAnsi="Times New Roman"/>
        </w:rPr>
        <w:t xml:space="preserve"> with a blanket</w:t>
      </w:r>
      <w:r w:rsidR="00A107D2">
        <w:rPr>
          <w:rFonts w:ascii="Times New Roman" w:hAnsi="Times New Roman"/>
        </w:rPr>
        <w:t xml:space="preserve"> on public property” </w:t>
      </w:r>
      <w:r w:rsidR="00AF46F4">
        <w:rPr>
          <w:rFonts w:ascii="Times New Roman" w:hAnsi="Times New Roman"/>
        </w:rPr>
        <w:t xml:space="preserve">and then perusing historical sources to determine </w:t>
      </w:r>
      <w:r w:rsidR="006A6895">
        <w:rPr>
          <w:rFonts w:ascii="Times New Roman" w:hAnsi="Times New Roman"/>
        </w:rPr>
        <w:t xml:space="preserve">the </w:t>
      </w:r>
      <w:r w:rsidR="005C5BB1">
        <w:rPr>
          <w:rFonts w:ascii="Times New Roman" w:hAnsi="Times New Roman"/>
        </w:rPr>
        <w:t xml:space="preserve">Americans of 1868 widely acknowledged </w:t>
      </w:r>
      <w:r w:rsidR="009543E1">
        <w:rPr>
          <w:rFonts w:ascii="Times New Roman" w:hAnsi="Times New Roman"/>
        </w:rPr>
        <w:t>that interest as part of the “definition of ordered liberty</w:t>
      </w:r>
      <w:r w:rsidR="009022E7">
        <w:rPr>
          <w:rFonts w:ascii="Times New Roman" w:hAnsi="Times New Roman"/>
        </w:rPr>
        <w:t>.</w:t>
      </w:r>
      <w:r w:rsidR="009543E1">
        <w:rPr>
          <w:rFonts w:ascii="Times New Roman" w:hAnsi="Times New Roman"/>
        </w:rPr>
        <w:t>”</w:t>
      </w:r>
      <w:r w:rsidR="009022E7">
        <w:rPr>
          <w:rStyle w:val="FootnoteReference"/>
          <w:rFonts w:ascii="Times New Roman" w:hAnsi="Times New Roman"/>
        </w:rPr>
        <w:footnoteReference w:id="234"/>
      </w:r>
      <w:r w:rsidR="005C5BB1">
        <w:rPr>
          <w:rFonts w:ascii="Times New Roman" w:hAnsi="Times New Roman"/>
        </w:rPr>
        <w:t xml:space="preserve"> </w:t>
      </w:r>
      <w:r w:rsidR="000E18B9">
        <w:rPr>
          <w:rFonts w:ascii="Times New Roman" w:hAnsi="Times New Roman"/>
        </w:rPr>
        <w:t xml:space="preserve">If </w:t>
      </w:r>
      <w:r w:rsidR="00575A91">
        <w:rPr>
          <w:rFonts w:ascii="Times New Roman" w:hAnsi="Times New Roman"/>
        </w:rPr>
        <w:t>so</w:t>
      </w:r>
      <w:r w:rsidR="00AB583A">
        <w:rPr>
          <w:rFonts w:ascii="Times New Roman" w:hAnsi="Times New Roman"/>
        </w:rPr>
        <w:t xml:space="preserve">, </w:t>
      </w:r>
      <w:r w:rsidR="00575A91">
        <w:rPr>
          <w:rFonts w:ascii="Times New Roman" w:hAnsi="Times New Roman"/>
        </w:rPr>
        <w:t xml:space="preserve">the Court </w:t>
      </w:r>
      <w:r w:rsidR="00AB583A">
        <w:rPr>
          <w:rFonts w:ascii="Times New Roman" w:hAnsi="Times New Roman"/>
        </w:rPr>
        <w:t xml:space="preserve">would </w:t>
      </w:r>
      <w:r w:rsidR="00D655E5">
        <w:rPr>
          <w:rFonts w:ascii="Times New Roman" w:hAnsi="Times New Roman"/>
        </w:rPr>
        <w:t xml:space="preserve">almost certainly </w:t>
      </w:r>
      <w:r w:rsidR="003519AC">
        <w:rPr>
          <w:rFonts w:ascii="Times New Roman" w:hAnsi="Times New Roman"/>
        </w:rPr>
        <w:t>invalidate</w:t>
      </w:r>
      <w:r w:rsidR="00AB583A">
        <w:rPr>
          <w:rFonts w:ascii="Times New Roman" w:hAnsi="Times New Roman"/>
        </w:rPr>
        <w:t xml:space="preserve"> the ordinances; if not, it would allow</w:t>
      </w:r>
      <w:r w:rsidR="001A63E1">
        <w:rPr>
          <w:rFonts w:ascii="Times New Roman" w:hAnsi="Times New Roman"/>
        </w:rPr>
        <w:t xml:space="preserve"> Grants Pass to continue</w:t>
      </w:r>
      <w:r w:rsidR="00AF5308">
        <w:rPr>
          <w:rFonts w:ascii="Times New Roman" w:hAnsi="Times New Roman"/>
        </w:rPr>
        <w:t xml:space="preserve"> enforcing its restrictions on sleep</w:t>
      </w:r>
      <w:r w:rsidR="008F1A21">
        <w:rPr>
          <w:rFonts w:ascii="Times New Roman" w:hAnsi="Times New Roman"/>
        </w:rPr>
        <w:t>ing</w:t>
      </w:r>
      <w:r w:rsidR="00AF5308">
        <w:rPr>
          <w:rFonts w:ascii="Times New Roman" w:hAnsi="Times New Roman"/>
        </w:rPr>
        <w:t>.</w:t>
      </w:r>
      <w:r w:rsidR="00560A90">
        <w:rPr>
          <w:rStyle w:val="FootnoteReference"/>
          <w:rFonts w:ascii="Times New Roman" w:hAnsi="Times New Roman"/>
        </w:rPr>
        <w:footnoteReference w:id="235"/>
      </w:r>
    </w:p>
    <w:p w14:paraId="41D62789" w14:textId="77777777" w:rsidR="00AF5308" w:rsidRDefault="00AF5308" w:rsidP="00D77951">
      <w:pPr>
        <w:ind w:firstLine="720"/>
        <w:rPr>
          <w:rFonts w:ascii="Times New Roman" w:hAnsi="Times New Roman"/>
        </w:rPr>
      </w:pPr>
    </w:p>
    <w:p w14:paraId="53BC4454" w14:textId="744275A0" w:rsidR="005F2176" w:rsidRDefault="006E0D3A" w:rsidP="00D77951">
      <w:pPr>
        <w:ind w:firstLine="720"/>
        <w:rPr>
          <w:rFonts w:ascii="Times New Roman" w:hAnsi="Times New Roman"/>
        </w:rPr>
      </w:pPr>
      <w:r>
        <w:rPr>
          <w:rFonts w:ascii="Times New Roman" w:hAnsi="Times New Roman"/>
        </w:rPr>
        <w:t xml:space="preserve"> </w:t>
      </w:r>
      <w:r w:rsidR="00C070CE">
        <w:rPr>
          <w:rFonts w:ascii="Times New Roman" w:hAnsi="Times New Roman"/>
        </w:rPr>
        <w:t xml:space="preserve">Returning to </w:t>
      </w:r>
      <w:r w:rsidR="00721BF2">
        <w:rPr>
          <w:rFonts w:ascii="Times New Roman" w:hAnsi="Times New Roman"/>
        </w:rPr>
        <w:t xml:space="preserve">the Epicurean roots of substantive process analysis obviates this all-or-nothing approach. </w:t>
      </w:r>
      <w:r w:rsidR="009726DD">
        <w:rPr>
          <w:rFonts w:ascii="Times New Roman" w:hAnsi="Times New Roman"/>
        </w:rPr>
        <w:t xml:space="preserve">Under </w:t>
      </w:r>
      <w:r w:rsidR="009726DD" w:rsidRPr="00BD6382">
        <w:rPr>
          <w:rFonts w:ascii="Times New Roman" w:hAnsi="Times New Roman"/>
        </w:rPr>
        <w:t>t</w:t>
      </w:r>
      <w:r w:rsidR="000E1BCE" w:rsidRPr="00BD6382">
        <w:rPr>
          <w:rFonts w:ascii="Times New Roman" w:hAnsi="Times New Roman"/>
        </w:rPr>
        <w:t>he Epicurean approach</w:t>
      </w:r>
      <w:r w:rsidR="009726DD">
        <w:rPr>
          <w:rFonts w:ascii="Times New Roman" w:hAnsi="Times New Roman"/>
        </w:rPr>
        <w:t>, the Court</w:t>
      </w:r>
      <w:r w:rsidR="000E1BCE">
        <w:rPr>
          <w:rFonts w:ascii="Times New Roman" w:hAnsi="Times New Roman"/>
        </w:rPr>
        <w:t xml:space="preserve"> </w:t>
      </w:r>
      <w:r w:rsidR="009726DD">
        <w:rPr>
          <w:rFonts w:ascii="Times New Roman" w:hAnsi="Times New Roman"/>
        </w:rPr>
        <w:t>w</w:t>
      </w:r>
      <w:r w:rsidR="000E1BCE">
        <w:rPr>
          <w:rFonts w:ascii="Times New Roman" w:hAnsi="Times New Roman"/>
        </w:rPr>
        <w:t xml:space="preserve">ould </w:t>
      </w:r>
      <w:r w:rsidR="00675FBC">
        <w:rPr>
          <w:rFonts w:ascii="Times New Roman" w:hAnsi="Times New Roman"/>
        </w:rPr>
        <w:t xml:space="preserve">accept the homeless residents’ </w:t>
      </w:r>
      <w:r w:rsidR="005B4C8B">
        <w:rPr>
          <w:rFonts w:ascii="Times New Roman" w:hAnsi="Times New Roman"/>
        </w:rPr>
        <w:t xml:space="preserve">subjective </w:t>
      </w:r>
      <w:r w:rsidR="00675FBC">
        <w:rPr>
          <w:rFonts w:ascii="Times New Roman" w:hAnsi="Times New Roman"/>
        </w:rPr>
        <w:t xml:space="preserve">desire to sleep </w:t>
      </w:r>
      <w:r w:rsidR="00A95A40">
        <w:rPr>
          <w:rFonts w:ascii="Times New Roman" w:hAnsi="Times New Roman"/>
        </w:rPr>
        <w:t>with a blanket on public property</w:t>
      </w:r>
      <w:r w:rsidR="00675FBC">
        <w:rPr>
          <w:rFonts w:ascii="Times New Roman" w:hAnsi="Times New Roman"/>
        </w:rPr>
        <w:t xml:space="preserve"> as a liberty interest</w:t>
      </w:r>
      <w:r w:rsidR="00675FBC">
        <w:rPr>
          <w:rStyle w:val="FootnoteReference"/>
          <w:rFonts w:ascii="Times New Roman" w:hAnsi="Times New Roman"/>
        </w:rPr>
        <w:footnoteReference w:id="236"/>
      </w:r>
      <w:r w:rsidR="00675FBC">
        <w:rPr>
          <w:rFonts w:ascii="Times New Roman" w:hAnsi="Times New Roman"/>
        </w:rPr>
        <w:t xml:space="preserve"> </w:t>
      </w:r>
      <w:r w:rsidR="00801CAE">
        <w:rPr>
          <w:rFonts w:ascii="Times New Roman" w:hAnsi="Times New Roman"/>
        </w:rPr>
        <w:t>and</w:t>
      </w:r>
      <w:r w:rsidR="00B14D9C">
        <w:rPr>
          <w:rFonts w:ascii="Times New Roman" w:hAnsi="Times New Roman"/>
        </w:rPr>
        <w:t xml:space="preserve"> then assess</w:t>
      </w:r>
      <w:r w:rsidR="00B31128">
        <w:rPr>
          <w:rFonts w:ascii="Times New Roman" w:hAnsi="Times New Roman"/>
        </w:rPr>
        <w:t xml:space="preserve"> </w:t>
      </w:r>
      <w:r w:rsidR="00A95A40">
        <w:rPr>
          <w:rFonts w:ascii="Times New Roman" w:hAnsi="Times New Roman"/>
        </w:rPr>
        <w:t xml:space="preserve">how natural and necessary that desire </w:t>
      </w:r>
      <w:r w:rsidR="00694845">
        <w:rPr>
          <w:rFonts w:ascii="Times New Roman" w:hAnsi="Times New Roman"/>
        </w:rPr>
        <w:t xml:space="preserve">is. </w:t>
      </w:r>
      <w:r w:rsidR="0078104C">
        <w:rPr>
          <w:rFonts w:ascii="Times New Roman" w:hAnsi="Times New Roman"/>
        </w:rPr>
        <w:t xml:space="preserve">Because </w:t>
      </w:r>
      <w:r w:rsidR="00E70AED">
        <w:rPr>
          <w:rFonts w:ascii="Times New Roman" w:hAnsi="Times New Roman"/>
        </w:rPr>
        <w:t xml:space="preserve">the general need to </w:t>
      </w:r>
      <w:r w:rsidR="0078104C">
        <w:rPr>
          <w:rFonts w:ascii="Times New Roman" w:hAnsi="Times New Roman"/>
        </w:rPr>
        <w:t>sleep</w:t>
      </w:r>
      <w:r w:rsidR="008D5538">
        <w:rPr>
          <w:rFonts w:ascii="Times New Roman" w:hAnsi="Times New Roman"/>
        </w:rPr>
        <w:t xml:space="preserve"> </w:t>
      </w:r>
      <w:r w:rsidR="00E70AED">
        <w:rPr>
          <w:rFonts w:ascii="Times New Roman" w:hAnsi="Times New Roman"/>
        </w:rPr>
        <w:t xml:space="preserve">makes it </w:t>
      </w:r>
      <w:r w:rsidR="0078104C">
        <w:rPr>
          <w:rFonts w:ascii="Times New Roman" w:hAnsi="Times New Roman"/>
        </w:rPr>
        <w:t>a natural desire</w:t>
      </w:r>
      <w:r w:rsidR="00066F07">
        <w:rPr>
          <w:rFonts w:ascii="Times New Roman" w:hAnsi="Times New Roman"/>
        </w:rPr>
        <w:t>,</w:t>
      </w:r>
      <w:r w:rsidR="00066F07">
        <w:rPr>
          <w:rStyle w:val="FootnoteReference"/>
          <w:rFonts w:ascii="Times New Roman" w:hAnsi="Times New Roman"/>
        </w:rPr>
        <w:footnoteReference w:id="237"/>
      </w:r>
      <w:r w:rsidR="00066F07">
        <w:rPr>
          <w:rFonts w:ascii="Times New Roman" w:hAnsi="Times New Roman"/>
        </w:rPr>
        <w:t xml:space="preserve"> </w:t>
      </w:r>
      <w:r w:rsidR="009726DD">
        <w:rPr>
          <w:rFonts w:ascii="Times New Roman" w:hAnsi="Times New Roman"/>
        </w:rPr>
        <w:t>the Court</w:t>
      </w:r>
      <w:r w:rsidR="008067A0">
        <w:rPr>
          <w:rFonts w:ascii="Times New Roman" w:hAnsi="Times New Roman"/>
        </w:rPr>
        <w:t xml:space="preserve">’s analysis would turn on </w:t>
      </w:r>
      <w:r w:rsidR="00E70AED">
        <w:rPr>
          <w:rFonts w:ascii="Times New Roman" w:hAnsi="Times New Roman"/>
        </w:rPr>
        <w:t xml:space="preserve">the </w:t>
      </w:r>
      <w:r w:rsidR="0077001A">
        <w:rPr>
          <w:rFonts w:ascii="Times New Roman" w:hAnsi="Times New Roman"/>
        </w:rPr>
        <w:t xml:space="preserve">necessity </w:t>
      </w:r>
      <w:r w:rsidR="0077001A">
        <w:rPr>
          <w:rFonts w:ascii="Times New Roman" w:hAnsi="Times New Roman"/>
        </w:rPr>
        <w:lastRenderedPageBreak/>
        <w:t xml:space="preserve">of </w:t>
      </w:r>
      <w:r w:rsidR="00A65F6C">
        <w:rPr>
          <w:rFonts w:ascii="Times New Roman" w:hAnsi="Times New Roman"/>
        </w:rPr>
        <w:t xml:space="preserve">the </w:t>
      </w:r>
      <w:r w:rsidR="00E70AED">
        <w:rPr>
          <w:rFonts w:ascii="Times New Roman" w:hAnsi="Times New Roman"/>
        </w:rPr>
        <w:t>homeless plaintiffs</w:t>
      </w:r>
      <w:r w:rsidR="0077001A">
        <w:rPr>
          <w:rFonts w:ascii="Times New Roman" w:hAnsi="Times New Roman"/>
        </w:rPr>
        <w:t xml:space="preserve">’ fulfilling that desire in this specific </w:t>
      </w:r>
      <w:proofErr w:type="gramStart"/>
      <w:r w:rsidR="0077001A">
        <w:rPr>
          <w:rFonts w:ascii="Times New Roman" w:hAnsi="Times New Roman"/>
        </w:rPr>
        <w:t>way—i</w:t>
      </w:r>
      <w:proofErr w:type="gramEnd"/>
      <w:r w:rsidR="0077001A">
        <w:rPr>
          <w:rFonts w:ascii="Times New Roman" w:hAnsi="Times New Roman"/>
        </w:rPr>
        <w:t>.e., sleeping with a blanket outside</w:t>
      </w:r>
      <w:r w:rsidR="00525B8F">
        <w:rPr>
          <w:rFonts w:ascii="Times New Roman" w:hAnsi="Times New Roman"/>
        </w:rPr>
        <w:t>. In other words, the Court would evaluate the availability of alternative</w:t>
      </w:r>
      <w:r w:rsidR="00465118">
        <w:rPr>
          <w:rFonts w:ascii="Times New Roman" w:hAnsi="Times New Roman"/>
        </w:rPr>
        <w:t xml:space="preserve"> places to sleep </w:t>
      </w:r>
      <w:r w:rsidR="004A441E">
        <w:rPr>
          <w:rFonts w:ascii="Times New Roman" w:hAnsi="Times New Roman"/>
        </w:rPr>
        <w:t>and</w:t>
      </w:r>
      <w:r w:rsidR="00465118">
        <w:rPr>
          <w:rFonts w:ascii="Times New Roman" w:hAnsi="Times New Roman"/>
        </w:rPr>
        <w:t xml:space="preserve"> the efficacy of those alternatives.</w:t>
      </w:r>
      <w:r w:rsidR="004A441E">
        <w:rPr>
          <w:rFonts w:ascii="Times New Roman" w:hAnsi="Times New Roman"/>
        </w:rPr>
        <w:t xml:space="preserve"> </w:t>
      </w:r>
      <w:r w:rsidR="009E121E">
        <w:rPr>
          <w:rFonts w:ascii="Times New Roman" w:hAnsi="Times New Roman"/>
        </w:rPr>
        <w:t xml:space="preserve">As the Court’s opinion in </w:t>
      </w:r>
      <w:r w:rsidR="009E121E">
        <w:rPr>
          <w:rFonts w:ascii="Times New Roman" w:hAnsi="Times New Roman"/>
          <w:i/>
          <w:iCs/>
        </w:rPr>
        <w:t>Grant</w:t>
      </w:r>
      <w:r w:rsidR="00B3355A">
        <w:rPr>
          <w:rFonts w:ascii="Times New Roman" w:hAnsi="Times New Roman"/>
          <w:i/>
          <w:iCs/>
        </w:rPr>
        <w:t>s Pass</w:t>
      </w:r>
      <w:r w:rsidR="00B3355A">
        <w:rPr>
          <w:rFonts w:ascii="Times New Roman" w:hAnsi="Times New Roman"/>
        </w:rPr>
        <w:t xml:space="preserve"> documents, </w:t>
      </w:r>
      <w:r w:rsidR="00041E7F">
        <w:rPr>
          <w:rFonts w:ascii="Times New Roman" w:hAnsi="Times New Roman"/>
        </w:rPr>
        <w:t xml:space="preserve">those alternatives, while extant, </w:t>
      </w:r>
      <w:r w:rsidR="00BE3192">
        <w:rPr>
          <w:rFonts w:ascii="Times New Roman" w:hAnsi="Times New Roman"/>
        </w:rPr>
        <w:t xml:space="preserve">are </w:t>
      </w:r>
      <w:r w:rsidR="00C60A68">
        <w:rPr>
          <w:rFonts w:ascii="Times New Roman" w:hAnsi="Times New Roman"/>
        </w:rPr>
        <w:t>relatively few.</w:t>
      </w:r>
      <w:bookmarkStart w:id="81" w:name="_Ref183443203"/>
      <w:r w:rsidR="007E662A">
        <w:rPr>
          <w:rStyle w:val="FootnoteReference"/>
          <w:rFonts w:ascii="Times New Roman" w:hAnsi="Times New Roman"/>
        </w:rPr>
        <w:footnoteReference w:id="238"/>
      </w:r>
      <w:bookmarkEnd w:id="81"/>
      <w:r w:rsidR="00C60A68">
        <w:rPr>
          <w:rFonts w:ascii="Times New Roman" w:hAnsi="Times New Roman"/>
        </w:rPr>
        <w:t xml:space="preserve"> What is more, they are undesirable for a variety of reasons.</w:t>
      </w:r>
      <w:bookmarkStart w:id="82" w:name="_Ref183443208"/>
      <w:r w:rsidR="007E662A">
        <w:rPr>
          <w:rStyle w:val="FootnoteReference"/>
          <w:rFonts w:ascii="Times New Roman" w:hAnsi="Times New Roman"/>
        </w:rPr>
        <w:footnoteReference w:id="239"/>
      </w:r>
      <w:bookmarkEnd w:id="82"/>
      <w:r w:rsidR="0078678A">
        <w:rPr>
          <w:rFonts w:ascii="Times New Roman" w:hAnsi="Times New Roman"/>
        </w:rPr>
        <w:t xml:space="preserve"> Because the homeless plaintiffs’ </w:t>
      </w:r>
      <w:r w:rsidR="0033635C">
        <w:rPr>
          <w:rFonts w:ascii="Times New Roman" w:hAnsi="Times New Roman"/>
        </w:rPr>
        <w:t>desire</w:t>
      </w:r>
      <w:r w:rsidR="0078678A">
        <w:rPr>
          <w:rFonts w:ascii="Times New Roman" w:hAnsi="Times New Roman"/>
        </w:rPr>
        <w:t xml:space="preserve"> to sleep </w:t>
      </w:r>
      <w:r w:rsidR="000E21F4">
        <w:rPr>
          <w:rFonts w:ascii="Times New Roman" w:hAnsi="Times New Roman"/>
        </w:rPr>
        <w:t>on public property</w:t>
      </w:r>
      <w:r w:rsidR="00A63F62">
        <w:rPr>
          <w:rFonts w:ascii="Times New Roman" w:hAnsi="Times New Roman"/>
        </w:rPr>
        <w:t xml:space="preserve"> </w:t>
      </w:r>
      <w:r w:rsidR="0033635C">
        <w:rPr>
          <w:rFonts w:ascii="Times New Roman" w:hAnsi="Times New Roman"/>
        </w:rPr>
        <w:t>is thus natural and</w:t>
      </w:r>
      <w:r w:rsidR="000E21F4">
        <w:rPr>
          <w:rFonts w:ascii="Times New Roman" w:hAnsi="Times New Roman"/>
        </w:rPr>
        <w:t xml:space="preserve"> highly (if not strictly) necessary, it makes sense to require Grants Pass to </w:t>
      </w:r>
      <w:r w:rsidR="005D16EF">
        <w:rPr>
          <w:rFonts w:ascii="Times New Roman" w:hAnsi="Times New Roman"/>
        </w:rPr>
        <w:t>engage in</w:t>
      </w:r>
      <w:r w:rsidR="00E666AA">
        <w:rPr>
          <w:rFonts w:ascii="Times New Roman" w:hAnsi="Times New Roman"/>
        </w:rPr>
        <w:t xml:space="preserve"> more than </w:t>
      </w:r>
      <w:r w:rsidR="00E253E8">
        <w:rPr>
          <w:rFonts w:ascii="Times New Roman" w:hAnsi="Times New Roman"/>
        </w:rPr>
        <w:t>its</w:t>
      </w:r>
      <w:r w:rsidR="00E666AA">
        <w:rPr>
          <w:rFonts w:ascii="Times New Roman" w:hAnsi="Times New Roman"/>
        </w:rPr>
        <w:t xml:space="preserve"> normal level of process—its standard</w:t>
      </w:r>
      <w:r w:rsidR="00E25E7E">
        <w:rPr>
          <w:rFonts w:ascii="Times New Roman" w:hAnsi="Times New Roman"/>
        </w:rPr>
        <w:t xml:space="preserve"> legislative (city council) and judicial (municipal court) procedures—to justify impinging upon </w:t>
      </w:r>
      <w:r w:rsidR="00E253E8">
        <w:rPr>
          <w:rFonts w:ascii="Times New Roman" w:hAnsi="Times New Roman"/>
        </w:rPr>
        <w:t>the plaintiffs’ liberty interest.</w:t>
      </w:r>
      <w:r w:rsidR="009F35D7">
        <w:rPr>
          <w:rFonts w:ascii="Times New Roman" w:hAnsi="Times New Roman"/>
        </w:rPr>
        <w:t xml:space="preserve"> [What might those procedures look like?]</w:t>
      </w:r>
    </w:p>
    <w:p w14:paraId="4C70E0F3" w14:textId="77777777" w:rsidR="001B7C04" w:rsidRDefault="001B7C04" w:rsidP="00D77951">
      <w:pPr>
        <w:ind w:firstLine="720"/>
        <w:rPr>
          <w:rFonts w:ascii="Times New Roman" w:hAnsi="Times New Roman"/>
        </w:rPr>
      </w:pPr>
    </w:p>
    <w:p w14:paraId="5E07BDAE" w14:textId="79539ED3" w:rsidR="002C0258" w:rsidRDefault="009E755B" w:rsidP="003639D9">
      <w:pPr>
        <w:ind w:firstLine="720"/>
        <w:rPr>
          <w:rFonts w:ascii="Times New Roman" w:hAnsi="Times New Roman"/>
        </w:rPr>
      </w:pPr>
      <w:r>
        <w:t>As another example, recall</w:t>
      </w:r>
      <w:r w:rsidR="00FD448B">
        <w:t xml:space="preserve"> again</w:t>
      </w:r>
      <w:r>
        <w:t xml:space="preserve"> </w:t>
      </w:r>
      <w:r w:rsidR="00747476">
        <w:rPr>
          <w:i/>
          <w:iCs/>
        </w:rPr>
        <w:t xml:space="preserve">Department of State v. </w:t>
      </w:r>
      <w:r w:rsidR="00747476" w:rsidRPr="00183A0E">
        <w:rPr>
          <w:i/>
          <w:iCs/>
        </w:rPr>
        <w:t>Mu</w:t>
      </w:r>
      <w:r w:rsidR="00747476" w:rsidRPr="00183A0E">
        <w:rPr>
          <w:rFonts w:ascii="Times New Roman" w:hAnsi="Times New Roman"/>
          <w:i/>
          <w:iCs/>
        </w:rPr>
        <w:t>ñoz</w:t>
      </w:r>
      <w:r w:rsidR="008B71BA">
        <w:rPr>
          <w:rFonts w:ascii="Times New Roman" w:hAnsi="Times New Roman"/>
        </w:rPr>
        <w:t xml:space="preserve">, in which </w:t>
      </w:r>
      <w:r w:rsidR="00986667">
        <w:rPr>
          <w:rFonts w:ascii="Times New Roman" w:hAnsi="Times New Roman"/>
        </w:rPr>
        <w:t xml:space="preserve">an American citizen </w:t>
      </w:r>
      <w:r w:rsidR="001A5573">
        <w:rPr>
          <w:rFonts w:ascii="Times New Roman" w:hAnsi="Times New Roman"/>
        </w:rPr>
        <w:t>sought additional process for the State Department’s denial of her request for</w:t>
      </w:r>
      <w:r w:rsidR="00E45B20">
        <w:rPr>
          <w:rFonts w:ascii="Times New Roman" w:hAnsi="Times New Roman"/>
        </w:rPr>
        <w:t xml:space="preserve"> her </w:t>
      </w:r>
      <w:r w:rsidR="00DC46B7">
        <w:rPr>
          <w:rFonts w:ascii="Times New Roman" w:hAnsi="Times New Roman"/>
        </w:rPr>
        <w:t>non-citizen husband to live with her in the U.S.</w:t>
      </w:r>
      <w:r w:rsidR="00002A21">
        <w:rPr>
          <w:rStyle w:val="FootnoteReference"/>
          <w:rFonts w:ascii="Times New Roman" w:hAnsi="Times New Roman"/>
        </w:rPr>
        <w:footnoteReference w:id="240"/>
      </w:r>
      <w:r w:rsidR="00C578D0">
        <w:rPr>
          <w:rFonts w:ascii="Times New Roman" w:hAnsi="Times New Roman"/>
        </w:rPr>
        <w:t xml:space="preserve"> </w:t>
      </w:r>
      <w:r w:rsidR="009F4DE7">
        <w:rPr>
          <w:rFonts w:ascii="Times New Roman" w:hAnsi="Times New Roman"/>
        </w:rPr>
        <w:t xml:space="preserve">By freeing the substantive due process analysis from the cramped liberty-or-not inquiry, </w:t>
      </w:r>
      <w:r w:rsidR="00F529F4">
        <w:rPr>
          <w:rFonts w:ascii="Times New Roman" w:hAnsi="Times New Roman"/>
        </w:rPr>
        <w:t xml:space="preserve">the Epicurean approach </w:t>
      </w:r>
      <w:r w:rsidR="00A450E2">
        <w:rPr>
          <w:rFonts w:ascii="Times New Roman" w:hAnsi="Times New Roman"/>
        </w:rPr>
        <w:t>creates</w:t>
      </w:r>
      <w:r w:rsidR="00F529F4">
        <w:rPr>
          <w:rFonts w:ascii="Times New Roman" w:hAnsi="Times New Roman"/>
        </w:rPr>
        <w:t xml:space="preserve"> space for </w:t>
      </w:r>
      <w:r w:rsidR="00A450E2">
        <w:rPr>
          <w:rFonts w:ascii="Times New Roman" w:hAnsi="Times New Roman"/>
        </w:rPr>
        <w:t xml:space="preserve">a more nuanced treatment of </w:t>
      </w:r>
      <w:r w:rsidR="00A450E2" w:rsidRPr="00A450E2">
        <w:t>Mu</w:t>
      </w:r>
      <w:r w:rsidR="00A450E2" w:rsidRPr="00A450E2">
        <w:rPr>
          <w:rFonts w:ascii="Times New Roman" w:hAnsi="Times New Roman"/>
        </w:rPr>
        <w:t>ñoz</w:t>
      </w:r>
      <w:r w:rsidR="00A450E2">
        <w:rPr>
          <w:rFonts w:ascii="Times New Roman" w:hAnsi="Times New Roman"/>
        </w:rPr>
        <w:t xml:space="preserve">’s claim. </w:t>
      </w:r>
      <w:r w:rsidR="002D0BB0">
        <w:rPr>
          <w:rFonts w:ascii="Times New Roman" w:hAnsi="Times New Roman"/>
        </w:rPr>
        <w:t xml:space="preserve">Under the Epicurean approach, the Court would begin </w:t>
      </w:r>
      <w:r w:rsidR="00037EB5">
        <w:rPr>
          <w:rFonts w:ascii="Times New Roman" w:hAnsi="Times New Roman"/>
        </w:rPr>
        <w:t xml:space="preserve">with </w:t>
      </w:r>
      <w:r w:rsidR="00223852">
        <w:rPr>
          <w:rFonts w:ascii="Times New Roman" w:hAnsi="Times New Roman"/>
        </w:rPr>
        <w:t>by acknowledging</w:t>
      </w:r>
      <w:r w:rsidR="00037EB5">
        <w:rPr>
          <w:rFonts w:ascii="Times New Roman" w:hAnsi="Times New Roman"/>
        </w:rPr>
        <w:t xml:space="preserve"> that </w:t>
      </w:r>
      <w:r w:rsidR="00037EB5" w:rsidRPr="00037EB5">
        <w:t>Mu</w:t>
      </w:r>
      <w:r w:rsidR="00037EB5" w:rsidRPr="00037EB5">
        <w:rPr>
          <w:rFonts w:ascii="Times New Roman" w:hAnsi="Times New Roman"/>
        </w:rPr>
        <w:t>ñoz</w:t>
      </w:r>
      <w:r w:rsidR="00037EB5">
        <w:rPr>
          <w:rFonts w:ascii="Times New Roman" w:hAnsi="Times New Roman"/>
        </w:rPr>
        <w:t>’s subjective preference to live with her non-citizen husband in the U.S. qualifies as a</w:t>
      </w:r>
      <w:r w:rsidR="00223852">
        <w:rPr>
          <w:rFonts w:ascii="Times New Roman" w:hAnsi="Times New Roman"/>
        </w:rPr>
        <w:t xml:space="preserve"> liberty interest and proceed to evaluate how natural and necessary that desire is.</w:t>
      </w:r>
      <w:r w:rsidR="008C0640">
        <w:rPr>
          <w:rFonts w:ascii="Times New Roman" w:hAnsi="Times New Roman"/>
        </w:rPr>
        <w:t xml:space="preserve"> </w:t>
      </w:r>
      <w:r w:rsidR="00901C50">
        <w:rPr>
          <w:rFonts w:ascii="Times New Roman" w:hAnsi="Times New Roman"/>
        </w:rPr>
        <w:t>As the Court itself has repeatedly acknowledged,</w:t>
      </w:r>
      <w:bookmarkStart w:id="83" w:name="_Ref178326390"/>
      <w:r w:rsidR="00901C50">
        <w:rPr>
          <w:rStyle w:val="FootnoteReference"/>
          <w:rFonts w:ascii="Times New Roman" w:hAnsi="Times New Roman"/>
        </w:rPr>
        <w:footnoteReference w:id="241"/>
      </w:r>
      <w:bookmarkEnd w:id="83"/>
      <w:r w:rsidR="00901C50">
        <w:rPr>
          <w:rFonts w:ascii="Times New Roman" w:hAnsi="Times New Roman"/>
        </w:rPr>
        <w:t xml:space="preserve"> t</w:t>
      </w:r>
      <w:r w:rsidR="008C0640">
        <w:rPr>
          <w:rFonts w:ascii="Times New Roman" w:hAnsi="Times New Roman"/>
        </w:rPr>
        <w:t xml:space="preserve">he </w:t>
      </w:r>
      <w:r w:rsidR="00E10884">
        <w:rPr>
          <w:rFonts w:ascii="Times New Roman" w:hAnsi="Times New Roman"/>
        </w:rPr>
        <w:t xml:space="preserve">desire </w:t>
      </w:r>
      <w:r w:rsidR="00D17AD7">
        <w:rPr>
          <w:rFonts w:ascii="Times New Roman" w:hAnsi="Times New Roman"/>
        </w:rPr>
        <w:t>for long</w:t>
      </w:r>
      <w:r w:rsidR="009829FE">
        <w:rPr>
          <w:rFonts w:ascii="Times New Roman" w:hAnsi="Times New Roman"/>
        </w:rPr>
        <w:t>-</w:t>
      </w:r>
      <w:r w:rsidR="00D17AD7">
        <w:rPr>
          <w:rFonts w:ascii="Times New Roman" w:hAnsi="Times New Roman"/>
        </w:rPr>
        <w:t xml:space="preserve">term romantic </w:t>
      </w:r>
      <w:r w:rsidR="009829FE">
        <w:rPr>
          <w:rFonts w:ascii="Times New Roman" w:hAnsi="Times New Roman"/>
        </w:rPr>
        <w:t xml:space="preserve">partnership of the kind embodied in marriage is </w:t>
      </w:r>
      <w:r w:rsidR="004428E7">
        <w:rPr>
          <w:rFonts w:ascii="Times New Roman" w:hAnsi="Times New Roman"/>
        </w:rPr>
        <w:t>a</w:t>
      </w:r>
      <w:r w:rsidR="008C6F5E">
        <w:rPr>
          <w:rFonts w:ascii="Times New Roman" w:hAnsi="Times New Roman"/>
        </w:rPr>
        <w:t xml:space="preserve"> </w:t>
      </w:r>
      <w:r w:rsidR="009829FE">
        <w:rPr>
          <w:rFonts w:ascii="Times New Roman" w:hAnsi="Times New Roman"/>
        </w:rPr>
        <w:t>natural desire</w:t>
      </w:r>
      <w:r w:rsidR="004428E7">
        <w:rPr>
          <w:rFonts w:ascii="Times New Roman" w:hAnsi="Times New Roman"/>
        </w:rPr>
        <w:t xml:space="preserve"> for most humans</w:t>
      </w:r>
      <w:r w:rsidR="009829FE">
        <w:rPr>
          <w:rFonts w:ascii="Times New Roman" w:hAnsi="Times New Roman"/>
        </w:rPr>
        <w:t>.</w:t>
      </w:r>
      <w:r w:rsidR="009829FE">
        <w:rPr>
          <w:rStyle w:val="FootnoteReference"/>
          <w:rFonts w:ascii="Times New Roman" w:hAnsi="Times New Roman"/>
        </w:rPr>
        <w:footnoteReference w:id="242"/>
      </w:r>
      <w:r w:rsidR="008C6F5E">
        <w:rPr>
          <w:rFonts w:ascii="Times New Roman" w:hAnsi="Times New Roman"/>
        </w:rPr>
        <w:t xml:space="preserve"> </w:t>
      </w:r>
      <w:r w:rsidR="008B3DE5">
        <w:rPr>
          <w:rFonts w:ascii="Times New Roman" w:hAnsi="Times New Roman"/>
        </w:rPr>
        <w:t xml:space="preserve">Moreover, while </w:t>
      </w:r>
      <w:r w:rsidR="00B25709">
        <w:rPr>
          <w:rFonts w:ascii="Times New Roman" w:hAnsi="Times New Roman"/>
        </w:rPr>
        <w:t>the desire to marry a specific person may not be</w:t>
      </w:r>
      <w:r w:rsidR="00220703">
        <w:rPr>
          <w:rFonts w:ascii="Times New Roman" w:hAnsi="Times New Roman"/>
        </w:rPr>
        <w:t xml:space="preserve"> </w:t>
      </w:r>
      <w:r w:rsidR="00853B40">
        <w:rPr>
          <w:rFonts w:ascii="Times New Roman" w:hAnsi="Times New Roman"/>
        </w:rPr>
        <w:t>“</w:t>
      </w:r>
      <w:r w:rsidR="00220703">
        <w:rPr>
          <w:rFonts w:ascii="Times New Roman" w:hAnsi="Times New Roman"/>
        </w:rPr>
        <w:t>necessary</w:t>
      </w:r>
      <w:r w:rsidR="00853B40">
        <w:rPr>
          <w:rFonts w:ascii="Times New Roman" w:hAnsi="Times New Roman"/>
        </w:rPr>
        <w:t>”</w:t>
      </w:r>
      <w:r w:rsidR="00220703">
        <w:rPr>
          <w:rFonts w:ascii="Times New Roman" w:hAnsi="Times New Roman"/>
        </w:rPr>
        <w:t xml:space="preserve"> in the strictest sense</w:t>
      </w:r>
      <w:r w:rsidR="00E80534">
        <w:rPr>
          <w:rFonts w:ascii="Times New Roman" w:hAnsi="Times New Roman"/>
        </w:rPr>
        <w:t xml:space="preserve">, </w:t>
      </w:r>
      <w:r w:rsidR="00700E71">
        <w:rPr>
          <w:rFonts w:ascii="Times New Roman" w:hAnsi="Times New Roman"/>
        </w:rPr>
        <w:t xml:space="preserve">most humans experience considerably </w:t>
      </w:r>
      <w:r w:rsidR="00A05CF2">
        <w:rPr>
          <w:rFonts w:ascii="Times New Roman" w:hAnsi="Times New Roman"/>
        </w:rPr>
        <w:t xml:space="preserve">less latitude in choosing a spouse than in </w:t>
      </w:r>
      <w:r w:rsidR="00A05281">
        <w:rPr>
          <w:rFonts w:ascii="Times New Roman" w:hAnsi="Times New Roman"/>
        </w:rPr>
        <w:t>choosing what to eat for lunch.</w:t>
      </w:r>
      <w:r w:rsidR="00813621">
        <w:rPr>
          <w:rFonts w:ascii="Times New Roman" w:hAnsi="Times New Roman"/>
        </w:rPr>
        <w:t xml:space="preserve"> </w:t>
      </w:r>
      <w:r w:rsidR="00E34D76">
        <w:rPr>
          <w:rFonts w:ascii="Times New Roman" w:hAnsi="Times New Roman"/>
        </w:rPr>
        <w:t>For that reason, the Court has</w:t>
      </w:r>
      <w:r w:rsidR="00AD0FB8">
        <w:rPr>
          <w:rFonts w:ascii="Times New Roman" w:hAnsi="Times New Roman"/>
        </w:rPr>
        <w:t xml:space="preserve"> consistently rejected</w:t>
      </w:r>
      <w:r w:rsidR="003A5520">
        <w:rPr>
          <w:rFonts w:ascii="Times New Roman" w:hAnsi="Times New Roman"/>
        </w:rPr>
        <w:t xml:space="preserve"> restrictions that prevent people from marrying the individual of their </w:t>
      </w:r>
      <w:r w:rsidR="003A5520">
        <w:rPr>
          <w:rFonts w:ascii="Times New Roman" w:hAnsi="Times New Roman"/>
        </w:rPr>
        <w:lastRenderedPageBreak/>
        <w:t>choice.</w:t>
      </w:r>
      <w:r w:rsidR="002C0258">
        <w:rPr>
          <w:rStyle w:val="FootnoteReference"/>
          <w:rFonts w:ascii="Times New Roman" w:hAnsi="Times New Roman"/>
        </w:rPr>
        <w:footnoteReference w:id="243"/>
      </w:r>
      <w:r w:rsidR="00A05281">
        <w:rPr>
          <w:rFonts w:ascii="Times New Roman" w:hAnsi="Times New Roman"/>
        </w:rPr>
        <w:t xml:space="preserve"> </w:t>
      </w:r>
      <w:r w:rsidR="00C33056">
        <w:rPr>
          <w:rFonts w:ascii="Times New Roman" w:hAnsi="Times New Roman"/>
        </w:rPr>
        <w:t xml:space="preserve">Finally, </w:t>
      </w:r>
      <w:r w:rsidR="00132CC3" w:rsidRPr="00037EB5">
        <w:t>Mu</w:t>
      </w:r>
      <w:r w:rsidR="00132CC3" w:rsidRPr="00037EB5">
        <w:rPr>
          <w:rFonts w:ascii="Times New Roman" w:hAnsi="Times New Roman"/>
        </w:rPr>
        <w:t>ñoz</w:t>
      </w:r>
      <w:r w:rsidR="00132CC3">
        <w:t>’s desire to live with her husband is also</w:t>
      </w:r>
      <w:r w:rsidR="00363F9C">
        <w:t xml:space="preserve"> highly</w:t>
      </w:r>
      <w:r w:rsidR="00132CC3">
        <w:t xml:space="preserve"> </w:t>
      </w:r>
      <w:r w:rsidR="00ED040A">
        <w:t>natural and necessary</w:t>
      </w:r>
      <w:r w:rsidR="00363F9C">
        <w:t xml:space="preserve">; for many, living together is </w:t>
      </w:r>
      <w:r w:rsidR="008C73F5">
        <w:t>central to the very definition of marriage and family</w:t>
      </w:r>
      <w:r w:rsidR="003639D9">
        <w:rPr>
          <w:rFonts w:ascii="Times New Roman" w:hAnsi="Times New Roman"/>
        </w:rPr>
        <w:t>.</w:t>
      </w:r>
      <w:bookmarkStart w:id="84" w:name="_Ref178326392"/>
      <w:r w:rsidR="008C73F5">
        <w:rPr>
          <w:rStyle w:val="FootnoteReference"/>
          <w:rFonts w:ascii="Times New Roman" w:hAnsi="Times New Roman"/>
        </w:rPr>
        <w:footnoteReference w:id="244"/>
      </w:r>
      <w:bookmarkEnd w:id="84"/>
    </w:p>
    <w:p w14:paraId="6B938622" w14:textId="77777777" w:rsidR="003639D9" w:rsidRDefault="003639D9" w:rsidP="003639D9">
      <w:pPr>
        <w:ind w:firstLine="720"/>
        <w:rPr>
          <w:rFonts w:ascii="Times New Roman" w:hAnsi="Times New Roman"/>
        </w:rPr>
      </w:pPr>
    </w:p>
    <w:p w14:paraId="77AE3771" w14:textId="18D76FD8" w:rsidR="00DC3F39" w:rsidRDefault="00E90418" w:rsidP="003639D9">
      <w:pPr>
        <w:ind w:firstLine="720"/>
        <w:rPr>
          <w:rFonts w:ascii="Times New Roman" w:hAnsi="Times New Roman"/>
        </w:rPr>
      </w:pPr>
      <w:r>
        <w:rPr>
          <w:rFonts w:ascii="Times New Roman" w:hAnsi="Times New Roman"/>
        </w:rPr>
        <w:t>Thus</w:t>
      </w:r>
      <w:r w:rsidR="00F4163D">
        <w:rPr>
          <w:rFonts w:ascii="Times New Roman" w:hAnsi="Times New Roman"/>
        </w:rPr>
        <w:t>, i</w:t>
      </w:r>
      <w:r w:rsidR="00A44A8A">
        <w:rPr>
          <w:rFonts w:ascii="Times New Roman" w:hAnsi="Times New Roman"/>
        </w:rPr>
        <w:t>f</w:t>
      </w:r>
      <w:r w:rsidR="00F4163D">
        <w:rPr>
          <w:rFonts w:ascii="Times New Roman" w:hAnsi="Times New Roman"/>
        </w:rPr>
        <w:t xml:space="preserve"> </w:t>
      </w:r>
      <w:r w:rsidR="00506D70" w:rsidRPr="00037EB5">
        <w:t>Mu</w:t>
      </w:r>
      <w:r w:rsidR="00506D70" w:rsidRPr="00037EB5">
        <w:rPr>
          <w:rFonts w:ascii="Times New Roman" w:hAnsi="Times New Roman"/>
        </w:rPr>
        <w:t>ñoz</w:t>
      </w:r>
      <w:r w:rsidR="00506D70">
        <w:rPr>
          <w:rFonts w:ascii="Times New Roman" w:hAnsi="Times New Roman"/>
        </w:rPr>
        <w:t xml:space="preserve"> simply desired to marry and live with her husband, h</w:t>
      </w:r>
      <w:r w:rsidR="002926BA">
        <w:rPr>
          <w:rFonts w:ascii="Times New Roman" w:hAnsi="Times New Roman"/>
        </w:rPr>
        <w:t xml:space="preserve">er liberty interest would be near the </w:t>
      </w:r>
      <w:r w:rsidR="0061009F">
        <w:rPr>
          <w:rFonts w:ascii="Times New Roman" w:hAnsi="Times New Roman"/>
        </w:rPr>
        <w:t>most natural and most necessary end of the Epicurean spectrum</w:t>
      </w:r>
      <w:r w:rsidR="005B159B">
        <w:rPr>
          <w:rFonts w:ascii="Times New Roman" w:hAnsi="Times New Roman"/>
        </w:rPr>
        <w:t>.</w:t>
      </w:r>
      <w:r w:rsidR="001729CC">
        <w:rPr>
          <w:rStyle w:val="FootnoteReference"/>
          <w:rFonts w:ascii="Times New Roman" w:hAnsi="Times New Roman"/>
        </w:rPr>
        <w:footnoteReference w:id="245"/>
      </w:r>
      <w:r w:rsidR="0061009F">
        <w:rPr>
          <w:rFonts w:ascii="Times New Roman" w:hAnsi="Times New Roman"/>
        </w:rPr>
        <w:t xml:space="preserve"> </w:t>
      </w:r>
      <w:r w:rsidR="007F34CD">
        <w:rPr>
          <w:rFonts w:ascii="Times New Roman" w:hAnsi="Times New Roman"/>
        </w:rPr>
        <w:t xml:space="preserve">But </w:t>
      </w:r>
      <w:r w:rsidR="007F34CD" w:rsidRPr="00037EB5">
        <w:t>Mu</w:t>
      </w:r>
      <w:r w:rsidR="007F34CD" w:rsidRPr="00037EB5">
        <w:rPr>
          <w:rFonts w:ascii="Times New Roman" w:hAnsi="Times New Roman"/>
        </w:rPr>
        <w:t>ñoz</w:t>
      </w:r>
      <w:r w:rsidR="007F34CD">
        <w:rPr>
          <w:rFonts w:ascii="Times New Roman" w:hAnsi="Times New Roman"/>
        </w:rPr>
        <w:t xml:space="preserve"> wants to live with her husband </w:t>
      </w:r>
      <w:r w:rsidR="007F34CD">
        <w:rPr>
          <w:rFonts w:ascii="Times New Roman" w:hAnsi="Times New Roman"/>
          <w:i/>
          <w:iCs/>
        </w:rPr>
        <w:t>in the United States</w:t>
      </w:r>
      <w:r w:rsidR="007F34CD">
        <w:rPr>
          <w:rFonts w:ascii="Times New Roman" w:hAnsi="Times New Roman"/>
        </w:rPr>
        <w:t xml:space="preserve">. That additional layer of specificity </w:t>
      </w:r>
      <w:r w:rsidR="006D1F0E">
        <w:rPr>
          <w:rFonts w:ascii="Times New Roman" w:hAnsi="Times New Roman"/>
        </w:rPr>
        <w:t xml:space="preserve">moves </w:t>
      </w:r>
      <w:r w:rsidR="00E94AD5">
        <w:rPr>
          <w:rFonts w:ascii="Times New Roman" w:hAnsi="Times New Roman"/>
        </w:rPr>
        <w:t xml:space="preserve">her interest </w:t>
      </w:r>
      <w:r w:rsidR="00147D95">
        <w:rPr>
          <w:rFonts w:ascii="Times New Roman" w:hAnsi="Times New Roman"/>
        </w:rPr>
        <w:t>toward the “unnecessary” side of the Epicurean spectrum.</w:t>
      </w:r>
      <w:r w:rsidR="005B5762">
        <w:rPr>
          <w:rFonts w:ascii="Times New Roman" w:hAnsi="Times New Roman"/>
        </w:rPr>
        <w:t xml:space="preserve"> </w:t>
      </w:r>
      <w:r w:rsidR="009A703C">
        <w:rPr>
          <w:rFonts w:ascii="Times New Roman" w:hAnsi="Times New Roman"/>
        </w:rPr>
        <w:t xml:space="preserve">It does not move </w:t>
      </w:r>
      <w:r w:rsidR="00443C91">
        <w:rPr>
          <w:rFonts w:ascii="Times New Roman" w:hAnsi="Times New Roman"/>
        </w:rPr>
        <w:t>her interest</w:t>
      </w:r>
      <w:r w:rsidR="009A703C">
        <w:rPr>
          <w:rFonts w:ascii="Times New Roman" w:hAnsi="Times New Roman"/>
        </w:rPr>
        <w:t xml:space="preserve"> so far, however, as to untether it completely from </w:t>
      </w:r>
      <w:r w:rsidR="00AF09A3">
        <w:rPr>
          <w:rFonts w:ascii="Times New Roman" w:hAnsi="Times New Roman"/>
        </w:rPr>
        <w:t>her natural and necessary interest in living with her husband.</w:t>
      </w:r>
      <w:r w:rsidR="00C701C4">
        <w:rPr>
          <w:rStyle w:val="FootnoteReference"/>
          <w:rFonts w:ascii="Times New Roman" w:hAnsi="Times New Roman"/>
        </w:rPr>
        <w:footnoteReference w:id="246"/>
      </w:r>
      <w:r w:rsidR="00AF09A3">
        <w:rPr>
          <w:rFonts w:ascii="Times New Roman" w:hAnsi="Times New Roman"/>
        </w:rPr>
        <w:t xml:space="preserve"> </w:t>
      </w:r>
      <w:r w:rsidR="001057D6">
        <w:rPr>
          <w:rFonts w:ascii="Times New Roman" w:hAnsi="Times New Roman"/>
        </w:rPr>
        <w:t xml:space="preserve">How far </w:t>
      </w:r>
      <w:r w:rsidR="00B05AD6">
        <w:rPr>
          <w:rFonts w:ascii="Times New Roman" w:hAnsi="Times New Roman"/>
        </w:rPr>
        <w:t>each</w:t>
      </w:r>
      <w:r w:rsidR="001B0F88">
        <w:rPr>
          <w:rFonts w:ascii="Times New Roman" w:hAnsi="Times New Roman"/>
        </w:rPr>
        <w:t xml:space="preserve"> additional layer of specificity moves </w:t>
      </w:r>
      <w:r w:rsidR="00FA3C53">
        <w:rPr>
          <w:rFonts w:ascii="Times New Roman" w:hAnsi="Times New Roman"/>
        </w:rPr>
        <w:t xml:space="preserve">a natural </w:t>
      </w:r>
      <w:r w:rsidR="001B0F88">
        <w:rPr>
          <w:rFonts w:ascii="Times New Roman" w:hAnsi="Times New Roman"/>
        </w:rPr>
        <w:t>interest toward the unnecessary side</w:t>
      </w:r>
      <w:r w:rsidR="00CD3D5B">
        <w:rPr>
          <w:rFonts w:ascii="Times New Roman" w:hAnsi="Times New Roman"/>
        </w:rPr>
        <w:t xml:space="preserve"> </w:t>
      </w:r>
      <w:r w:rsidR="00FA3C53">
        <w:rPr>
          <w:rFonts w:ascii="Times New Roman" w:hAnsi="Times New Roman"/>
        </w:rPr>
        <w:t xml:space="preserve">of the spectrum </w:t>
      </w:r>
      <w:r w:rsidR="00CD3D5B">
        <w:rPr>
          <w:rFonts w:ascii="Times New Roman" w:hAnsi="Times New Roman"/>
        </w:rPr>
        <w:t xml:space="preserve">depends on </w:t>
      </w:r>
      <w:r w:rsidR="005660FA">
        <w:rPr>
          <w:rFonts w:ascii="Times New Roman" w:hAnsi="Times New Roman"/>
        </w:rPr>
        <w:t xml:space="preserve">the number and efficacy of </w:t>
      </w:r>
      <w:r w:rsidR="00224105">
        <w:rPr>
          <w:rFonts w:ascii="Times New Roman" w:hAnsi="Times New Roman"/>
        </w:rPr>
        <w:t xml:space="preserve">available alternatives to achieve the natural </w:t>
      </w:r>
      <w:r w:rsidR="003178CD">
        <w:rPr>
          <w:rFonts w:ascii="Times New Roman" w:hAnsi="Times New Roman"/>
        </w:rPr>
        <w:t>interest</w:t>
      </w:r>
      <w:r w:rsidR="00224105">
        <w:rPr>
          <w:rFonts w:ascii="Times New Roman" w:hAnsi="Times New Roman"/>
        </w:rPr>
        <w:t>.</w:t>
      </w:r>
      <w:r w:rsidR="001F6E93">
        <w:rPr>
          <w:rStyle w:val="FootnoteReference"/>
          <w:rFonts w:ascii="Times New Roman" w:hAnsi="Times New Roman"/>
        </w:rPr>
        <w:footnoteReference w:id="247"/>
      </w:r>
      <w:r w:rsidR="00254B48">
        <w:rPr>
          <w:rFonts w:ascii="Times New Roman" w:hAnsi="Times New Roman"/>
        </w:rPr>
        <w:t xml:space="preserve"> </w:t>
      </w:r>
      <w:r w:rsidR="0074313A">
        <w:rPr>
          <w:rFonts w:ascii="Times New Roman" w:hAnsi="Times New Roman"/>
        </w:rPr>
        <w:t>In other words,</w:t>
      </w:r>
      <w:r w:rsidR="00EA2E21">
        <w:rPr>
          <w:rFonts w:ascii="Times New Roman" w:hAnsi="Times New Roman"/>
        </w:rPr>
        <w:t xml:space="preserve"> </w:t>
      </w:r>
      <w:r w:rsidR="00F42C4E">
        <w:rPr>
          <w:rFonts w:ascii="Times New Roman" w:hAnsi="Times New Roman"/>
        </w:rPr>
        <w:t>the Court should ask</w:t>
      </w:r>
      <w:r w:rsidR="003209B3">
        <w:rPr>
          <w:rFonts w:ascii="Times New Roman" w:hAnsi="Times New Roman"/>
        </w:rPr>
        <w:t>: U</w:t>
      </w:r>
      <w:r w:rsidR="00EA2E21">
        <w:rPr>
          <w:rFonts w:ascii="Times New Roman" w:hAnsi="Times New Roman"/>
        </w:rPr>
        <w:t xml:space="preserve">nderstanding that living with her husband in the U.S. is her first choice, </w:t>
      </w:r>
      <w:r w:rsidR="00911A2F">
        <w:rPr>
          <w:rFonts w:ascii="Times New Roman" w:hAnsi="Times New Roman"/>
        </w:rPr>
        <w:t>how</w:t>
      </w:r>
      <w:r w:rsidR="00F253CD">
        <w:rPr>
          <w:rFonts w:ascii="Times New Roman" w:hAnsi="Times New Roman"/>
        </w:rPr>
        <w:t xml:space="preserve"> possible </w:t>
      </w:r>
      <w:r w:rsidR="002F2833">
        <w:rPr>
          <w:rFonts w:ascii="Times New Roman" w:hAnsi="Times New Roman"/>
        </w:rPr>
        <w:t>would it be</w:t>
      </w:r>
      <w:r w:rsidR="00F253CD">
        <w:rPr>
          <w:rFonts w:ascii="Times New Roman" w:hAnsi="Times New Roman"/>
        </w:rPr>
        <w:t xml:space="preserve"> for </w:t>
      </w:r>
      <w:r w:rsidR="00BB7614" w:rsidRPr="00037EB5">
        <w:t>Mu</w:t>
      </w:r>
      <w:r w:rsidR="00BB7614" w:rsidRPr="00037EB5">
        <w:rPr>
          <w:rFonts w:ascii="Times New Roman" w:hAnsi="Times New Roman"/>
        </w:rPr>
        <w:t>ñoz</w:t>
      </w:r>
      <w:r w:rsidR="00BB7614">
        <w:rPr>
          <w:rFonts w:ascii="Times New Roman" w:hAnsi="Times New Roman"/>
        </w:rPr>
        <w:t xml:space="preserve"> </w:t>
      </w:r>
      <w:r w:rsidR="00F253CD">
        <w:rPr>
          <w:rFonts w:ascii="Times New Roman" w:hAnsi="Times New Roman"/>
        </w:rPr>
        <w:t xml:space="preserve">to live </w:t>
      </w:r>
      <w:r w:rsidR="00BB7614">
        <w:rPr>
          <w:rFonts w:ascii="Times New Roman" w:hAnsi="Times New Roman"/>
        </w:rPr>
        <w:t>with him</w:t>
      </w:r>
      <w:r w:rsidR="00851884">
        <w:rPr>
          <w:rFonts w:ascii="Times New Roman" w:hAnsi="Times New Roman"/>
        </w:rPr>
        <w:t xml:space="preserve"> in his home country or</w:t>
      </w:r>
      <w:r w:rsidR="00BB7614">
        <w:rPr>
          <w:rFonts w:ascii="Times New Roman" w:hAnsi="Times New Roman"/>
        </w:rPr>
        <w:t xml:space="preserve"> elsewhere</w:t>
      </w:r>
      <w:r w:rsidR="00BA4234">
        <w:rPr>
          <w:rFonts w:ascii="Times New Roman" w:hAnsi="Times New Roman"/>
        </w:rPr>
        <w:t>?</w:t>
      </w:r>
      <w:r w:rsidR="00BB7614">
        <w:rPr>
          <w:rFonts w:ascii="Times New Roman" w:hAnsi="Times New Roman"/>
        </w:rPr>
        <w:t xml:space="preserve"> How well does that option fulfill her natural and </w:t>
      </w:r>
      <w:r w:rsidR="00E44B06">
        <w:rPr>
          <w:rFonts w:ascii="Times New Roman" w:hAnsi="Times New Roman"/>
        </w:rPr>
        <w:t>necessary desire to live with her husband?</w:t>
      </w:r>
    </w:p>
    <w:p w14:paraId="073EC112" w14:textId="77777777" w:rsidR="00DC3F39" w:rsidRDefault="00DC3F39" w:rsidP="003639D9">
      <w:pPr>
        <w:ind w:firstLine="720"/>
        <w:rPr>
          <w:rFonts w:ascii="Times New Roman" w:hAnsi="Times New Roman"/>
        </w:rPr>
      </w:pPr>
    </w:p>
    <w:p w14:paraId="3D6EF17C" w14:textId="6B6D10CD" w:rsidR="00E5083B" w:rsidRDefault="001B6F94" w:rsidP="00E5083B">
      <w:pPr>
        <w:ind w:firstLine="720"/>
        <w:rPr>
          <w:rFonts w:ascii="Times New Roman" w:hAnsi="Times New Roman"/>
        </w:rPr>
      </w:pPr>
      <w:r>
        <w:rPr>
          <w:rFonts w:ascii="Times New Roman" w:hAnsi="Times New Roman"/>
        </w:rPr>
        <w:t xml:space="preserve">Intuitively, </w:t>
      </w:r>
      <w:r w:rsidR="007B44DE">
        <w:rPr>
          <w:rFonts w:ascii="Times New Roman" w:hAnsi="Times New Roman"/>
        </w:rPr>
        <w:t>requiring</w:t>
      </w:r>
      <w:r w:rsidR="0001646C">
        <w:rPr>
          <w:rFonts w:ascii="Times New Roman" w:hAnsi="Times New Roman"/>
        </w:rPr>
        <w:t xml:space="preserve"> someone to leave the U.S. to live with their spouse </w:t>
      </w:r>
      <w:r w:rsidR="00383180">
        <w:rPr>
          <w:rFonts w:ascii="Times New Roman" w:hAnsi="Times New Roman"/>
        </w:rPr>
        <w:t>seems like a substantial burden but not quite a total ban.</w:t>
      </w:r>
      <w:r w:rsidR="00986178">
        <w:rPr>
          <w:rStyle w:val="FootnoteReference"/>
          <w:rFonts w:ascii="Times New Roman" w:hAnsi="Times New Roman"/>
        </w:rPr>
        <w:footnoteReference w:id="248"/>
      </w:r>
      <w:r w:rsidR="007D3289">
        <w:rPr>
          <w:rFonts w:ascii="Times New Roman" w:hAnsi="Times New Roman"/>
        </w:rPr>
        <w:t xml:space="preserve"> </w:t>
      </w:r>
      <w:r w:rsidR="00580735">
        <w:rPr>
          <w:rFonts w:ascii="Times New Roman" w:hAnsi="Times New Roman"/>
        </w:rPr>
        <w:br/>
        <w:t>I</w:t>
      </w:r>
      <w:r w:rsidR="0086292D">
        <w:rPr>
          <w:rFonts w:ascii="Times New Roman" w:hAnsi="Times New Roman"/>
        </w:rPr>
        <w:t xml:space="preserve">t is precisely in such </w:t>
      </w:r>
      <w:r w:rsidR="00E5083B">
        <w:rPr>
          <w:rFonts w:ascii="Times New Roman" w:hAnsi="Times New Roman"/>
        </w:rPr>
        <w:t xml:space="preserve">intermediate circumstances that the Epicurean approach shows its value. </w:t>
      </w:r>
      <w:r w:rsidR="00B25D62">
        <w:rPr>
          <w:rFonts w:ascii="Times New Roman" w:hAnsi="Times New Roman"/>
        </w:rPr>
        <w:t xml:space="preserve">Rather than limiting the outcomes of substantive </w:t>
      </w:r>
      <w:r w:rsidR="00B25D62">
        <w:rPr>
          <w:rFonts w:ascii="Times New Roman" w:hAnsi="Times New Roman"/>
        </w:rPr>
        <w:lastRenderedPageBreak/>
        <w:t xml:space="preserve">due process cases to strict scrutiny or nothing, </w:t>
      </w:r>
      <w:r w:rsidR="004A73E2">
        <w:rPr>
          <w:rFonts w:ascii="Times New Roman" w:hAnsi="Times New Roman"/>
        </w:rPr>
        <w:t xml:space="preserve">the Epicurean approach would allow the Court to craft </w:t>
      </w:r>
      <w:r w:rsidR="00F33098">
        <w:rPr>
          <w:rFonts w:ascii="Times New Roman" w:hAnsi="Times New Roman"/>
        </w:rPr>
        <w:t xml:space="preserve">intermediate procedural protections appropriate to </w:t>
      </w:r>
      <w:r w:rsidR="00507ABF">
        <w:rPr>
          <w:rFonts w:ascii="Times New Roman" w:hAnsi="Times New Roman"/>
        </w:rPr>
        <w:t xml:space="preserve">intermediate </w:t>
      </w:r>
      <w:r w:rsidR="00A77C3F">
        <w:rPr>
          <w:rFonts w:ascii="Times New Roman" w:hAnsi="Times New Roman"/>
        </w:rPr>
        <w:t xml:space="preserve">burdens on natural </w:t>
      </w:r>
      <w:r w:rsidR="00B24080">
        <w:rPr>
          <w:rFonts w:ascii="Times New Roman" w:hAnsi="Times New Roman"/>
        </w:rPr>
        <w:t>interests</w:t>
      </w:r>
      <w:r w:rsidR="00DB1910">
        <w:rPr>
          <w:rStyle w:val="FootnoteReference"/>
          <w:rFonts w:ascii="Times New Roman" w:hAnsi="Times New Roman"/>
        </w:rPr>
        <w:footnoteReference w:id="249"/>
      </w:r>
      <w:r w:rsidR="000820E9">
        <w:rPr>
          <w:rFonts w:ascii="Times New Roman" w:hAnsi="Times New Roman"/>
        </w:rPr>
        <w:t xml:space="preserve"> </w:t>
      </w:r>
      <w:r w:rsidR="0089449F">
        <w:rPr>
          <w:rFonts w:ascii="Times New Roman" w:hAnsi="Times New Roman"/>
        </w:rPr>
        <w:t xml:space="preserve">In </w:t>
      </w:r>
      <w:r w:rsidR="0089449F" w:rsidRPr="00037EB5">
        <w:t>Mu</w:t>
      </w:r>
      <w:r w:rsidR="0089449F" w:rsidRPr="00037EB5">
        <w:rPr>
          <w:rFonts w:ascii="Times New Roman" w:hAnsi="Times New Roman"/>
        </w:rPr>
        <w:t>ñoz</w:t>
      </w:r>
      <w:r w:rsidR="0089449F">
        <w:rPr>
          <w:rFonts w:ascii="Times New Roman" w:hAnsi="Times New Roman"/>
        </w:rPr>
        <w:t xml:space="preserve">’s case, </w:t>
      </w:r>
      <w:r w:rsidR="006B0A86">
        <w:rPr>
          <w:rFonts w:ascii="Times New Roman" w:hAnsi="Times New Roman"/>
        </w:rPr>
        <w:t xml:space="preserve">requiring the State Department to provide a factual basis for </w:t>
      </w:r>
      <w:r w:rsidR="007A00DF">
        <w:rPr>
          <w:rFonts w:ascii="Times New Roman" w:hAnsi="Times New Roman"/>
        </w:rPr>
        <w:t>the denial of her husband’s visa seems</w:t>
      </w:r>
      <w:r w:rsidR="002A58BD">
        <w:rPr>
          <w:rFonts w:ascii="Times New Roman" w:hAnsi="Times New Roman"/>
        </w:rPr>
        <w:t xml:space="preserve"> </w:t>
      </w:r>
      <w:r w:rsidR="00872330">
        <w:rPr>
          <w:rFonts w:ascii="Times New Roman" w:hAnsi="Times New Roman"/>
        </w:rPr>
        <w:t xml:space="preserve">like a small escalation of process compared to </w:t>
      </w:r>
      <w:r w:rsidR="00340793">
        <w:rPr>
          <w:rFonts w:ascii="Times New Roman" w:hAnsi="Times New Roman"/>
        </w:rPr>
        <w:t xml:space="preserve">the </w:t>
      </w:r>
      <w:r w:rsidR="00E03744">
        <w:rPr>
          <w:rFonts w:ascii="Times New Roman" w:hAnsi="Times New Roman"/>
        </w:rPr>
        <w:t>substantial burden that denial imposes on her interest in living with her husband.</w:t>
      </w:r>
      <w:r w:rsidR="00636453">
        <w:rPr>
          <w:rStyle w:val="FootnoteReference"/>
          <w:rFonts w:ascii="Times New Roman" w:hAnsi="Times New Roman"/>
        </w:rPr>
        <w:footnoteReference w:id="250"/>
      </w:r>
      <w:r w:rsidR="002158C9">
        <w:rPr>
          <w:rFonts w:ascii="Times New Roman" w:hAnsi="Times New Roman"/>
        </w:rPr>
        <w:t xml:space="preserve"> </w:t>
      </w:r>
      <w:r w:rsidR="00A573F7">
        <w:rPr>
          <w:rFonts w:ascii="Times New Roman" w:hAnsi="Times New Roman"/>
        </w:rPr>
        <w:t xml:space="preserve">Regardless of </w:t>
      </w:r>
      <w:r w:rsidR="00316006">
        <w:rPr>
          <w:rFonts w:ascii="Times New Roman" w:hAnsi="Times New Roman"/>
        </w:rPr>
        <w:t xml:space="preserve">which procedures the Court prescribed, however, the Epicurean approach refocuses the substantive due process inquiry on the appropriate questions and </w:t>
      </w:r>
      <w:r w:rsidR="00884944">
        <w:rPr>
          <w:rFonts w:ascii="Times New Roman" w:hAnsi="Times New Roman"/>
        </w:rPr>
        <w:t>expands</w:t>
      </w:r>
      <w:r w:rsidR="00E0511E">
        <w:rPr>
          <w:rFonts w:ascii="Times New Roman" w:hAnsi="Times New Roman"/>
        </w:rPr>
        <w:t xml:space="preserve"> its options beyond strict scrutiny. After all, there are many more animals than fish and fowl</w:t>
      </w:r>
      <w:r w:rsidR="00E02869">
        <w:rPr>
          <w:rFonts w:ascii="Times New Roman" w:hAnsi="Times New Roman"/>
        </w:rPr>
        <w:t>,</w:t>
      </w:r>
      <w:r w:rsidR="0043203E">
        <w:rPr>
          <w:rStyle w:val="FootnoteReference"/>
          <w:rFonts w:ascii="Times New Roman" w:hAnsi="Times New Roman"/>
        </w:rPr>
        <w:footnoteReference w:id="251"/>
      </w:r>
      <w:r w:rsidR="00E02869">
        <w:rPr>
          <w:rFonts w:ascii="Times New Roman" w:hAnsi="Times New Roman"/>
        </w:rPr>
        <w:t xml:space="preserve"> and our world is impoverished by pretending otherwise.</w:t>
      </w:r>
      <w:r w:rsidR="00316006">
        <w:rPr>
          <w:rFonts w:ascii="Times New Roman" w:hAnsi="Times New Roman"/>
        </w:rPr>
        <w:t xml:space="preserve"> </w:t>
      </w:r>
    </w:p>
    <w:p w14:paraId="10584346" w14:textId="77777777" w:rsidR="00E5083B" w:rsidRDefault="00E5083B" w:rsidP="00E5083B">
      <w:pPr>
        <w:ind w:firstLine="720"/>
        <w:rPr>
          <w:rFonts w:ascii="Times New Roman" w:hAnsi="Times New Roman"/>
        </w:rPr>
      </w:pPr>
    </w:p>
    <w:p w14:paraId="52657F1C" w14:textId="360A154B" w:rsidR="00B46B28" w:rsidRPr="00FD6FF6" w:rsidRDefault="00B46B28" w:rsidP="00B46B28">
      <w:pPr>
        <w:pStyle w:val="Heading3"/>
      </w:pPr>
      <w:r>
        <w:t>The Emptiness of Domination</w:t>
      </w:r>
    </w:p>
    <w:p w14:paraId="0AA401C5" w14:textId="77777777" w:rsidR="00675A1E" w:rsidRDefault="00675A1E" w:rsidP="009305AE">
      <w:pPr>
        <w:ind w:firstLine="720"/>
      </w:pPr>
    </w:p>
    <w:p w14:paraId="656EB48E" w14:textId="44728418" w:rsidR="003074E7" w:rsidRDefault="007114AA" w:rsidP="00522B10">
      <w:pPr>
        <w:ind w:firstLine="720"/>
      </w:pPr>
      <w:r>
        <w:t>Anyone familiar with the history of domination may flinch away from</w:t>
      </w:r>
      <w:r w:rsidR="00E24F29">
        <w:t xml:space="preserve"> the use of “natural” as a criterion for the relative importance of a liberty interest.</w:t>
      </w:r>
      <w:r w:rsidR="000E391F">
        <w:t xml:space="preserve"> </w:t>
      </w:r>
      <w:r w:rsidR="00553CE6">
        <w:t xml:space="preserve">American governments have prohibited women from </w:t>
      </w:r>
      <w:r w:rsidR="00B96F94">
        <w:t>being lawyers</w:t>
      </w:r>
      <w:r w:rsidR="00553CE6">
        <w:t>,</w:t>
      </w:r>
      <w:r w:rsidR="00A951E6">
        <w:rPr>
          <w:rStyle w:val="FootnoteReference"/>
        </w:rPr>
        <w:footnoteReference w:id="252"/>
      </w:r>
      <w:r w:rsidR="00553CE6">
        <w:t xml:space="preserve"> people of different races from marrying,</w:t>
      </w:r>
      <w:r w:rsidR="00803DAC">
        <w:rPr>
          <w:rStyle w:val="FootnoteReference"/>
        </w:rPr>
        <w:footnoteReference w:id="253"/>
      </w:r>
      <w:r w:rsidR="00553CE6">
        <w:t xml:space="preserve"> and people of the same gender from having sex</w:t>
      </w:r>
      <w:r w:rsidR="00B96F94">
        <w:rPr>
          <w:rStyle w:val="FootnoteReference"/>
        </w:rPr>
        <w:footnoteReference w:id="254"/>
      </w:r>
      <w:r w:rsidR="00CC6B83">
        <w:t>—all because such things are supposed</w:t>
      </w:r>
      <w:r w:rsidR="00A951E6">
        <w:t>ly</w:t>
      </w:r>
      <w:r w:rsidR="00CC6B83">
        <w:t xml:space="preserve"> “unnatural.”</w:t>
      </w:r>
      <w:r w:rsidR="00FA7696">
        <w:t xml:space="preserve"> To make matters worse, the term “natural law” has become associated with</w:t>
      </w:r>
      <w:r w:rsidR="00557AEF">
        <w:t xml:space="preserve"> a strain of regressive legal scholarship</w:t>
      </w:r>
      <w:r w:rsidR="000D74DB">
        <w:t xml:space="preserve"> </w:t>
      </w:r>
      <w:r w:rsidR="00781B49">
        <w:t xml:space="preserve">over the past </w:t>
      </w:r>
      <w:r w:rsidR="00326D12">
        <w:t>century</w:t>
      </w:r>
      <w:r w:rsidR="00E32E26">
        <w:t xml:space="preserve"> that has</w:t>
      </w:r>
      <w:r w:rsidR="00364B24">
        <w:t xml:space="preserve"> attempted to justify such oppression.</w:t>
      </w:r>
      <w:r w:rsidR="00364B24">
        <w:rPr>
          <w:rStyle w:val="FootnoteReference"/>
        </w:rPr>
        <w:footnoteReference w:id="255"/>
      </w:r>
      <w:r w:rsidR="00DE2891">
        <w:t xml:space="preserve"> </w:t>
      </w:r>
      <w:r w:rsidR="00ED0A06">
        <w:t>To emphasize that t</w:t>
      </w:r>
      <w:r w:rsidR="00EC4864">
        <w:t xml:space="preserve">he Epicurean approach is not a Trojan horse whereby </w:t>
      </w:r>
      <w:r w:rsidR="00201304">
        <w:t>these and similar</w:t>
      </w:r>
      <w:r w:rsidR="00EC4864">
        <w:t xml:space="preserve"> tyrannies may be reintroduced </w:t>
      </w:r>
      <w:r w:rsidR="00ED1FEF">
        <w:t>in the guise of “nature</w:t>
      </w:r>
      <w:r w:rsidR="00ED0A06">
        <w:t>,</w:t>
      </w:r>
      <w:r w:rsidR="00ED1FEF">
        <w:t xml:space="preserve">” </w:t>
      </w:r>
      <w:r w:rsidR="00277C6F">
        <w:t>this section</w:t>
      </w:r>
      <w:r w:rsidR="00775A12">
        <w:t xml:space="preserve"> </w:t>
      </w:r>
      <w:r w:rsidR="006F3194">
        <w:t xml:space="preserve">clarifies </w:t>
      </w:r>
      <w:r w:rsidR="006F3194">
        <w:lastRenderedPageBreak/>
        <w:t>what the</w:t>
      </w:r>
      <w:r w:rsidR="00DB702B">
        <w:t xml:space="preserve"> Epicurean </w:t>
      </w:r>
      <w:r w:rsidR="006F3194">
        <w:t xml:space="preserve">classification </w:t>
      </w:r>
      <w:r w:rsidR="00DB702B">
        <w:t>of “natural”</w:t>
      </w:r>
      <w:r w:rsidR="006F3194">
        <w:t xml:space="preserve"> includes.</w:t>
      </w:r>
    </w:p>
    <w:p w14:paraId="0CDA2124" w14:textId="77777777" w:rsidR="007A7A31" w:rsidRDefault="007A7A31" w:rsidP="009305AE">
      <w:pPr>
        <w:ind w:firstLine="720"/>
      </w:pPr>
    </w:p>
    <w:p w14:paraId="124AFB21" w14:textId="7A283C53" w:rsidR="006F3194" w:rsidRDefault="00F462F6" w:rsidP="009305AE">
      <w:pPr>
        <w:ind w:firstLine="720"/>
      </w:pPr>
      <w:r>
        <w:t>Let me begin with what the Epicurean classification of “natural” does</w:t>
      </w:r>
      <w:r w:rsidR="0007081A">
        <w:t xml:space="preserve"> </w:t>
      </w:r>
      <w:r w:rsidR="0007081A" w:rsidRPr="00FC4350">
        <w:rPr>
          <w:i/>
          <w:iCs/>
        </w:rPr>
        <w:t>not</w:t>
      </w:r>
      <w:r w:rsidR="0007081A">
        <w:t xml:space="preserve"> include. </w:t>
      </w:r>
      <w:r w:rsidR="00F178A4">
        <w:t>Virtually every human society is</w:t>
      </w:r>
      <w:r w:rsidR="00FD7208">
        <w:t xml:space="preserve"> structured according to group-based social hierarchies.</w:t>
      </w:r>
      <w:r w:rsidR="00FD7208">
        <w:rPr>
          <w:rStyle w:val="FootnoteReference"/>
        </w:rPr>
        <w:footnoteReference w:id="256"/>
      </w:r>
      <w:r w:rsidR="00AC292D">
        <w:t xml:space="preserve"> </w:t>
      </w:r>
      <w:r w:rsidR="009816BA">
        <w:t xml:space="preserve">Within such hierarchies, members of dominant groups </w:t>
      </w:r>
      <w:r w:rsidR="00C42651">
        <w:t>“</w:t>
      </w:r>
      <w:r w:rsidR="00CC583D">
        <w:t xml:space="preserve">systematically </w:t>
      </w:r>
      <w:r w:rsidR="00C42651">
        <w:t>enjoy</w:t>
      </w:r>
      <w:r w:rsidR="00CC583D">
        <w:t xml:space="preserve"> a disproportionate share of </w:t>
      </w:r>
      <w:r w:rsidR="00C42651">
        <w:t>power and resources at the expense of members of subordinated groups</w:t>
      </w:r>
      <w:r w:rsidR="00A70FF1">
        <w:t>[.]”</w:t>
      </w:r>
      <w:r w:rsidR="002A69D5">
        <w:rPr>
          <w:rStyle w:val="FootnoteReference"/>
        </w:rPr>
        <w:footnoteReference w:id="257"/>
      </w:r>
      <w:r w:rsidR="00E61F4B">
        <w:t xml:space="preserve"> </w:t>
      </w:r>
      <w:r w:rsidR="004B2446">
        <w:t xml:space="preserve">The threat of violent force is </w:t>
      </w:r>
      <w:r w:rsidR="007E7C97">
        <w:t>necessary but insufficient for dominant groups to achieve and maintain their position.</w:t>
      </w:r>
      <w:bookmarkStart w:id="85" w:name="_Ref178932070"/>
      <w:r w:rsidR="007E7C97">
        <w:rPr>
          <w:rStyle w:val="FootnoteReference"/>
        </w:rPr>
        <w:footnoteReference w:id="258"/>
      </w:r>
      <w:bookmarkEnd w:id="85"/>
      <w:r w:rsidR="00724B01">
        <w:t xml:space="preserve"> </w:t>
      </w:r>
      <w:r w:rsidR="00703FDF">
        <w:t>Dominant groups</w:t>
      </w:r>
      <w:r w:rsidR="00B568C4">
        <w:t xml:space="preserve"> </w:t>
      </w:r>
      <w:r w:rsidR="00016F7B">
        <w:t xml:space="preserve">also seek to naturalize their </w:t>
      </w:r>
      <w:r w:rsidR="00E629C1">
        <w:t>domi</w:t>
      </w:r>
      <w:r w:rsidR="00DA75CE">
        <w:t xml:space="preserve">nation </w:t>
      </w:r>
      <w:r w:rsidR="00262139">
        <w:t xml:space="preserve">via </w:t>
      </w:r>
      <w:r w:rsidR="006217AA">
        <w:t>some</w:t>
      </w:r>
      <w:r w:rsidR="00194A66">
        <w:t xml:space="preserve"> ideology.</w:t>
      </w:r>
      <w:r w:rsidR="0072599E">
        <w:rPr>
          <w:rStyle w:val="FootnoteReference"/>
        </w:rPr>
        <w:footnoteReference w:id="259"/>
      </w:r>
      <w:r w:rsidR="00194A66">
        <w:t xml:space="preserve"> In other words, </w:t>
      </w:r>
      <w:r w:rsidR="002910EF">
        <w:t xml:space="preserve">dominant groups seek to make their domination seem </w:t>
      </w:r>
      <w:r w:rsidR="00324B25">
        <w:t xml:space="preserve">a function of nature rather than something </w:t>
      </w:r>
      <w:r w:rsidR="00E97A82">
        <w:t xml:space="preserve">the dominant group itself has </w:t>
      </w:r>
      <w:r w:rsidR="00324B25">
        <w:t xml:space="preserve">artificially imposed </w:t>
      </w:r>
      <w:r w:rsidR="00AD78F2">
        <w:t>upon</w:t>
      </w:r>
      <w:r w:rsidR="00324B25">
        <w:t xml:space="preserve"> society.</w:t>
      </w:r>
      <w:r w:rsidR="00394C16">
        <w:t xml:space="preserve"> Thus, men have claimed that it is “natural” for them to rule over women; white people that it is “natural” for them to </w:t>
      </w:r>
      <w:r w:rsidR="00700D76">
        <w:t xml:space="preserve">enslave non-white people; religious majorities that it is “natural” to outlaw dissident faiths and practices; and </w:t>
      </w:r>
      <w:r w:rsidR="00EE3F17">
        <w:t>heterosexual</w:t>
      </w:r>
      <w:r w:rsidR="00700D76">
        <w:t xml:space="preserve"> people that is “natural” to forbid other forms of </w:t>
      </w:r>
      <w:r w:rsidR="00003FFE">
        <w:t>sexual activity.</w:t>
      </w:r>
      <w:r w:rsidR="00394C16">
        <w:t xml:space="preserve"> </w:t>
      </w:r>
    </w:p>
    <w:p w14:paraId="1222BDDC" w14:textId="77777777" w:rsidR="0072599E" w:rsidRDefault="0072599E" w:rsidP="009305AE">
      <w:pPr>
        <w:ind w:firstLine="720"/>
      </w:pPr>
    </w:p>
    <w:p w14:paraId="26CDCB46" w14:textId="2D0E6415" w:rsidR="0072599E" w:rsidRDefault="008B7E99" w:rsidP="009305AE">
      <w:pPr>
        <w:ind w:firstLine="720"/>
      </w:pPr>
      <w:r>
        <w:t xml:space="preserve">Recall that </w:t>
      </w:r>
      <w:r w:rsidR="00B576B8">
        <w:t xml:space="preserve">Epicurus limited natural desires to those </w:t>
      </w:r>
      <w:r w:rsidR="00BC0C1C">
        <w:t xml:space="preserve">over which humans have </w:t>
      </w:r>
      <w:r>
        <w:t xml:space="preserve">no control, </w:t>
      </w:r>
      <w:r w:rsidR="00431EF9">
        <w:t>such that failing to fulfill them brings pain or even death.</w:t>
      </w:r>
      <w:r w:rsidR="00BF5AE0">
        <w:rPr>
          <w:rStyle w:val="FootnoteReference"/>
        </w:rPr>
        <w:footnoteReference w:id="260"/>
      </w:r>
      <w:r w:rsidR="00A772D2">
        <w:t xml:space="preserve"> </w:t>
      </w:r>
      <w:r w:rsidR="001A7F85">
        <w:t xml:space="preserve">So defined, Epicurean “naturalness” is subject to </w:t>
      </w:r>
      <w:r w:rsidR="00F84BDE">
        <w:t>easy</w:t>
      </w:r>
      <w:r w:rsidR="00464969">
        <w:t xml:space="preserve"> </w:t>
      </w:r>
      <w:r w:rsidR="001A7F85">
        <w:t>empirical verification</w:t>
      </w:r>
      <w:r w:rsidR="00F134F6">
        <w:t>:</w:t>
      </w:r>
      <w:r w:rsidR="006F0C68">
        <w:t xml:space="preserve"> </w:t>
      </w:r>
      <w:r w:rsidR="00B53994">
        <w:t xml:space="preserve">If the fulfillment of </w:t>
      </w:r>
      <w:r w:rsidR="00F134F6">
        <w:t xml:space="preserve">a desire is withheld, does </w:t>
      </w:r>
      <w:r w:rsidR="000D5BEE">
        <w:t xml:space="preserve">pain or death </w:t>
      </w:r>
      <w:r w:rsidR="002A721A">
        <w:t xml:space="preserve">necessarily </w:t>
      </w:r>
      <w:r w:rsidR="000D5BEE">
        <w:t>ensue?</w:t>
      </w:r>
      <w:r w:rsidR="00DC2D7A">
        <w:rPr>
          <w:rStyle w:val="FootnoteReference"/>
        </w:rPr>
        <w:footnoteReference w:id="261"/>
      </w:r>
      <w:r w:rsidR="000D5BEE">
        <w:t xml:space="preserve"> If so</w:t>
      </w:r>
      <w:r w:rsidR="002A721A">
        <w:t xml:space="preserve">, </w:t>
      </w:r>
      <w:r w:rsidR="00FB2194">
        <w:t xml:space="preserve">the desire qualifies as natural. If not, it </w:t>
      </w:r>
      <w:r w:rsidR="002A721A">
        <w:t>does</w:t>
      </w:r>
      <w:r w:rsidR="00FB2194">
        <w:t xml:space="preserve"> not. </w:t>
      </w:r>
    </w:p>
    <w:p w14:paraId="235F1C99" w14:textId="77777777" w:rsidR="00D1154C" w:rsidRDefault="00D1154C" w:rsidP="009305AE">
      <w:pPr>
        <w:ind w:firstLine="720"/>
      </w:pPr>
    </w:p>
    <w:p w14:paraId="3E586245" w14:textId="355A378C" w:rsidR="00DD1A66" w:rsidRDefault="0002377B" w:rsidP="009305AE">
      <w:pPr>
        <w:ind w:firstLine="720"/>
      </w:pPr>
      <w:r>
        <w:t xml:space="preserve">Hierarchies of domination obviously fail this simple test. </w:t>
      </w:r>
      <w:r w:rsidR="00F84BDE">
        <w:t xml:space="preserve">The </w:t>
      </w:r>
      <w:r w:rsidR="00A450D6">
        <w:t xml:space="preserve">very fact </w:t>
      </w:r>
      <w:r w:rsidR="00D671A1">
        <w:t xml:space="preserve">that dominant groups have defined themselves according to so many </w:t>
      </w:r>
      <w:r w:rsidR="00812515">
        <w:t>different characteristics across space and time illustrate</w:t>
      </w:r>
      <w:r w:rsidR="002E0825">
        <w:t>s that their dominance is not natural.</w:t>
      </w:r>
      <w:r w:rsidR="00EB3632">
        <w:rPr>
          <w:rStyle w:val="FootnoteReference"/>
        </w:rPr>
        <w:footnoteReference w:id="262"/>
      </w:r>
      <w:r w:rsidR="00704C5B">
        <w:t xml:space="preserve"> </w:t>
      </w:r>
      <w:r w:rsidR="000040DC">
        <w:t xml:space="preserve">Harm does not inevitably ensue </w:t>
      </w:r>
      <w:r w:rsidR="00A10942">
        <w:t xml:space="preserve">if white people </w:t>
      </w:r>
      <w:r w:rsidR="00A10942">
        <w:lastRenderedPageBreak/>
        <w:t>do not rule over nonwhite people—</w:t>
      </w:r>
      <w:r w:rsidR="00394526">
        <w:t xml:space="preserve">indeed, </w:t>
      </w:r>
      <w:r w:rsidR="00A10942">
        <w:t xml:space="preserve">quite the opposite. </w:t>
      </w:r>
      <w:r w:rsidR="00394526">
        <w:t xml:space="preserve">If certain white people experience psychological pain from their inability to fulfill their desire to rule over nonwhite people, Epicurus </w:t>
      </w:r>
      <w:proofErr w:type="gramStart"/>
      <w:r w:rsidR="00394526">
        <w:t>would</w:t>
      </w:r>
      <w:proofErr w:type="gramEnd"/>
      <w:r w:rsidR="00394526">
        <w:t xml:space="preserve"> define such a desire as “empty</w:t>
      </w:r>
      <w:r w:rsidR="00470EF5">
        <w:t>,</w:t>
      </w:r>
      <w:r w:rsidR="00394526">
        <w:t>”</w:t>
      </w:r>
      <w:r w:rsidR="00470EF5">
        <w:t xml:space="preserve"> based on the false belief that such dominance is</w:t>
      </w:r>
      <w:r w:rsidR="00376A7D">
        <w:t xml:space="preserve"> necessary for their happiness.</w:t>
      </w:r>
      <w:r w:rsidR="00376A7D">
        <w:rPr>
          <w:rStyle w:val="FootnoteReference"/>
        </w:rPr>
        <w:footnoteReference w:id="263"/>
      </w:r>
      <w:r w:rsidR="00394526">
        <w:t xml:space="preserve"> </w:t>
      </w:r>
    </w:p>
    <w:p w14:paraId="36DF67EB" w14:textId="77777777" w:rsidR="00DD1A66" w:rsidRDefault="00DD1A66" w:rsidP="009305AE">
      <w:pPr>
        <w:ind w:firstLine="720"/>
      </w:pPr>
    </w:p>
    <w:p w14:paraId="278F2CF4" w14:textId="42539F06" w:rsidR="00D1154C" w:rsidRDefault="00BC3792" w:rsidP="009305AE">
      <w:pPr>
        <w:ind w:firstLine="720"/>
      </w:pPr>
      <w:r>
        <w:t xml:space="preserve">Even when dominant groups have lost their dominance, </w:t>
      </w:r>
      <w:r w:rsidR="006A240B">
        <w:t xml:space="preserve">echoes of the dominant ideology tend to linger. </w:t>
      </w:r>
      <w:r w:rsidR="00E27E25">
        <w:t xml:space="preserve">Depending on the totality </w:t>
      </w:r>
      <w:r w:rsidR="00811538">
        <w:t xml:space="preserve">of a dominant group’s control and the length of their rule, </w:t>
      </w:r>
      <w:r w:rsidR="002908BF">
        <w:t xml:space="preserve">it may take generations to recognize and </w:t>
      </w:r>
      <w:r w:rsidR="0021570F">
        <w:t xml:space="preserve">root out </w:t>
      </w:r>
      <w:r w:rsidR="0069236B">
        <w:t>tenets of dominant ideology masquerading as “common sense” beliefs.</w:t>
      </w:r>
      <w:r w:rsidR="0069236B">
        <w:rPr>
          <w:rStyle w:val="FootnoteReference"/>
        </w:rPr>
        <w:footnoteReference w:id="264"/>
      </w:r>
      <w:r w:rsidR="002908BF">
        <w:t xml:space="preserve"> </w:t>
      </w:r>
      <w:r w:rsidR="00432F30">
        <w:t xml:space="preserve">From a non-Epicurean perspective, </w:t>
      </w:r>
      <w:r w:rsidR="00F25715">
        <w:t>this process may seem like the discovery of “new” natural desires.</w:t>
      </w:r>
      <w:r w:rsidR="00253462">
        <w:rPr>
          <w:rStyle w:val="FootnoteReference"/>
        </w:rPr>
        <w:footnoteReference w:id="265"/>
      </w:r>
      <w:r w:rsidR="00F25715">
        <w:t xml:space="preserve"> But it is actually </w:t>
      </w:r>
      <w:r w:rsidR="001A2F0F">
        <w:t xml:space="preserve">the stripping away of </w:t>
      </w:r>
      <w:r w:rsidR="00530776">
        <w:t xml:space="preserve">the empty beliefs that </w:t>
      </w:r>
      <w:r w:rsidR="00584F5B">
        <w:t>propped up domination and inhibited human happiness.</w:t>
      </w:r>
    </w:p>
    <w:p w14:paraId="76368916" w14:textId="77777777" w:rsidR="001E7532" w:rsidRDefault="001E7532" w:rsidP="001E7532">
      <w:pPr>
        <w:ind w:firstLine="0"/>
      </w:pPr>
    </w:p>
    <w:p w14:paraId="25F3C046" w14:textId="7F1572CC" w:rsidR="001E7532" w:rsidRDefault="001E7532" w:rsidP="001E7532">
      <w:pPr>
        <w:pStyle w:val="Heading3"/>
      </w:pPr>
      <w:r>
        <w:t>The Naturalness of Gender</w:t>
      </w:r>
      <w:r w:rsidR="00402233">
        <w:t xml:space="preserve"> Identity</w:t>
      </w:r>
    </w:p>
    <w:p w14:paraId="5C510080" w14:textId="77777777" w:rsidR="001E7532" w:rsidRDefault="001E7532" w:rsidP="001E7532"/>
    <w:p w14:paraId="7FD07FE9" w14:textId="6E05AA54" w:rsidR="001E7532" w:rsidRDefault="000F0752" w:rsidP="00D90540">
      <w:pPr>
        <w:ind w:firstLine="720"/>
      </w:pPr>
      <w:r>
        <w:t xml:space="preserve">The </w:t>
      </w:r>
      <w:r w:rsidR="00315105">
        <w:t>final</w:t>
      </w:r>
      <w:r>
        <w:t xml:space="preserve"> step in this subsection is to apply the Epicurean approach to bans on gender-affirming healthcare for transgender people.</w:t>
      </w:r>
      <w:r w:rsidR="008A46DE">
        <w:t xml:space="preserve"> </w:t>
      </w:r>
      <w:r w:rsidR="0069474A">
        <w:t xml:space="preserve">To simplify the analysis, assume that one of </w:t>
      </w:r>
      <w:r w:rsidR="0039317A">
        <w:t xml:space="preserve">the states that </w:t>
      </w:r>
      <w:r w:rsidR="00BF519B">
        <w:t>bans</w:t>
      </w:r>
      <w:r w:rsidR="0039317A">
        <w:t xml:space="preserve"> gender-affirming healthcare for minors</w:t>
      </w:r>
      <w:r w:rsidR="0039317A">
        <w:rPr>
          <w:rStyle w:val="FootnoteReference"/>
        </w:rPr>
        <w:footnoteReference w:id="266"/>
      </w:r>
      <w:r w:rsidR="005E5DFA">
        <w:t xml:space="preserve"> extends </w:t>
      </w:r>
      <w:r w:rsidR="00BF519B">
        <w:t>its</w:t>
      </w:r>
      <w:r w:rsidR="005E5DFA">
        <w:t xml:space="preserve"> ban to cover all individuals regardless of age.</w:t>
      </w:r>
      <w:r w:rsidR="005E5DFA">
        <w:rPr>
          <w:rStyle w:val="FootnoteReference"/>
        </w:rPr>
        <w:footnoteReference w:id="267"/>
      </w:r>
      <w:r w:rsidR="005E5DFA">
        <w:t xml:space="preserve"> </w:t>
      </w:r>
      <w:r w:rsidR="00BA07E7">
        <w:t>In other words</w:t>
      </w:r>
      <w:r w:rsidR="00D52934">
        <w:t xml:space="preserve">, the state bans </w:t>
      </w:r>
      <w:r w:rsidR="00D8705A">
        <w:t xml:space="preserve">the use of </w:t>
      </w:r>
      <w:r w:rsidR="00D52934">
        <w:t xml:space="preserve">any medical treatment—including </w:t>
      </w:r>
      <w:r w:rsidR="006D5437">
        <w:t xml:space="preserve">but not limited to </w:t>
      </w:r>
      <w:r w:rsidR="00D52934">
        <w:t xml:space="preserve">hormone replacement therapy </w:t>
      </w:r>
      <w:r w:rsidR="00D8705A">
        <w:t>in any form and surgery of any kind—to accomplish gender transition</w:t>
      </w:r>
      <w:r w:rsidR="00BA07E7">
        <w:t>.</w:t>
      </w:r>
      <w:r w:rsidR="00966297">
        <w:t xml:space="preserve"> </w:t>
      </w:r>
      <w:r w:rsidR="000A6B0B">
        <w:t xml:space="preserve">An adult </w:t>
      </w:r>
      <w:r w:rsidR="006B2A8E">
        <w:t xml:space="preserve">resident of the state </w:t>
      </w:r>
      <w:r w:rsidR="006D5437">
        <w:t>who desires medical treatment</w:t>
      </w:r>
      <w:r w:rsidR="004B45C6">
        <w:t xml:space="preserve"> for gender transition</w:t>
      </w:r>
      <w:r w:rsidR="006D5437">
        <w:t xml:space="preserve"> </w:t>
      </w:r>
      <w:r w:rsidR="006B2A8E">
        <w:t xml:space="preserve">challenges the ban on substantive </w:t>
      </w:r>
      <w:r w:rsidR="00E67F31">
        <w:t>due process grounds. What result?</w:t>
      </w:r>
    </w:p>
    <w:p w14:paraId="69485446" w14:textId="77777777" w:rsidR="00E67F31" w:rsidRDefault="00E67F31" w:rsidP="00D90540">
      <w:pPr>
        <w:ind w:firstLine="720"/>
      </w:pPr>
    </w:p>
    <w:p w14:paraId="25AE5337" w14:textId="4F4B3407" w:rsidR="00E67F31" w:rsidRDefault="00E67F31" w:rsidP="00D90540">
      <w:pPr>
        <w:ind w:firstLine="720"/>
      </w:pPr>
      <w:r>
        <w:t xml:space="preserve">Under the Epicurean approach, the </w:t>
      </w:r>
      <w:r w:rsidR="006D5437">
        <w:t xml:space="preserve">analysis begins by </w:t>
      </w:r>
      <w:r w:rsidR="001F6E8C">
        <w:t>acknowledging the</w:t>
      </w:r>
      <w:r w:rsidR="00ED0498">
        <w:t xml:space="preserve"> individual’s subjective</w:t>
      </w:r>
      <w:r w:rsidR="001F6E8C">
        <w:t xml:space="preserve"> desire to seek medical treatment </w:t>
      </w:r>
      <w:r w:rsidR="00ED0498">
        <w:t>for gender transition as a liberty interest.</w:t>
      </w:r>
      <w:r w:rsidR="00ED0498">
        <w:rPr>
          <w:rStyle w:val="FootnoteReference"/>
        </w:rPr>
        <w:footnoteReference w:id="268"/>
      </w:r>
      <w:r w:rsidR="007637EA">
        <w:t xml:space="preserve"> It proceeds by </w:t>
      </w:r>
      <w:r w:rsidR="00A823F5">
        <w:t xml:space="preserve">assessing the </w:t>
      </w:r>
      <w:r w:rsidR="00A823F5" w:rsidRPr="00F604EB">
        <w:rPr>
          <w:i/>
          <w:iCs/>
        </w:rPr>
        <w:t>naturalness</w:t>
      </w:r>
      <w:r w:rsidR="00A823F5">
        <w:t>—in the Epicurean sense—of that desire.</w:t>
      </w:r>
      <w:r w:rsidR="009605F4">
        <w:rPr>
          <w:rStyle w:val="FootnoteReference"/>
        </w:rPr>
        <w:footnoteReference w:id="269"/>
      </w:r>
      <w:r w:rsidR="00076A11">
        <w:t xml:space="preserve"> </w:t>
      </w:r>
      <w:r w:rsidR="004E1A9C">
        <w:t xml:space="preserve">The </w:t>
      </w:r>
      <w:r w:rsidR="00771988">
        <w:t xml:space="preserve">vast majority of humans experience the need to align their bodies with their internal sense of </w:t>
      </w:r>
      <w:r w:rsidR="00771988">
        <w:lastRenderedPageBreak/>
        <w:t xml:space="preserve">gender as </w:t>
      </w:r>
      <w:r w:rsidR="005757A8">
        <w:t>a pressing need</w:t>
      </w:r>
      <w:r w:rsidR="00E41006">
        <w:t>.</w:t>
      </w:r>
      <w:r w:rsidR="00E41006">
        <w:rPr>
          <w:rStyle w:val="FootnoteReference"/>
        </w:rPr>
        <w:footnoteReference w:id="270"/>
      </w:r>
      <w:r w:rsidR="0043700D">
        <w:t xml:space="preserve"> </w:t>
      </w:r>
      <w:r w:rsidR="00BB2F15">
        <w:t>Indeed, th</w:t>
      </w:r>
      <w:r w:rsidR="00A9452E">
        <w:t xml:space="preserve">e need is so pressing that most cisgender individuals routinely fulfill it </w:t>
      </w:r>
      <w:r w:rsidR="000D1A92">
        <w:t xml:space="preserve">without conscious thought, </w:t>
      </w:r>
      <w:r w:rsidR="00DA1118">
        <w:t>which they may do because</w:t>
      </w:r>
      <w:r w:rsidR="000D1A92">
        <w:t xml:space="preserve"> their bodies already align with their internal sense of gender.</w:t>
      </w:r>
      <w:r w:rsidR="004502BC">
        <w:rPr>
          <w:rStyle w:val="FootnoteReference"/>
        </w:rPr>
        <w:footnoteReference w:id="271"/>
      </w:r>
      <w:r w:rsidR="00DA1118">
        <w:t xml:space="preserve"> </w:t>
      </w:r>
      <w:r w:rsidR="00734E16">
        <w:t xml:space="preserve">Importantly, however, even some cisgender people pursue </w:t>
      </w:r>
      <w:r w:rsidR="00784A69">
        <w:t xml:space="preserve">medical treatment for gender-affirming purposes. </w:t>
      </w:r>
      <w:r w:rsidR="00043DA3">
        <w:t xml:space="preserve">Cisgender men may </w:t>
      </w:r>
      <w:r w:rsidR="001005C7">
        <w:t xml:space="preserve">undergo </w:t>
      </w:r>
      <w:r w:rsidR="00440145">
        <w:t xml:space="preserve">hormonal therapy or </w:t>
      </w:r>
      <w:r w:rsidR="001005C7">
        <w:t>breast reduction surgery to treat gynecomastia,</w:t>
      </w:r>
      <w:r w:rsidR="004A27DA">
        <w:t xml:space="preserve"> </w:t>
      </w:r>
      <w:r w:rsidR="00664D63">
        <w:t xml:space="preserve">a condition </w:t>
      </w:r>
      <w:r w:rsidR="004A27DA">
        <w:t xml:space="preserve">defined </w:t>
      </w:r>
      <w:r w:rsidR="00664D63">
        <w:t xml:space="preserve">by </w:t>
      </w:r>
      <w:r w:rsidR="004A27DA">
        <w:t xml:space="preserve">breast growth </w:t>
      </w:r>
      <w:r w:rsidR="00CD238A">
        <w:t>considered larger-than-</w:t>
      </w:r>
      <w:r w:rsidR="00C520B6">
        <w:t>average</w:t>
      </w:r>
      <w:r w:rsidR="00CD238A">
        <w:t xml:space="preserve"> for assigned male individuals.</w:t>
      </w:r>
      <w:r w:rsidR="00CD238A">
        <w:rPr>
          <w:rStyle w:val="FootnoteReference"/>
        </w:rPr>
        <w:footnoteReference w:id="272"/>
      </w:r>
      <w:r w:rsidR="004A27DA">
        <w:t xml:space="preserve"> </w:t>
      </w:r>
      <w:r w:rsidR="00C27080">
        <w:t xml:space="preserve">Cisgender women </w:t>
      </w:r>
      <w:r w:rsidR="00576773">
        <w:t xml:space="preserve">also commonly undergo surgeries </w:t>
      </w:r>
      <w:r w:rsidR="00163F91">
        <w:t xml:space="preserve">such as breast augmentation </w:t>
      </w:r>
      <w:r w:rsidR="00396057">
        <w:t xml:space="preserve">to enhance </w:t>
      </w:r>
      <w:r w:rsidR="005E06D1">
        <w:t>physical features associated with feminine gender identity</w:t>
      </w:r>
      <w:r w:rsidR="00891298">
        <w:t>.</w:t>
      </w:r>
      <w:bookmarkStart w:id="86" w:name="_Ref184296575"/>
      <w:r w:rsidR="00891298">
        <w:rPr>
          <w:rStyle w:val="FootnoteReference"/>
        </w:rPr>
        <w:footnoteReference w:id="273"/>
      </w:r>
      <w:bookmarkEnd w:id="86"/>
      <w:r w:rsidR="00576773">
        <w:t xml:space="preserve"> </w:t>
      </w:r>
    </w:p>
    <w:p w14:paraId="1169883D" w14:textId="77777777" w:rsidR="00603A08" w:rsidRDefault="00603A08" w:rsidP="00D90540">
      <w:pPr>
        <w:ind w:firstLine="720"/>
      </w:pPr>
    </w:p>
    <w:p w14:paraId="3F9DC6BB" w14:textId="18A43DCE" w:rsidR="00603A08" w:rsidRPr="00C8545A" w:rsidRDefault="00591115" w:rsidP="00D90540">
      <w:pPr>
        <w:ind w:firstLine="720"/>
      </w:pPr>
      <w:r>
        <w:t xml:space="preserve">The naturalness of the </w:t>
      </w:r>
      <w:r w:rsidR="003C5343">
        <w:t xml:space="preserve">desire for internal/external gender alignment is </w:t>
      </w:r>
      <w:r w:rsidR="005F2980">
        <w:t xml:space="preserve">reinforced by the pain </w:t>
      </w:r>
      <w:r w:rsidR="00204834">
        <w:t>caused by the frustration of that desire</w:t>
      </w:r>
      <w:r w:rsidR="005F2980">
        <w:t>.</w:t>
      </w:r>
      <w:r w:rsidR="002D65C7">
        <w:rPr>
          <w:rStyle w:val="FootnoteReference"/>
        </w:rPr>
        <w:footnoteReference w:id="274"/>
      </w:r>
      <w:r w:rsidR="00EB4182">
        <w:t xml:space="preserve"> </w:t>
      </w:r>
      <w:r w:rsidR="00204834">
        <w:t>The resulting psychological distress</w:t>
      </w:r>
      <w:r w:rsidR="00012F79">
        <w:t xml:space="preserve">, </w:t>
      </w:r>
      <w:r w:rsidR="00C8545A">
        <w:t xml:space="preserve">clinically labeled </w:t>
      </w:r>
      <w:r w:rsidR="00C8545A">
        <w:rPr>
          <w:i/>
          <w:iCs/>
        </w:rPr>
        <w:t>gender dysphoria</w:t>
      </w:r>
      <w:r w:rsidR="00C8545A">
        <w:t>,</w:t>
      </w:r>
      <w:r w:rsidR="00691E1D">
        <w:rPr>
          <w:rStyle w:val="FootnoteReference"/>
        </w:rPr>
        <w:footnoteReference w:id="275"/>
      </w:r>
      <w:r w:rsidR="00B747E4">
        <w:t xml:space="preserve"> frequently manifests as </w:t>
      </w:r>
      <w:r w:rsidR="00D0567F">
        <w:t xml:space="preserve">depression, anxiety, low self-esteem, relationship difficulties, </w:t>
      </w:r>
      <w:r w:rsidR="00085139">
        <w:t>and suicidal ideation.</w:t>
      </w:r>
      <w:r w:rsidR="00085139">
        <w:rPr>
          <w:rStyle w:val="FootnoteReference"/>
        </w:rPr>
        <w:footnoteReference w:id="276"/>
      </w:r>
      <w:r w:rsidR="00297061">
        <w:t xml:space="preserve"> </w:t>
      </w:r>
      <w:r w:rsidR="00200A50">
        <w:t>Attempts to alleviate psychological symptoms may lead</w:t>
      </w:r>
      <w:r w:rsidR="000E4A95">
        <w:t xml:space="preserve"> to physical </w:t>
      </w:r>
      <w:r w:rsidR="001409FC">
        <w:t>harms</w:t>
      </w:r>
      <w:r w:rsidR="000E4A95">
        <w:t xml:space="preserve">, including drug abuse, </w:t>
      </w:r>
      <w:r w:rsidR="00AC632D">
        <w:t>intentional self-harm</w:t>
      </w:r>
      <w:r w:rsidR="00142953">
        <w:t xml:space="preserve"> and suicide</w:t>
      </w:r>
      <w:r w:rsidR="00AC632D">
        <w:t>,</w:t>
      </w:r>
      <w:r w:rsidR="00972A99">
        <w:rPr>
          <w:rStyle w:val="FootnoteReference"/>
        </w:rPr>
        <w:footnoteReference w:id="277"/>
      </w:r>
      <w:r w:rsidR="00AC632D">
        <w:t xml:space="preserve"> and</w:t>
      </w:r>
      <w:r w:rsidR="003F3397">
        <w:t xml:space="preserve"> unsafe attempts to minimize </w:t>
      </w:r>
      <w:r w:rsidR="000E0DD2">
        <w:t xml:space="preserve">or alter bodily </w:t>
      </w:r>
      <w:r w:rsidR="000E0DD2">
        <w:lastRenderedPageBreak/>
        <w:t>sources of dysphoria.</w:t>
      </w:r>
      <w:r w:rsidR="00785265">
        <w:rPr>
          <w:rStyle w:val="FootnoteReference"/>
        </w:rPr>
        <w:footnoteReference w:id="278"/>
      </w:r>
      <w:r w:rsidR="00AC632D">
        <w:t xml:space="preserve"> </w:t>
      </w:r>
      <w:r w:rsidR="003647CC">
        <w:t xml:space="preserve">While these symptoms are </w:t>
      </w:r>
      <w:r w:rsidR="00954820">
        <w:t>obviously</w:t>
      </w:r>
      <w:r w:rsidR="003647CC">
        <w:t xml:space="preserve"> more common among transgender people,</w:t>
      </w:r>
      <w:r w:rsidR="00214D20">
        <w:rPr>
          <w:rStyle w:val="FootnoteReference"/>
        </w:rPr>
        <w:footnoteReference w:id="279"/>
      </w:r>
      <w:r w:rsidR="001262BC">
        <w:t xml:space="preserve"> </w:t>
      </w:r>
      <w:r w:rsidR="00954820">
        <w:t xml:space="preserve">cisgender </w:t>
      </w:r>
      <w:r w:rsidR="0089495D">
        <w:t xml:space="preserve">people </w:t>
      </w:r>
      <w:r w:rsidR="00B639BF">
        <w:t>exhibit similar symptoms when suffering from gender dysphoria.</w:t>
      </w:r>
      <w:r w:rsidR="00B639BF">
        <w:rPr>
          <w:rStyle w:val="FootnoteReference"/>
        </w:rPr>
        <w:footnoteReference w:id="280"/>
      </w:r>
    </w:p>
    <w:p w14:paraId="0E3353E3" w14:textId="77777777" w:rsidR="006F3194" w:rsidRDefault="006F3194" w:rsidP="009305AE">
      <w:pPr>
        <w:ind w:firstLine="720"/>
      </w:pPr>
    </w:p>
    <w:p w14:paraId="2EC2BC78" w14:textId="01447209" w:rsidR="00756E45" w:rsidRPr="00CA7491" w:rsidRDefault="007A777B" w:rsidP="00756E45">
      <w:pPr>
        <w:ind w:firstLine="720"/>
      </w:pPr>
      <w:r>
        <w:t xml:space="preserve">The naturalness </w:t>
      </w:r>
      <w:r w:rsidR="00266597">
        <w:t xml:space="preserve">of the desire for internal/external gender alignment is further reinforced by </w:t>
      </w:r>
      <w:r w:rsidR="00713B65">
        <w:t xml:space="preserve">the inability of most people to </w:t>
      </w:r>
      <w:r w:rsidR="00152C96">
        <w:t>control it.</w:t>
      </w:r>
      <w:r w:rsidR="00152C96">
        <w:rPr>
          <w:rStyle w:val="FootnoteReference"/>
        </w:rPr>
        <w:footnoteReference w:id="281"/>
      </w:r>
      <w:r w:rsidR="00713B65">
        <w:t xml:space="preserve"> </w:t>
      </w:r>
      <w:r w:rsidR="006E610B">
        <w:t>A</w:t>
      </w:r>
      <w:r w:rsidR="00116F7F">
        <w:t xml:space="preserve"> person’s gendered </w:t>
      </w:r>
      <w:r w:rsidR="00B67188">
        <w:t xml:space="preserve">physical characteristics </w:t>
      </w:r>
      <w:r w:rsidR="006E610B">
        <w:t>are primarily genetic</w:t>
      </w:r>
      <w:r w:rsidR="008C288D">
        <w:t>ally determined</w:t>
      </w:r>
      <w:r w:rsidR="006E610B">
        <w:t>.</w:t>
      </w:r>
      <w:r w:rsidR="0094434E">
        <w:rPr>
          <w:rStyle w:val="FootnoteReference"/>
        </w:rPr>
        <w:footnoteReference w:id="282"/>
      </w:r>
      <w:r w:rsidR="006E610B">
        <w:t xml:space="preserve"> While </w:t>
      </w:r>
      <w:r w:rsidR="00F33253">
        <w:t>science still lacks a</w:t>
      </w:r>
      <w:r w:rsidR="006E610B">
        <w:t xml:space="preserve"> precise </w:t>
      </w:r>
      <w:r w:rsidR="00F33253">
        <w:t xml:space="preserve">understanding of the </w:t>
      </w:r>
      <w:r w:rsidR="006E610B">
        <w:t xml:space="preserve">factors </w:t>
      </w:r>
      <w:r w:rsidR="00F33253">
        <w:t xml:space="preserve">that contribute to the </w:t>
      </w:r>
      <w:r w:rsidR="006E610B">
        <w:t>development of a person’s internal sense</w:t>
      </w:r>
      <w:r w:rsidR="00F33253">
        <w:t>,</w:t>
      </w:r>
      <w:r w:rsidR="00F52028">
        <w:t xml:space="preserve"> </w:t>
      </w:r>
      <w:r w:rsidR="00CF57B2">
        <w:t xml:space="preserve">those </w:t>
      </w:r>
      <w:r w:rsidR="00F52028">
        <w:t xml:space="preserve">factors </w:t>
      </w:r>
      <w:r w:rsidR="00CF57B2">
        <w:t xml:space="preserve">are </w:t>
      </w:r>
      <w:r w:rsidR="00F52028">
        <w:t>also largely</w:t>
      </w:r>
      <w:r w:rsidR="00B67188">
        <w:t xml:space="preserve"> outside </w:t>
      </w:r>
      <w:r w:rsidR="00FA2097">
        <w:t>an individual’s</w:t>
      </w:r>
      <w:r w:rsidR="00532248">
        <w:t xml:space="preserve"> conscious control.</w:t>
      </w:r>
      <w:r w:rsidR="00532248">
        <w:rPr>
          <w:rStyle w:val="FootnoteReference"/>
        </w:rPr>
        <w:footnoteReference w:id="283"/>
      </w:r>
      <w:r w:rsidR="00532248">
        <w:t xml:space="preserve"> </w:t>
      </w:r>
      <w:r w:rsidR="003D0770">
        <w:t>Accordingly, d</w:t>
      </w:r>
      <w:r w:rsidR="0039482F">
        <w:t xml:space="preserve">enying medical treatment for gender dysphoria is not a neutral act. </w:t>
      </w:r>
      <w:r w:rsidR="00B66BCC">
        <w:t>I</w:t>
      </w:r>
      <w:r w:rsidR="006E610B">
        <w:t xml:space="preserve">ndividuals whose </w:t>
      </w:r>
      <w:r w:rsidR="00CA7491">
        <w:t xml:space="preserve">internal gender sense does not align with their </w:t>
      </w:r>
      <w:proofErr w:type="gramStart"/>
      <w:r w:rsidR="00CA7491">
        <w:t>gendered</w:t>
      </w:r>
      <w:proofErr w:type="gramEnd"/>
      <w:r w:rsidR="00CA7491">
        <w:t xml:space="preserve"> physical characteristics </w:t>
      </w:r>
      <w:r w:rsidR="00CA7491">
        <w:rPr>
          <w:i/>
          <w:iCs/>
        </w:rPr>
        <w:t>will</w:t>
      </w:r>
      <w:r w:rsidR="00CA7491">
        <w:t xml:space="preserve"> experience gender dysphoria</w:t>
      </w:r>
      <w:r w:rsidR="002112D6">
        <w:t>,</w:t>
      </w:r>
      <w:r w:rsidR="00B66BCC">
        <w:t xml:space="preserve"> just like a person born with astigmatism will experience blurred vision</w:t>
      </w:r>
      <w:r w:rsidR="00BD5317">
        <w:t xml:space="preserve">. </w:t>
      </w:r>
      <w:r w:rsidR="002C12EA">
        <w:t xml:space="preserve">Denying a cisgender boy </w:t>
      </w:r>
      <w:r w:rsidR="007D66D5">
        <w:t xml:space="preserve">who develops gynecomastia access to breast reduction surgery simply </w:t>
      </w:r>
      <w:r w:rsidR="00D133CF">
        <w:t xml:space="preserve">because he </w:t>
      </w:r>
      <w:r w:rsidR="00DB29E5">
        <w:t>was genetically predisposed to do so is just as absurdly cruel as denying</w:t>
      </w:r>
      <w:r w:rsidR="00820E40">
        <w:t xml:space="preserve"> the astigmatic person access to glasses.</w:t>
      </w:r>
      <w:r w:rsidR="00D133CF">
        <w:t xml:space="preserve"> </w:t>
      </w:r>
      <w:r w:rsidR="00DC2D7D">
        <w:t xml:space="preserve">In </w:t>
      </w:r>
      <w:proofErr w:type="gramStart"/>
      <w:r w:rsidR="00DC2D7D">
        <w:t>exactly the same</w:t>
      </w:r>
      <w:proofErr w:type="gramEnd"/>
      <w:r w:rsidR="00DC2D7D">
        <w:t xml:space="preserve"> manner</w:t>
      </w:r>
      <w:r w:rsidR="00056799">
        <w:t>, d</w:t>
      </w:r>
      <w:r w:rsidR="00AF2488">
        <w:t xml:space="preserve">enying </w:t>
      </w:r>
      <w:r w:rsidR="00D546FE">
        <w:t>transgender</w:t>
      </w:r>
      <w:r w:rsidR="00AF2488">
        <w:t xml:space="preserve"> </w:t>
      </w:r>
      <w:r w:rsidR="00C034E3">
        <w:t>child</w:t>
      </w:r>
      <w:r w:rsidR="00097375">
        <w:t>ren</w:t>
      </w:r>
      <w:r w:rsidR="00C034E3">
        <w:t xml:space="preserve"> access to gender-affirming medical care until they turn eighteen </w:t>
      </w:r>
      <w:r w:rsidR="00BF46D2">
        <w:t>forces</w:t>
      </w:r>
      <w:r w:rsidR="00C034E3">
        <w:t xml:space="preserve"> </w:t>
      </w:r>
      <w:r w:rsidR="00D546FE">
        <w:t>them to undergo</w:t>
      </w:r>
      <w:r w:rsidR="004C7C1A">
        <w:t xml:space="preserve"> a puberty process that is misaligned with their internal gender sense</w:t>
      </w:r>
      <w:r w:rsidR="00BF46D2">
        <w:t xml:space="preserve">, </w:t>
      </w:r>
      <w:r w:rsidR="00097375">
        <w:t xml:space="preserve">thereby </w:t>
      </w:r>
      <w:r w:rsidR="00BF46D2">
        <w:t xml:space="preserve">condemning them to years of psychological suffering as they develop </w:t>
      </w:r>
      <w:r w:rsidR="00380C37">
        <w:t xml:space="preserve">dysphoric physical characteristics </w:t>
      </w:r>
      <w:r w:rsidR="001E7B99">
        <w:t xml:space="preserve">that </w:t>
      </w:r>
      <w:r w:rsidR="00380C37">
        <w:t>can only be altered</w:t>
      </w:r>
      <w:r w:rsidR="006E07B6">
        <w:t xml:space="preserve"> with immense time and resources—if ever</w:t>
      </w:r>
      <w:r w:rsidR="001E7B99">
        <w:t>.</w:t>
      </w:r>
      <w:r w:rsidR="00B34D2A">
        <w:rPr>
          <w:rStyle w:val="FootnoteReference"/>
        </w:rPr>
        <w:footnoteReference w:id="284"/>
      </w:r>
    </w:p>
    <w:p w14:paraId="4613EE5A" w14:textId="77777777" w:rsidR="00756E45" w:rsidRDefault="00756E45" w:rsidP="00756E45">
      <w:pPr>
        <w:ind w:firstLine="720"/>
      </w:pPr>
    </w:p>
    <w:p w14:paraId="625BC3A7" w14:textId="7386A807" w:rsidR="00923AE6" w:rsidRDefault="00FE0F2A" w:rsidP="00756E45">
      <w:pPr>
        <w:ind w:firstLine="720"/>
      </w:pPr>
      <w:r>
        <w:lastRenderedPageBreak/>
        <w:t xml:space="preserve">The </w:t>
      </w:r>
      <w:proofErr w:type="gramStart"/>
      <w:r>
        <w:t>near-universality</w:t>
      </w:r>
      <w:proofErr w:type="gramEnd"/>
      <w:r>
        <w:t xml:space="preserve"> of the </w:t>
      </w:r>
      <w:r w:rsidR="008E14EF">
        <w:t>need</w:t>
      </w:r>
      <w:r>
        <w:t xml:space="preserve"> to align one’s body with one’s internal sense of gender and the</w:t>
      </w:r>
      <w:r w:rsidR="008E14EF">
        <w:t xml:space="preserve"> </w:t>
      </w:r>
      <w:r w:rsidR="004E2D00">
        <w:t>inevitab</w:t>
      </w:r>
      <w:r w:rsidR="00FD19AF">
        <w:t xml:space="preserve">le </w:t>
      </w:r>
      <w:r w:rsidR="008E14EF">
        <w:t>pain that results from the frustration of that need suggests that the desire is highly natural.</w:t>
      </w:r>
      <w:r w:rsidR="00CE53DC">
        <w:t xml:space="preserve"> </w:t>
      </w:r>
      <w:r w:rsidR="00E30EF9">
        <w:t xml:space="preserve">Under the Epicurean approach, the next step in the analysis </w:t>
      </w:r>
      <w:r w:rsidR="00006E42">
        <w:t xml:space="preserve">is </w:t>
      </w:r>
      <w:r w:rsidR="00F604EB">
        <w:t xml:space="preserve">an evaluation of the </w:t>
      </w:r>
      <w:r w:rsidR="00F604EB">
        <w:rPr>
          <w:i/>
          <w:iCs/>
        </w:rPr>
        <w:t>necessity</w:t>
      </w:r>
      <w:r w:rsidR="005F7DFF">
        <w:t xml:space="preserve"> of the plaintiff’s </w:t>
      </w:r>
      <w:r w:rsidR="00913C3A">
        <w:t xml:space="preserve">chosen </w:t>
      </w:r>
      <w:r w:rsidR="005F7DFF">
        <w:t xml:space="preserve">means </w:t>
      </w:r>
      <w:r w:rsidR="00913C3A">
        <w:t xml:space="preserve">to </w:t>
      </w:r>
      <w:r w:rsidR="00544B0C">
        <w:t>fulfill</w:t>
      </w:r>
      <w:r w:rsidR="00913C3A">
        <w:t xml:space="preserve"> that general need.</w:t>
      </w:r>
      <w:r w:rsidR="00544B0C">
        <w:rPr>
          <w:rStyle w:val="FootnoteReference"/>
        </w:rPr>
        <w:footnoteReference w:id="285"/>
      </w:r>
      <w:r w:rsidR="00CF3C37">
        <w:t xml:space="preserve"> How many alternatives does </w:t>
      </w:r>
      <w:r w:rsidR="00B261C1">
        <w:t xml:space="preserve">a state ban on medical treatments for gender transition leave an individual </w:t>
      </w:r>
      <w:r w:rsidR="00492E8D">
        <w:t xml:space="preserve">to align their body with their internal sense of gender, and how efficacious are those alternatives </w:t>
      </w:r>
      <w:r w:rsidR="00513030">
        <w:t>at fulfilling that need?</w:t>
      </w:r>
      <w:r w:rsidR="003E6E18">
        <w:rPr>
          <w:rStyle w:val="FootnoteReference"/>
        </w:rPr>
        <w:footnoteReference w:id="286"/>
      </w:r>
      <w:r w:rsidR="00D574C2">
        <w:t xml:space="preserve"> </w:t>
      </w:r>
    </w:p>
    <w:p w14:paraId="0F171187" w14:textId="77777777" w:rsidR="00923AE6" w:rsidRDefault="00923AE6" w:rsidP="009305AE">
      <w:pPr>
        <w:ind w:firstLine="720"/>
      </w:pPr>
    </w:p>
    <w:p w14:paraId="7425E9D2" w14:textId="756DC477" w:rsidR="00370E1F" w:rsidRDefault="001B6B0F" w:rsidP="009305AE">
      <w:pPr>
        <w:ind w:firstLine="720"/>
      </w:pPr>
      <w:r>
        <w:t>Without</w:t>
      </w:r>
      <w:r w:rsidR="00DF71C2">
        <w:t xml:space="preserve"> </w:t>
      </w:r>
      <w:r>
        <w:t>interventions</w:t>
      </w:r>
      <w:r w:rsidR="00DF71C2">
        <w:t xml:space="preserve"> defined as “medical” to treat gender dysphoria, </w:t>
      </w:r>
      <w:r>
        <w:t xml:space="preserve">a transgender person is left with </w:t>
      </w:r>
      <w:r w:rsidR="00781164">
        <w:t>two</w:t>
      </w:r>
      <w:r>
        <w:t xml:space="preserve"> primary alternatives: psychotherapy</w:t>
      </w:r>
      <w:bookmarkStart w:id="87" w:name="_Ref184299290"/>
      <w:r w:rsidR="0016326D">
        <w:rPr>
          <w:rStyle w:val="FootnoteReference"/>
        </w:rPr>
        <w:footnoteReference w:id="287"/>
      </w:r>
      <w:bookmarkEnd w:id="87"/>
      <w:r>
        <w:t xml:space="preserve"> </w:t>
      </w:r>
      <w:r w:rsidR="00511AF4">
        <w:t xml:space="preserve">and </w:t>
      </w:r>
      <w:r w:rsidR="002F32A9">
        <w:t>social transition</w:t>
      </w:r>
      <w:r w:rsidR="0085469D">
        <w:t>—that is, presenting oneself as and living according to one’s internal sense of gender.</w:t>
      </w:r>
      <w:r w:rsidR="002078C3">
        <w:rPr>
          <w:rStyle w:val="FootnoteReference"/>
        </w:rPr>
        <w:footnoteReference w:id="288"/>
      </w:r>
      <w:r w:rsidR="0047194D">
        <w:t xml:space="preserve"> </w:t>
      </w:r>
      <w:r w:rsidR="00781164">
        <w:t>Both</w:t>
      </w:r>
      <w:r w:rsidR="0047194D">
        <w:t xml:space="preserve"> can be and often are vital to transgender individuals’ </w:t>
      </w:r>
      <w:r w:rsidR="00422535">
        <w:t>treatment</w:t>
      </w:r>
      <w:r w:rsidR="008416BE">
        <w:t xml:space="preserve"> </w:t>
      </w:r>
      <w:r w:rsidR="0096487A">
        <w:t>regimens</w:t>
      </w:r>
      <w:r w:rsidR="004E5A25">
        <w:t xml:space="preserve"> for gender dysphoria.</w:t>
      </w:r>
      <w:r w:rsidR="00AE4678">
        <w:rPr>
          <w:rStyle w:val="FootnoteReference"/>
        </w:rPr>
        <w:footnoteReference w:id="289"/>
      </w:r>
      <w:r w:rsidR="008416BE">
        <w:t xml:space="preserve"> </w:t>
      </w:r>
      <w:r w:rsidR="002D620B">
        <w:t xml:space="preserve">For many transgender individuals, </w:t>
      </w:r>
      <w:r w:rsidR="0096487A">
        <w:t xml:space="preserve">however, </w:t>
      </w:r>
      <w:r w:rsidR="00796078">
        <w:t>non-medical</w:t>
      </w:r>
      <w:r w:rsidR="00DD24A0">
        <w:t xml:space="preserve"> interventions are insufficient to alleviate </w:t>
      </w:r>
      <w:r w:rsidR="00796078">
        <w:t>the worst symptoms of their gender dysphoria.</w:t>
      </w:r>
      <w:bookmarkStart w:id="88" w:name="_Ref184299277"/>
      <w:r w:rsidR="00FC3E1D">
        <w:rPr>
          <w:rStyle w:val="FootnoteReference"/>
        </w:rPr>
        <w:footnoteReference w:id="290"/>
      </w:r>
      <w:bookmarkEnd w:id="88"/>
      <w:r w:rsidR="001A0285">
        <w:t xml:space="preserve"> </w:t>
      </w:r>
      <w:r w:rsidR="00C50BCA">
        <w:t>Moreover</w:t>
      </w:r>
      <w:r w:rsidR="001A0285">
        <w:t xml:space="preserve">, </w:t>
      </w:r>
      <w:r w:rsidR="00F5205D">
        <w:t xml:space="preserve">social transition without gender-affirming </w:t>
      </w:r>
      <w:r w:rsidR="00C50BCA">
        <w:t xml:space="preserve">medical </w:t>
      </w:r>
      <w:r w:rsidR="00F5205D">
        <w:t xml:space="preserve">treatment may actually </w:t>
      </w:r>
      <w:r w:rsidR="00B33BC8" w:rsidRPr="00097339">
        <w:t>worsen</w:t>
      </w:r>
      <w:r w:rsidR="00F5205D">
        <w:t xml:space="preserve"> some transgender individuals’ gender dysphoria</w:t>
      </w:r>
      <w:r w:rsidR="003127FD">
        <w:t xml:space="preserve"> and may also subject them to societal stigma and discrimination.</w:t>
      </w:r>
      <w:r w:rsidR="003127FD">
        <w:rPr>
          <w:rStyle w:val="FootnoteReference"/>
        </w:rPr>
        <w:footnoteReference w:id="291"/>
      </w:r>
      <w:r w:rsidR="00E87C0A">
        <w:t xml:space="preserve"> These facts confirm the intuitive conclusion that </w:t>
      </w:r>
      <w:r w:rsidR="00AA1A8B">
        <w:t xml:space="preserve">a state ban on medical treatment </w:t>
      </w:r>
      <w:r w:rsidR="00735868">
        <w:t>for the purpose of gender transition is practically the same as a ban on fulfilling</w:t>
      </w:r>
      <w:r w:rsidR="00D41A7A">
        <w:t xml:space="preserve"> the natural need for internal/external </w:t>
      </w:r>
      <w:r w:rsidR="00CA146C">
        <w:t>gender alignment</w:t>
      </w:r>
      <w:r w:rsidR="00D41A7A">
        <w:t>—at least for transgender people.</w:t>
      </w:r>
      <w:r w:rsidR="00D41A7A">
        <w:rPr>
          <w:rStyle w:val="FootnoteReference"/>
        </w:rPr>
        <w:footnoteReference w:id="292"/>
      </w:r>
    </w:p>
    <w:p w14:paraId="4E908218" w14:textId="77777777" w:rsidR="00CA146C" w:rsidRDefault="00CA146C" w:rsidP="009305AE">
      <w:pPr>
        <w:ind w:firstLine="720"/>
      </w:pPr>
    </w:p>
    <w:p w14:paraId="3F9A0E8F" w14:textId="1D652A7F" w:rsidR="00CA146C" w:rsidRPr="00F5205D" w:rsidRDefault="00FD3EF5" w:rsidP="009305AE">
      <w:pPr>
        <w:ind w:firstLine="720"/>
      </w:pPr>
      <w:r>
        <w:t xml:space="preserve">Having determined that the </w:t>
      </w:r>
      <w:r w:rsidR="00F81185">
        <w:t xml:space="preserve">pursuit of gender-affirming medical treatment is highly necessary to achieve the </w:t>
      </w:r>
      <w:r w:rsidR="00B65C08">
        <w:t xml:space="preserve">highly </w:t>
      </w:r>
      <w:r w:rsidR="004A6C94">
        <w:t>natural</w:t>
      </w:r>
      <w:r w:rsidR="00B65C08">
        <w:t xml:space="preserve"> desire </w:t>
      </w:r>
      <w:r w:rsidR="0064200D">
        <w:t>for</w:t>
      </w:r>
      <w:r w:rsidR="00B65C08">
        <w:t xml:space="preserve"> internal/external gender alignment, the final step in the analysis is to determine </w:t>
      </w:r>
      <w:r w:rsidR="002F25C3">
        <w:t>the level of process that is “due” before the state c</w:t>
      </w:r>
      <w:r w:rsidR="00491E8E">
        <w:t>ould constitutionally ban such treatment.</w:t>
      </w:r>
      <w:r w:rsidR="0064200D">
        <w:rPr>
          <w:rStyle w:val="FootnoteReference"/>
        </w:rPr>
        <w:footnoteReference w:id="293"/>
      </w:r>
      <w:r w:rsidR="0052198A">
        <w:t xml:space="preserve"> A pre</w:t>
      </w:r>
      <w:r w:rsidR="002F3F6D">
        <w:t xml:space="preserve">cise articulation of the </w:t>
      </w:r>
      <w:r w:rsidR="00416FF6">
        <w:t xml:space="preserve">set of </w:t>
      </w:r>
      <w:r w:rsidR="002F3F6D">
        <w:t>procedures that could justify such a ban</w:t>
      </w:r>
      <w:r w:rsidR="00416FF6">
        <w:t xml:space="preserve">—if such a set of procedures exists at all—is beyond the scope of this article. </w:t>
      </w:r>
      <w:r w:rsidR="00B949D6">
        <w:t>Suffice it to say that such a ban</w:t>
      </w:r>
      <w:r w:rsidR="007D36AD">
        <w:t xml:space="preserve">, </w:t>
      </w:r>
      <w:r w:rsidR="007D36AD">
        <w:lastRenderedPageBreak/>
        <w:t xml:space="preserve">which </w:t>
      </w:r>
      <w:r w:rsidR="00164FB2">
        <w:t>would</w:t>
      </w:r>
      <w:r w:rsidR="007D36AD">
        <w:t xml:space="preserve"> function as a death sentence for many trans people, could not possibly be justified by a state’s standard legislative procedures subjected to rational basis review.</w:t>
      </w:r>
    </w:p>
    <w:p w14:paraId="3DB6AB2B" w14:textId="77777777" w:rsidR="00D85119" w:rsidRDefault="00D85119" w:rsidP="009305AE">
      <w:pPr>
        <w:ind w:firstLine="720"/>
      </w:pPr>
    </w:p>
    <w:p w14:paraId="474EA775" w14:textId="415CD874" w:rsidR="009305AE" w:rsidRDefault="00E50642" w:rsidP="00424F1B">
      <w:pPr>
        <w:pStyle w:val="Heading2"/>
      </w:pPr>
      <w:r>
        <w:t>The Approaches in Application</w:t>
      </w:r>
    </w:p>
    <w:p w14:paraId="408FC1CD" w14:textId="77777777" w:rsidR="00424F1B" w:rsidRDefault="00424F1B" w:rsidP="00424F1B"/>
    <w:p w14:paraId="41481501" w14:textId="049B7CC9" w:rsidR="00424F1B" w:rsidRDefault="00932503" w:rsidP="00424F1B">
      <w:pPr>
        <w:ind w:firstLine="720"/>
      </w:pPr>
      <w:r>
        <w:t>T</w:t>
      </w:r>
      <w:r w:rsidR="00322C2F">
        <w:t>wo</w:t>
      </w:r>
      <w:r w:rsidR="002332BC">
        <w:t xml:space="preserve"> cases dealing with the </w:t>
      </w:r>
      <w:r w:rsidR="0015795F">
        <w:t xml:space="preserve">intimate </w:t>
      </w:r>
      <w:r w:rsidR="00322C2F">
        <w:t xml:space="preserve">rights of queer people, </w:t>
      </w:r>
      <w:r w:rsidR="00322C2F">
        <w:rPr>
          <w:i/>
          <w:iCs/>
        </w:rPr>
        <w:t>Bowers v. Hardwick</w:t>
      </w:r>
      <w:r w:rsidR="00322C2F" w:rsidRPr="00322C2F">
        <w:rPr>
          <w:rStyle w:val="FootnoteReference"/>
        </w:rPr>
        <w:footnoteReference w:id="294"/>
      </w:r>
      <w:r w:rsidR="00322C2F" w:rsidRPr="00322C2F">
        <w:t xml:space="preserve"> </w:t>
      </w:r>
      <w:r w:rsidR="00322C2F">
        <w:t xml:space="preserve">and </w:t>
      </w:r>
      <w:r w:rsidR="00322C2F">
        <w:rPr>
          <w:i/>
          <w:iCs/>
        </w:rPr>
        <w:t>Lawrence v. Texas</w:t>
      </w:r>
      <w:r w:rsidR="00322C2F">
        <w:t>,</w:t>
      </w:r>
      <w:r w:rsidR="003A6C10">
        <w:rPr>
          <w:rStyle w:val="FootnoteReference"/>
        </w:rPr>
        <w:footnoteReference w:id="295"/>
      </w:r>
      <w:r w:rsidR="003A6C10">
        <w:t xml:space="preserve"> illustrate the </w:t>
      </w:r>
      <w:r>
        <w:t xml:space="preserve">contrast between the </w:t>
      </w:r>
      <w:r w:rsidR="000A4D86">
        <w:t xml:space="preserve">two approaches to substantive due process analysis I </w:t>
      </w:r>
      <w:r w:rsidR="00E76B26">
        <w:t>outline in the previous subsection.</w:t>
      </w:r>
    </w:p>
    <w:p w14:paraId="56C45F2E" w14:textId="77777777" w:rsidR="008355B5" w:rsidRDefault="008355B5" w:rsidP="008355B5">
      <w:pPr>
        <w:ind w:firstLine="0"/>
      </w:pPr>
    </w:p>
    <w:p w14:paraId="0C7FF89B" w14:textId="6389CCE2" w:rsidR="008355B5" w:rsidRDefault="007E7166" w:rsidP="008355B5">
      <w:pPr>
        <w:pStyle w:val="Heading3"/>
      </w:pPr>
      <w:r>
        <w:t xml:space="preserve">The False Dichotomy: </w:t>
      </w:r>
      <w:r w:rsidR="008355B5">
        <w:rPr>
          <w:i/>
          <w:iCs/>
        </w:rPr>
        <w:t>Bowers v. Hardwick</w:t>
      </w:r>
    </w:p>
    <w:p w14:paraId="1D14D76C" w14:textId="77777777" w:rsidR="008355B5" w:rsidRDefault="008355B5" w:rsidP="008355B5">
      <w:pPr>
        <w:ind w:firstLine="0"/>
      </w:pPr>
    </w:p>
    <w:p w14:paraId="6E96EF1B" w14:textId="019EB29D" w:rsidR="0040421F" w:rsidRDefault="00E65B1B" w:rsidP="00424F1B">
      <w:pPr>
        <w:ind w:firstLine="720"/>
      </w:pPr>
      <w:r>
        <w:t xml:space="preserve">In </w:t>
      </w:r>
      <w:r w:rsidR="001C38E4">
        <w:t xml:space="preserve">August 1982, </w:t>
      </w:r>
      <w:r w:rsidR="00C95CE3">
        <w:t>Atlanta</w:t>
      </w:r>
      <w:r w:rsidR="001C38E4">
        <w:t xml:space="preserve"> police officers</w:t>
      </w:r>
      <w:r w:rsidR="00C95CE3">
        <w:t xml:space="preserve"> </w:t>
      </w:r>
      <w:r w:rsidR="0022592E">
        <w:t>visited the home of Michael Bowers</w:t>
      </w:r>
      <w:r w:rsidR="00235F68">
        <w:t xml:space="preserve"> to serve a traffic warrant</w:t>
      </w:r>
      <w:r w:rsidR="0022592E">
        <w:t xml:space="preserve"> and found him having sex with another man in </w:t>
      </w:r>
      <w:r w:rsidR="00235F68">
        <w:t>his bedroom</w:t>
      </w:r>
      <w:r w:rsidR="009C6054">
        <w:t>.</w:t>
      </w:r>
      <w:r w:rsidR="004F338C">
        <w:rPr>
          <w:rStyle w:val="FootnoteReference"/>
        </w:rPr>
        <w:footnoteReference w:id="296"/>
      </w:r>
      <w:r w:rsidR="009C6054">
        <w:t xml:space="preserve"> </w:t>
      </w:r>
      <w:r w:rsidR="00D83FDD">
        <w:t xml:space="preserve">Georgia officials charged </w:t>
      </w:r>
      <w:r w:rsidR="00AF04B0">
        <w:t xml:space="preserve">Bowers with its law criminalizing “sodomy,” </w:t>
      </w:r>
      <w:r w:rsidR="003011E8">
        <w:t>which included the particular act in which Bowers and his partner were</w:t>
      </w:r>
      <w:r w:rsidR="005E1D38">
        <w:t xml:space="preserve"> engaged</w:t>
      </w:r>
      <w:r w:rsidR="00026C5E">
        <w:t xml:space="preserve"> until interrupted by the police</w:t>
      </w:r>
      <w:r w:rsidR="005E1D38">
        <w:t>.</w:t>
      </w:r>
      <w:r w:rsidR="005E1D38">
        <w:rPr>
          <w:rStyle w:val="FootnoteReference"/>
        </w:rPr>
        <w:footnoteReference w:id="297"/>
      </w:r>
      <w:r w:rsidR="00AF04B0">
        <w:t xml:space="preserve"> </w:t>
      </w:r>
      <w:r w:rsidR="006C3B92">
        <w:t xml:space="preserve">Although </w:t>
      </w:r>
      <w:r w:rsidR="00ED72FE">
        <w:t xml:space="preserve">prosecutors eventually decided not to prosecute him, Bowers </w:t>
      </w:r>
      <w:r w:rsidR="00754DF7">
        <w:t xml:space="preserve">turned the tables. He </w:t>
      </w:r>
      <w:r w:rsidR="00E64DE0">
        <w:t xml:space="preserve">brought his own lawsuit alleging that Georgia’s criminalization of </w:t>
      </w:r>
      <w:r w:rsidR="003F1D62">
        <w:t xml:space="preserve">sexual conduct between consenting adults, including adults of the same gender, violated the </w:t>
      </w:r>
      <w:r w:rsidR="00E1729C">
        <w:t>Due Process Clause of the Fourteenth Amendment</w:t>
      </w:r>
      <w:r w:rsidR="00852A68">
        <w:rPr>
          <w:rStyle w:val="FootnoteReference"/>
        </w:rPr>
        <w:footnoteReference w:id="298"/>
      </w:r>
      <w:r w:rsidR="00E1729C">
        <w:t xml:space="preserve"> </w:t>
      </w:r>
      <w:r w:rsidR="00754DF7">
        <w:t xml:space="preserve">as interpreted in </w:t>
      </w:r>
      <w:r w:rsidR="00586118">
        <w:t xml:space="preserve">substantive due process </w:t>
      </w:r>
      <w:r w:rsidR="00754DF7">
        <w:t xml:space="preserve">cases such as </w:t>
      </w:r>
      <w:r w:rsidR="00754DF7">
        <w:rPr>
          <w:i/>
          <w:iCs/>
        </w:rPr>
        <w:t>Griswold v. Connecticut</w:t>
      </w:r>
      <w:r w:rsidR="00586118">
        <w:rPr>
          <w:rStyle w:val="FootnoteReference"/>
          <w:i/>
          <w:iCs/>
        </w:rPr>
        <w:footnoteReference w:id="299"/>
      </w:r>
      <w:r w:rsidR="00754DF7">
        <w:t xml:space="preserve"> and </w:t>
      </w:r>
      <w:r w:rsidR="00754DF7">
        <w:rPr>
          <w:i/>
          <w:iCs/>
        </w:rPr>
        <w:t>Roe v. Wade</w:t>
      </w:r>
      <w:r w:rsidR="00754DF7">
        <w:t>.</w:t>
      </w:r>
      <w:r w:rsidR="00444407">
        <w:rPr>
          <w:rStyle w:val="FootnoteReference"/>
        </w:rPr>
        <w:footnoteReference w:id="300"/>
      </w:r>
    </w:p>
    <w:p w14:paraId="2C204850" w14:textId="77777777" w:rsidR="0022592E" w:rsidRDefault="0022592E" w:rsidP="00424F1B">
      <w:pPr>
        <w:ind w:firstLine="720"/>
      </w:pPr>
    </w:p>
    <w:p w14:paraId="544EC30A" w14:textId="6C028DDB" w:rsidR="0022592E" w:rsidRPr="002E2CE1" w:rsidRDefault="007C5B09" w:rsidP="00424F1B">
      <w:pPr>
        <w:ind w:firstLine="720"/>
      </w:pPr>
      <w:r>
        <w:t>By one vote, the Supreme Court rejected Bowers’s substantive due process challenge</w:t>
      </w:r>
      <w:r w:rsidR="0091512E">
        <w:t>.</w:t>
      </w:r>
      <w:r w:rsidR="0091512E">
        <w:rPr>
          <w:rStyle w:val="FootnoteReference"/>
        </w:rPr>
        <w:footnoteReference w:id="301"/>
      </w:r>
      <w:r w:rsidR="00680A02">
        <w:t xml:space="preserve"> Although the precise formulation of the two-step or</w:t>
      </w:r>
      <w:r w:rsidR="00935B54">
        <w:t>iginalist substantive due process test</w:t>
      </w:r>
      <w:r w:rsidR="00935B54">
        <w:rPr>
          <w:rStyle w:val="FootnoteReference"/>
        </w:rPr>
        <w:footnoteReference w:id="302"/>
      </w:r>
      <w:r w:rsidR="00935B54">
        <w:t xml:space="preserve"> would not occur until one year later,</w:t>
      </w:r>
      <w:r w:rsidR="00FE24FF">
        <w:rPr>
          <w:rStyle w:val="FootnoteReference"/>
        </w:rPr>
        <w:footnoteReference w:id="303"/>
      </w:r>
      <w:r w:rsidR="00CC1DA3">
        <w:t xml:space="preserve"> the </w:t>
      </w:r>
      <w:r w:rsidR="00CB7864">
        <w:rPr>
          <w:i/>
          <w:iCs/>
        </w:rPr>
        <w:t>Bowers</w:t>
      </w:r>
      <w:r w:rsidR="00CB7864">
        <w:t xml:space="preserve"> majority </w:t>
      </w:r>
      <w:r w:rsidR="009D7928">
        <w:t>presaged</w:t>
      </w:r>
      <w:r w:rsidR="00D12BDB">
        <w:t xml:space="preserve"> its emphasis on </w:t>
      </w:r>
      <w:r w:rsidR="007416F9">
        <w:t>“history and tradition”</w:t>
      </w:r>
      <w:r w:rsidR="00271E9A">
        <w:t xml:space="preserve"> in defining fundamental rights.</w:t>
      </w:r>
      <w:r w:rsidR="0045268D">
        <w:rPr>
          <w:rStyle w:val="FootnoteReference"/>
        </w:rPr>
        <w:footnoteReference w:id="304"/>
      </w:r>
      <w:r w:rsidR="0042598A">
        <w:t xml:space="preserve"> Surveying </w:t>
      </w:r>
      <w:r w:rsidR="00271E9A">
        <w:t xml:space="preserve">the </w:t>
      </w:r>
      <w:r w:rsidR="002B5091">
        <w:t xml:space="preserve">historical </w:t>
      </w:r>
      <w:r w:rsidR="002B5091">
        <w:lastRenderedPageBreak/>
        <w:t xml:space="preserve">restrictions against </w:t>
      </w:r>
      <w:r w:rsidR="008E5A62">
        <w:t xml:space="preserve">“homosexual sodomy,” the Court tersely concluded that </w:t>
      </w:r>
      <w:r w:rsidR="00757331">
        <w:t>“</w:t>
      </w:r>
      <w:r w:rsidR="00757331" w:rsidRPr="00757331">
        <w:t xml:space="preserve">to claim that a right to engage in such conduct is </w:t>
      </w:r>
      <w:r w:rsidR="00757331">
        <w:t>‘</w:t>
      </w:r>
      <w:r w:rsidR="00757331" w:rsidRPr="00757331">
        <w:t>deeply rooted in this Nation's history and tradition</w:t>
      </w:r>
      <w:r w:rsidR="00757331">
        <w:t>’</w:t>
      </w:r>
      <w:r w:rsidR="00757331" w:rsidRPr="00757331">
        <w:t xml:space="preserve"> or </w:t>
      </w:r>
      <w:r w:rsidR="00757331">
        <w:t>‘</w:t>
      </w:r>
      <w:r w:rsidR="00757331" w:rsidRPr="00757331">
        <w:t>implicit in the concept of ordered liberty</w:t>
      </w:r>
      <w:r w:rsidR="00757331">
        <w:t>’</w:t>
      </w:r>
      <w:r w:rsidR="00757331" w:rsidRPr="00757331">
        <w:t xml:space="preserve"> is, at best, facetious.</w:t>
      </w:r>
      <w:r w:rsidR="00757331">
        <w:t>”</w:t>
      </w:r>
      <w:r w:rsidR="008317B0">
        <w:rPr>
          <w:rStyle w:val="FootnoteReference"/>
        </w:rPr>
        <w:footnoteReference w:id="305"/>
      </w:r>
      <w:r w:rsidR="008A52FD">
        <w:t xml:space="preserve"> Apparently </w:t>
      </w:r>
      <w:r w:rsidR="00E14994">
        <w:t>finding</w:t>
      </w:r>
      <w:r w:rsidR="008A52FD">
        <w:t xml:space="preserve"> the majority’s language </w:t>
      </w:r>
      <w:r w:rsidR="00AE4CDF">
        <w:t>insufficiently categorical</w:t>
      </w:r>
      <w:r w:rsidR="008A52FD">
        <w:t>, Chief Justice Warren Burger chimed in to emphasize that “</w:t>
      </w:r>
      <w:r w:rsidR="00E533FD">
        <w:t>[d]</w:t>
      </w:r>
      <w:proofErr w:type="spellStart"/>
      <w:r w:rsidR="00333633" w:rsidRPr="00333633">
        <w:t>ecisions</w:t>
      </w:r>
      <w:proofErr w:type="spellEnd"/>
      <w:r w:rsidR="00333633" w:rsidRPr="00333633">
        <w:t xml:space="preserve"> of individuals relating to homosexual conduct have been subject to state intervention throughout the history of Western civilization.</w:t>
      </w:r>
      <w:r w:rsidR="00AE4CDF">
        <w:t>”</w:t>
      </w:r>
      <w:r w:rsidR="00AE4CDF">
        <w:rPr>
          <w:rStyle w:val="FootnoteReference"/>
        </w:rPr>
        <w:footnoteReference w:id="306"/>
      </w:r>
    </w:p>
    <w:p w14:paraId="5D82DCC1" w14:textId="77777777" w:rsidR="004B52A1" w:rsidRDefault="004B52A1" w:rsidP="00424F1B">
      <w:pPr>
        <w:ind w:firstLine="720"/>
      </w:pPr>
    </w:p>
    <w:p w14:paraId="7B95AA9A" w14:textId="29C5CE29" w:rsidR="00485D5A" w:rsidRPr="00EB724D" w:rsidRDefault="004C7792" w:rsidP="00424F1B">
      <w:pPr>
        <w:ind w:firstLine="720"/>
      </w:pPr>
      <w:r>
        <w:t>Though</w:t>
      </w:r>
      <w:r w:rsidR="008F532D">
        <w:t xml:space="preserve"> the moral/immoral dichotomy takes center</w:t>
      </w:r>
      <w:r w:rsidR="004270F6">
        <w:t xml:space="preserve">stage in </w:t>
      </w:r>
      <w:r w:rsidR="004270F6">
        <w:rPr>
          <w:i/>
          <w:iCs/>
        </w:rPr>
        <w:t>Bowers</w:t>
      </w:r>
      <w:r w:rsidR="004270F6">
        <w:t>,</w:t>
      </w:r>
      <w:r w:rsidR="00312F00">
        <w:rPr>
          <w:rStyle w:val="FootnoteReference"/>
        </w:rPr>
        <w:footnoteReference w:id="307"/>
      </w:r>
      <w:r w:rsidR="006F063F">
        <w:t xml:space="preserve"> the natural/unnatural distinction also</w:t>
      </w:r>
      <w:r w:rsidR="00D4513B">
        <w:t xml:space="preserve"> </w:t>
      </w:r>
      <w:r w:rsidR="00312F00">
        <w:t xml:space="preserve">subtly </w:t>
      </w:r>
      <w:r w:rsidR="009F1D3F">
        <w:t>permeates</w:t>
      </w:r>
      <w:r w:rsidR="00312F00">
        <w:t xml:space="preserve"> both </w:t>
      </w:r>
      <w:r w:rsidR="009F1D3F">
        <w:t>the majority opinion and Burger’s concurrence.</w:t>
      </w:r>
      <w:r w:rsidR="009F1D3F">
        <w:rPr>
          <w:rStyle w:val="FootnoteReference"/>
        </w:rPr>
        <w:footnoteReference w:id="308"/>
      </w:r>
      <w:r w:rsidR="003E23FF">
        <w:t xml:space="preserve"> The Court </w:t>
      </w:r>
      <w:r w:rsidR="00E8716C">
        <w:t xml:space="preserve">accepted the indisputable fact that large swaths of society </w:t>
      </w:r>
      <w:r w:rsidR="0090518B">
        <w:t xml:space="preserve">had long </w:t>
      </w:r>
      <w:r w:rsidR="00E8716C">
        <w:t>believed same-gender sex to be “unnatural” as sufficient justification for Georg</w:t>
      </w:r>
      <w:r w:rsidR="00D42765">
        <w:t>ia</w:t>
      </w:r>
      <w:r w:rsidR="00E8716C">
        <w:t xml:space="preserve"> to regulate </w:t>
      </w:r>
      <w:r w:rsidR="0090518B">
        <w:t>it</w:t>
      </w:r>
      <w:r w:rsidR="00A43B4B">
        <w:t>.</w:t>
      </w:r>
      <w:r w:rsidR="0009245F">
        <w:rPr>
          <w:rStyle w:val="FootnoteReference"/>
        </w:rPr>
        <w:footnoteReference w:id="309"/>
      </w:r>
      <w:r w:rsidR="00E4444F">
        <w:t xml:space="preserve"> Under the Epicurean approach, however, </w:t>
      </w:r>
      <w:r w:rsidR="00AE437A">
        <w:t xml:space="preserve">society’s current and historical </w:t>
      </w:r>
      <w:r w:rsidR="00B63F31">
        <w:t xml:space="preserve">attitude toward the asserted liberty interest is relevant but not dispositive to whether </w:t>
      </w:r>
      <w:r w:rsidR="00EB724D">
        <w:t xml:space="preserve">the desire is truly natural. The Court thus had an additional duty—one it did not perform in </w:t>
      </w:r>
      <w:r w:rsidR="00EB724D">
        <w:rPr>
          <w:i/>
          <w:iCs/>
        </w:rPr>
        <w:t>Bowers</w:t>
      </w:r>
      <w:r w:rsidR="00EB724D">
        <w:t xml:space="preserve">—to </w:t>
      </w:r>
      <w:r w:rsidR="00EB6D4A">
        <w:t xml:space="preserve">determine whether society’s belief that same-gender sex is unnatural </w:t>
      </w:r>
      <w:r w:rsidR="007F63B2">
        <w:t xml:space="preserve">was </w:t>
      </w:r>
      <w:r w:rsidR="00184AC4">
        <w:t>authentic or the result of domination.</w:t>
      </w:r>
    </w:p>
    <w:p w14:paraId="2E4462D4" w14:textId="77777777" w:rsidR="00485D5A" w:rsidRDefault="00485D5A" w:rsidP="00424F1B">
      <w:pPr>
        <w:ind w:firstLine="720"/>
      </w:pPr>
    </w:p>
    <w:p w14:paraId="14FC37F0" w14:textId="24770EBE" w:rsidR="00EC4587" w:rsidRDefault="00184AC4" w:rsidP="00424F1B">
      <w:pPr>
        <w:ind w:firstLine="720"/>
      </w:pPr>
      <w:r>
        <w:t xml:space="preserve">That analysis might have </w:t>
      </w:r>
      <w:proofErr w:type="gramStart"/>
      <w:r>
        <w:t>looked something</w:t>
      </w:r>
      <w:proofErr w:type="gramEnd"/>
      <w:r>
        <w:t xml:space="preserve"> </w:t>
      </w:r>
      <w:r w:rsidR="00131C81">
        <w:t xml:space="preserve">like this. </w:t>
      </w:r>
      <w:r w:rsidR="00E20B8C">
        <w:t xml:space="preserve">Michael Bowers’s asserted </w:t>
      </w:r>
      <w:r w:rsidR="008F72D3">
        <w:t xml:space="preserve">liberty interest was to have </w:t>
      </w:r>
      <w:r w:rsidR="003B38FC">
        <w:t xml:space="preserve">private, consensual </w:t>
      </w:r>
      <w:r w:rsidR="008F72D3">
        <w:t>sex with men.</w:t>
      </w:r>
      <w:r w:rsidR="00AE67DD">
        <w:t xml:space="preserve"> At the most generic level, </w:t>
      </w:r>
      <w:r w:rsidR="00A67751">
        <w:t xml:space="preserve">the </w:t>
      </w:r>
      <w:r w:rsidR="00E32362">
        <w:t xml:space="preserve">human </w:t>
      </w:r>
      <w:r w:rsidR="00A67751">
        <w:t xml:space="preserve">desire for sex is </w:t>
      </w:r>
      <w:r w:rsidR="009243C0">
        <w:t>eminently</w:t>
      </w:r>
      <w:r w:rsidR="00A67751">
        <w:t xml:space="preserve"> </w:t>
      </w:r>
      <w:r w:rsidR="00A67751" w:rsidRPr="00E32362">
        <w:t>natural</w:t>
      </w:r>
      <w:r w:rsidR="00A67751">
        <w:t>. M</w:t>
      </w:r>
      <w:r w:rsidR="00AE67DD">
        <w:t xml:space="preserve">ost humans experience the </w:t>
      </w:r>
      <w:r w:rsidR="00485D5A">
        <w:t xml:space="preserve">desire to have sex as </w:t>
      </w:r>
      <w:r w:rsidR="0083312F">
        <w:t>a pressing need</w:t>
      </w:r>
      <w:r w:rsidR="00096F24">
        <w:t xml:space="preserve"> and experience mental, emotional, and even physical pain from prolonged </w:t>
      </w:r>
      <w:r w:rsidR="001340A2">
        <w:t>sexual deprivation.</w:t>
      </w:r>
      <w:r w:rsidR="00832FE5">
        <w:rPr>
          <w:rStyle w:val="FootnoteReference"/>
        </w:rPr>
        <w:footnoteReference w:id="310"/>
      </w:r>
      <w:r w:rsidR="001340A2">
        <w:t xml:space="preserve"> </w:t>
      </w:r>
      <w:r w:rsidR="00832FE5">
        <w:t xml:space="preserve">As with sleeping and eating, </w:t>
      </w:r>
      <w:r w:rsidR="00F549BA">
        <w:t>a total government ban on sex of any kind</w:t>
      </w:r>
      <w:r w:rsidR="007768A1">
        <w:t xml:space="preserve"> is difficult to fathom.</w:t>
      </w:r>
      <w:r w:rsidR="007768A1">
        <w:rPr>
          <w:rStyle w:val="FootnoteReference"/>
        </w:rPr>
        <w:footnoteReference w:id="311"/>
      </w:r>
      <w:r w:rsidR="004F0852">
        <w:t xml:space="preserve"> </w:t>
      </w:r>
    </w:p>
    <w:p w14:paraId="6F1F207E" w14:textId="77777777" w:rsidR="00EC4587" w:rsidRDefault="00EC4587" w:rsidP="00424F1B">
      <w:pPr>
        <w:ind w:firstLine="720"/>
      </w:pPr>
    </w:p>
    <w:p w14:paraId="5D679F15" w14:textId="5DD3E47F" w:rsidR="00030E49" w:rsidRDefault="00B50770" w:rsidP="00424F1B">
      <w:pPr>
        <w:ind w:firstLine="720"/>
      </w:pPr>
      <w:r>
        <w:t xml:space="preserve">Since the Georgia </w:t>
      </w:r>
      <w:r w:rsidR="00DA3A8D">
        <w:t xml:space="preserve">criminal sodomy statute was not a total ban on sex, the question </w:t>
      </w:r>
      <w:r w:rsidR="00FA2BD9">
        <w:t xml:space="preserve">shifts to how </w:t>
      </w:r>
      <w:r w:rsidR="001543AD">
        <w:rPr>
          <w:i/>
          <w:iCs/>
        </w:rPr>
        <w:t>necessary</w:t>
      </w:r>
      <w:r w:rsidR="001543AD">
        <w:t xml:space="preserve"> </w:t>
      </w:r>
      <w:r w:rsidR="00AC67B2">
        <w:t xml:space="preserve">it was for Bowers to engage in the </w:t>
      </w:r>
      <w:r w:rsidR="00AC67B2">
        <w:lastRenderedPageBreak/>
        <w:t>conduct prohibited by the statute—i.e., sex with men</w:t>
      </w:r>
      <w:r w:rsidR="00A129F2">
        <w:t>—</w:t>
      </w:r>
      <w:proofErr w:type="gramStart"/>
      <w:r w:rsidR="00A129F2">
        <w:t>in order to</w:t>
      </w:r>
      <w:proofErr w:type="gramEnd"/>
      <w:r w:rsidR="00A129F2">
        <w:t xml:space="preserve"> fulfill his natural need for sex. In other words, </w:t>
      </w:r>
      <w:r w:rsidR="00B936C3">
        <w:t xml:space="preserve">how many alternatives </w:t>
      </w:r>
      <w:r w:rsidR="00E32362">
        <w:t>did</w:t>
      </w:r>
      <w:r w:rsidR="00B936C3">
        <w:t xml:space="preserve"> the prohibition leave Bowers, and how effective </w:t>
      </w:r>
      <w:r w:rsidR="003424FB">
        <w:t>were</w:t>
      </w:r>
      <w:r w:rsidR="00B936C3">
        <w:t xml:space="preserve"> those alternatives </w:t>
      </w:r>
      <w:r w:rsidR="00CC228F">
        <w:t>in fulfilling his needs</w:t>
      </w:r>
      <w:r w:rsidR="00B936C3">
        <w:t>?</w:t>
      </w:r>
      <w:r w:rsidR="009B3CCE">
        <w:t xml:space="preserve"> </w:t>
      </w:r>
      <w:r w:rsidR="00D1293A">
        <w:t xml:space="preserve">Though </w:t>
      </w:r>
      <w:r w:rsidR="0065026B">
        <w:t xml:space="preserve">the evidence was </w:t>
      </w:r>
      <w:r w:rsidR="00764475">
        <w:t>admittedly less conclusive</w:t>
      </w:r>
      <w:r w:rsidR="00077097">
        <w:t xml:space="preserve"> in 1986,</w:t>
      </w:r>
      <w:r w:rsidR="00081152">
        <w:t xml:space="preserve"> </w:t>
      </w:r>
      <w:r w:rsidR="007062A9">
        <w:t>the overwhelming scientific consensus today is that</w:t>
      </w:r>
      <w:r w:rsidR="0049155A">
        <w:t xml:space="preserve"> the sexual attraction of </w:t>
      </w:r>
      <w:r w:rsidR="00D748D0">
        <w:t>the vast majority of</w:t>
      </w:r>
      <w:r w:rsidR="0049155A">
        <w:t xml:space="preserve"> </w:t>
      </w:r>
      <w:r w:rsidR="002B295B">
        <w:t>people</w:t>
      </w:r>
      <w:r w:rsidR="0049155A">
        <w:t xml:space="preserve"> is</w:t>
      </w:r>
      <w:r w:rsidR="00AE1AC9">
        <w:t xml:space="preserve"> significantly</w:t>
      </w:r>
      <w:r w:rsidR="00852937">
        <w:t xml:space="preserve"> </w:t>
      </w:r>
      <w:r w:rsidR="00106F3E">
        <w:t>affected by the gender of their</w:t>
      </w:r>
      <w:r w:rsidR="00D748D0">
        <w:t xml:space="preserve"> potential partners; that </w:t>
      </w:r>
      <w:r w:rsidR="002B295B">
        <w:t>people</w:t>
      </w:r>
      <w:r w:rsidR="00627EC0">
        <w:t xml:space="preserve"> possess little or no conscious control over </w:t>
      </w:r>
      <w:r w:rsidR="00852937">
        <w:t xml:space="preserve">this effect; </w:t>
      </w:r>
      <w:r w:rsidR="00555BFF">
        <w:t xml:space="preserve">and that obtaining sexual fulfillment </w:t>
      </w:r>
      <w:r w:rsidR="00866A62">
        <w:t>with</w:t>
      </w:r>
      <w:r w:rsidR="00555BFF">
        <w:t xml:space="preserve"> a partner of gender to which </w:t>
      </w:r>
      <w:r w:rsidR="002B295B">
        <w:t>one</w:t>
      </w:r>
      <w:r w:rsidR="00555BFF">
        <w:t xml:space="preserve"> is not sexually attracted is difficult if not impossible</w:t>
      </w:r>
      <w:r w:rsidR="002B295B">
        <w:t xml:space="preserve"> for most people</w:t>
      </w:r>
      <w:r w:rsidR="00C367AE">
        <w:t>.</w:t>
      </w:r>
      <w:r w:rsidR="00C367AE">
        <w:rPr>
          <w:rStyle w:val="FootnoteReference"/>
        </w:rPr>
        <w:footnoteReference w:id="312"/>
      </w:r>
      <w:r w:rsidR="002B295B">
        <w:t xml:space="preserve"> </w:t>
      </w:r>
      <w:r w:rsidR="006165B4">
        <w:t xml:space="preserve">In short, a ban on same-gender sex </w:t>
      </w:r>
      <w:r w:rsidR="00DE2372">
        <w:t xml:space="preserve">was </w:t>
      </w:r>
      <w:r w:rsidR="003424FB">
        <w:t>practically</w:t>
      </w:r>
      <w:r w:rsidR="006165B4">
        <w:t xml:space="preserve"> the same </w:t>
      </w:r>
      <w:r w:rsidR="00370ABB">
        <w:t>as a ban on sex altogether</w:t>
      </w:r>
      <w:r w:rsidR="00DE2372">
        <w:t xml:space="preserve"> for Michael Bowers</w:t>
      </w:r>
      <w:r w:rsidR="00370ABB">
        <w:t>.</w:t>
      </w:r>
      <w:r w:rsidR="00CD0594">
        <w:t xml:space="preserve"> </w:t>
      </w:r>
    </w:p>
    <w:p w14:paraId="189A939B" w14:textId="77777777" w:rsidR="00385ECB" w:rsidRDefault="00385ECB" w:rsidP="00424F1B">
      <w:pPr>
        <w:ind w:firstLine="720"/>
      </w:pPr>
    </w:p>
    <w:p w14:paraId="6AAC04C8" w14:textId="68144B8F" w:rsidR="00385ECB" w:rsidRDefault="0087626A" w:rsidP="00424F1B">
      <w:pPr>
        <w:ind w:firstLine="720"/>
      </w:pPr>
      <w:r>
        <w:t xml:space="preserve">Recognizing the </w:t>
      </w:r>
      <w:r w:rsidR="00BC05CC">
        <w:t xml:space="preserve">supreme </w:t>
      </w:r>
      <w:r>
        <w:t xml:space="preserve">naturalness of Bowers’s desire for same-gender sex might have </w:t>
      </w:r>
      <w:r w:rsidR="00B56717">
        <w:t xml:space="preserve">made the </w:t>
      </w:r>
      <w:r w:rsidR="00B56717">
        <w:rPr>
          <w:i/>
          <w:iCs/>
        </w:rPr>
        <w:t>Bowers</w:t>
      </w:r>
      <w:r w:rsidR="00B56717">
        <w:t xml:space="preserve"> Court curious </w:t>
      </w:r>
      <w:r w:rsidR="00DD3E59">
        <w:t xml:space="preserve">about </w:t>
      </w:r>
      <w:r w:rsidR="00575B27">
        <w:t>why so much of</w:t>
      </w:r>
      <w:r w:rsidR="00B56717">
        <w:t xml:space="preserve"> society </w:t>
      </w:r>
      <w:r w:rsidR="00575B27">
        <w:t>believed</w:t>
      </w:r>
      <w:r w:rsidR="00B56717">
        <w:t xml:space="preserve"> that such sex is </w:t>
      </w:r>
      <w:r w:rsidR="00B56717">
        <w:rPr>
          <w:i/>
          <w:iCs/>
        </w:rPr>
        <w:t>un</w:t>
      </w:r>
      <w:r w:rsidR="00B56717">
        <w:t xml:space="preserve">natural. </w:t>
      </w:r>
      <w:r w:rsidR="001A1121">
        <w:t xml:space="preserve">That curiosity might have prompted a </w:t>
      </w:r>
      <w:r w:rsidR="003C2B3F">
        <w:t>deeper</w:t>
      </w:r>
      <w:r w:rsidR="001A1121">
        <w:t xml:space="preserve"> historical analysis </w:t>
      </w:r>
      <w:r w:rsidR="00575B27">
        <w:t>that exposed</w:t>
      </w:r>
      <w:r w:rsidR="002A0638">
        <w:t xml:space="preserve"> </w:t>
      </w:r>
      <w:r w:rsidR="003C2B3F">
        <w:t>the roots of that belief in domination</w:t>
      </w:r>
      <w:r w:rsidR="00A76FCC">
        <w:t>. Regardless,</w:t>
      </w:r>
      <w:r w:rsidR="00CF7C42">
        <w:t xml:space="preserve"> </w:t>
      </w:r>
      <w:r w:rsidR="007C36A5">
        <w:t xml:space="preserve">under the Epicurean approach, </w:t>
      </w:r>
      <w:r w:rsidR="00F94AFA">
        <w:t xml:space="preserve">the Court would have recognized that </w:t>
      </w:r>
      <w:r w:rsidR="00665807">
        <w:t xml:space="preserve">enacting and </w:t>
      </w:r>
      <w:r w:rsidR="00A810AF">
        <w:t xml:space="preserve">enforcing a </w:t>
      </w:r>
      <w:r w:rsidR="00BC05CC">
        <w:t>near-</w:t>
      </w:r>
      <w:r w:rsidR="00A810AF">
        <w:t>total</w:t>
      </w:r>
      <w:r w:rsidR="00BC05CC">
        <w:t xml:space="preserve"> impingement </w:t>
      </w:r>
      <w:r w:rsidR="00A810AF">
        <w:t>of</w:t>
      </w:r>
      <w:r w:rsidR="00BC05CC">
        <w:t xml:space="preserve"> Michael Bower’s natural liberty interest </w:t>
      </w:r>
      <w:r w:rsidR="00665807">
        <w:t>requires</w:t>
      </w:r>
      <w:r w:rsidR="00A810AF">
        <w:t xml:space="preserve"> for</w:t>
      </w:r>
      <w:r w:rsidR="00CD167D">
        <w:t xml:space="preserve"> </w:t>
      </w:r>
      <w:r w:rsidR="00A810AF">
        <w:t>a correspondingly high level of process</w:t>
      </w:r>
      <w:r w:rsidR="00665807">
        <w:t>—considerably more than the routine legislative and judicial procedures by which Georgia enacted its sodomy ban and enforced it against Michael Bowers.</w:t>
      </w:r>
    </w:p>
    <w:p w14:paraId="27D3AF26" w14:textId="77777777" w:rsidR="00AE0213" w:rsidRDefault="00AE0213" w:rsidP="00AE0213">
      <w:pPr>
        <w:ind w:firstLine="0"/>
      </w:pPr>
    </w:p>
    <w:p w14:paraId="44911E7B" w14:textId="46177672" w:rsidR="00AE0213" w:rsidRDefault="007E7166" w:rsidP="00AE0213">
      <w:pPr>
        <w:pStyle w:val="Heading3"/>
      </w:pPr>
      <w:r>
        <w:t xml:space="preserve">The Epicurean Approach: </w:t>
      </w:r>
      <w:r w:rsidR="00AE0213">
        <w:rPr>
          <w:i/>
          <w:iCs/>
        </w:rPr>
        <w:t>Lawrence v. Texas</w:t>
      </w:r>
    </w:p>
    <w:p w14:paraId="5E05F9B9" w14:textId="77777777" w:rsidR="00AE0213" w:rsidRDefault="00AE0213" w:rsidP="00AE0213"/>
    <w:p w14:paraId="04652088" w14:textId="449C77B8" w:rsidR="00AE0213" w:rsidRPr="002143C7" w:rsidRDefault="00EF1AAD" w:rsidP="00F63CE9">
      <w:pPr>
        <w:ind w:firstLine="720"/>
      </w:pPr>
      <w:r>
        <w:t>That is</w:t>
      </w:r>
      <w:r w:rsidR="00320CB8">
        <w:t xml:space="preserve"> exactly</w:t>
      </w:r>
      <w:r>
        <w:t xml:space="preserve"> what happened almost two decades later in </w:t>
      </w:r>
      <w:r>
        <w:rPr>
          <w:i/>
          <w:iCs/>
        </w:rPr>
        <w:t>Lawrence v. Texas</w:t>
      </w:r>
      <w:r>
        <w:t>.</w:t>
      </w:r>
      <w:r w:rsidR="00F63CE9">
        <w:rPr>
          <w:rStyle w:val="FootnoteReference"/>
        </w:rPr>
        <w:footnoteReference w:id="313"/>
      </w:r>
      <w:r w:rsidR="00F63CE9">
        <w:t xml:space="preserve"> </w:t>
      </w:r>
      <w:r w:rsidR="00516B44">
        <w:t xml:space="preserve">In </w:t>
      </w:r>
      <w:r w:rsidR="002A6CF7">
        <w:t>a near-identical repeat of the circumstances in</w:t>
      </w:r>
      <w:r w:rsidR="00F37747">
        <w:t xml:space="preserve"> </w:t>
      </w:r>
      <w:r w:rsidR="00F37747">
        <w:rPr>
          <w:i/>
          <w:iCs/>
        </w:rPr>
        <w:t>Bowers</w:t>
      </w:r>
      <w:r w:rsidR="00F37747">
        <w:t>, Houston police visited the home of John Lawrence and found him having sex with another man.</w:t>
      </w:r>
      <w:r w:rsidR="00F37747">
        <w:rPr>
          <w:rStyle w:val="FootnoteReference"/>
        </w:rPr>
        <w:footnoteReference w:id="314"/>
      </w:r>
      <w:r w:rsidR="008B17C3">
        <w:t xml:space="preserve"> Lawrence </w:t>
      </w:r>
      <w:r w:rsidR="00304342">
        <w:t>was charged and convicted of</w:t>
      </w:r>
      <w:r w:rsidR="002A6CF7">
        <w:t xml:space="preserve"> “deviate sexual intercourse.”</w:t>
      </w:r>
      <w:r w:rsidR="002A6CF7">
        <w:rPr>
          <w:rStyle w:val="FootnoteReference"/>
        </w:rPr>
        <w:footnoteReference w:id="315"/>
      </w:r>
      <w:r w:rsidR="00304342">
        <w:t xml:space="preserve"> Like Michael Bowers before him, Lawrence </w:t>
      </w:r>
      <w:r w:rsidR="00550500">
        <w:t>challenged his conviction under the Due Process Clause of the Fourteenth Amendment.</w:t>
      </w:r>
      <w:r w:rsidR="00550500">
        <w:rPr>
          <w:rStyle w:val="FootnoteReference"/>
        </w:rPr>
        <w:footnoteReference w:id="316"/>
      </w:r>
      <w:r w:rsidR="002143C7">
        <w:t xml:space="preserve"> After </w:t>
      </w:r>
      <w:r w:rsidR="006C640F">
        <w:t>Lawrence’s claim failed in the Texas courts, t</w:t>
      </w:r>
      <w:r w:rsidR="002143C7">
        <w:t xml:space="preserve">he Supreme Court accepted </w:t>
      </w:r>
      <w:r w:rsidR="006C640F">
        <w:t>his</w:t>
      </w:r>
      <w:r w:rsidR="002143C7">
        <w:t xml:space="preserve"> invitation to reconsider </w:t>
      </w:r>
      <w:r w:rsidR="002143C7">
        <w:rPr>
          <w:i/>
          <w:iCs/>
        </w:rPr>
        <w:t>Bowers</w:t>
      </w:r>
      <w:r w:rsidR="002143C7">
        <w:t>.</w:t>
      </w:r>
    </w:p>
    <w:p w14:paraId="4A6CE5E6" w14:textId="77777777" w:rsidR="00030E49" w:rsidRDefault="00030E49" w:rsidP="00424F1B">
      <w:pPr>
        <w:ind w:firstLine="720"/>
      </w:pPr>
    </w:p>
    <w:p w14:paraId="7E7E8D69" w14:textId="49977E5F" w:rsidR="00E64E25" w:rsidRDefault="00734009" w:rsidP="009305AE">
      <w:pPr>
        <w:ind w:firstLine="720"/>
      </w:pPr>
      <w:r>
        <w:t xml:space="preserve">Though the </w:t>
      </w:r>
      <w:r>
        <w:rPr>
          <w:i/>
          <w:iCs/>
        </w:rPr>
        <w:t>Lawrence</w:t>
      </w:r>
      <w:r>
        <w:t xml:space="preserve"> </w:t>
      </w:r>
      <w:r w:rsidR="00D97365">
        <w:t xml:space="preserve">Court engaged critically with </w:t>
      </w:r>
      <w:r w:rsidR="00D97365">
        <w:rPr>
          <w:i/>
          <w:iCs/>
        </w:rPr>
        <w:t>Bowers</w:t>
      </w:r>
      <w:r w:rsidR="00D97365">
        <w:t xml:space="preserve">’s </w:t>
      </w:r>
      <w:r w:rsidR="00D97365">
        <w:lastRenderedPageBreak/>
        <w:t xml:space="preserve">historical </w:t>
      </w:r>
      <w:r w:rsidR="00FF643E">
        <w:t xml:space="preserve">survey of </w:t>
      </w:r>
      <w:r w:rsidR="004A0769">
        <w:t xml:space="preserve">social </w:t>
      </w:r>
      <w:r w:rsidR="00FF643E">
        <w:t>attitudes toward same-gender sex</w:t>
      </w:r>
      <w:r w:rsidR="00D97365">
        <w:t>,</w:t>
      </w:r>
      <w:r w:rsidR="00D97365">
        <w:rPr>
          <w:rStyle w:val="FootnoteReference"/>
        </w:rPr>
        <w:footnoteReference w:id="317"/>
      </w:r>
      <w:r w:rsidR="000B267C">
        <w:t xml:space="preserve"> </w:t>
      </w:r>
      <w:r w:rsidR="000A3DB1">
        <w:t xml:space="preserve">its primary innovation was </w:t>
      </w:r>
      <w:r w:rsidR="00705041">
        <w:t>to reject</w:t>
      </w:r>
      <w:r w:rsidR="00C60DE9">
        <w:t xml:space="preserve"> historical</w:t>
      </w:r>
      <w:r w:rsidR="00705041">
        <w:t xml:space="preserve"> </w:t>
      </w:r>
      <w:r w:rsidR="004A0769">
        <w:t>social attitudes</w:t>
      </w:r>
      <w:r w:rsidR="00C60DE9">
        <w:t xml:space="preserve"> </w:t>
      </w:r>
      <w:r w:rsidR="004A0769">
        <w:t xml:space="preserve">as </w:t>
      </w:r>
      <w:r w:rsidR="00661840">
        <w:t xml:space="preserve">inherently sufficient justification for </w:t>
      </w:r>
      <w:r w:rsidR="00EC4C8D">
        <w:t>governmental regulation</w:t>
      </w:r>
      <w:r w:rsidR="00C60DE9">
        <w:t>.</w:t>
      </w:r>
      <w:r w:rsidR="00273AA6">
        <w:rPr>
          <w:rStyle w:val="FootnoteReference"/>
        </w:rPr>
        <w:footnoteReference w:id="318"/>
      </w:r>
      <w:r w:rsidR="00D405C3">
        <w:t xml:space="preserve"> </w:t>
      </w:r>
      <w:r w:rsidR="00C84BD0">
        <w:t xml:space="preserve">The </w:t>
      </w:r>
      <w:r w:rsidR="00C84BD0">
        <w:rPr>
          <w:i/>
          <w:iCs/>
        </w:rPr>
        <w:t>Bowers</w:t>
      </w:r>
      <w:r w:rsidR="00C84BD0">
        <w:t xml:space="preserve"> Court erred in treating historical social attitudes as </w:t>
      </w:r>
      <w:r w:rsidR="00FF512A">
        <w:t xml:space="preserve">the </w:t>
      </w:r>
      <w:r w:rsidR="00FF512A" w:rsidRPr="00FF512A">
        <w:rPr>
          <w:i/>
          <w:iCs/>
        </w:rPr>
        <w:t>end</w:t>
      </w:r>
      <w:r w:rsidR="00FF512A">
        <w:t xml:space="preserve"> of substantive due process analysis instead of merely as </w:t>
      </w:r>
      <w:r w:rsidR="00743577">
        <w:t>one</w:t>
      </w:r>
      <w:r w:rsidR="00FF512A">
        <w:t xml:space="preserve"> </w:t>
      </w:r>
      <w:r w:rsidR="008169FF">
        <w:rPr>
          <w:i/>
          <w:iCs/>
        </w:rPr>
        <w:t>means</w:t>
      </w:r>
      <w:r w:rsidR="008169FF">
        <w:t xml:space="preserve"> of </w:t>
      </w:r>
      <w:r w:rsidR="00743577">
        <w:t xml:space="preserve">determining the ultimate criterion of </w:t>
      </w:r>
      <w:r w:rsidR="004056F9">
        <w:t>constitutional liberty.</w:t>
      </w:r>
      <w:r w:rsidR="004056F9">
        <w:rPr>
          <w:rStyle w:val="FootnoteReference"/>
        </w:rPr>
        <w:footnoteReference w:id="319"/>
      </w:r>
      <w:r w:rsidR="007D50D2">
        <w:t xml:space="preserve"> </w:t>
      </w:r>
      <w:r w:rsidR="000E154F">
        <w:t xml:space="preserve">The </w:t>
      </w:r>
      <w:r w:rsidR="000E154F">
        <w:rPr>
          <w:i/>
          <w:iCs/>
        </w:rPr>
        <w:t>Lawrence</w:t>
      </w:r>
      <w:r w:rsidR="000E154F">
        <w:t xml:space="preserve"> Court defined this criterion </w:t>
      </w:r>
      <w:r w:rsidR="00635421">
        <w:t xml:space="preserve">by quoting at some length from </w:t>
      </w:r>
      <w:r w:rsidR="00635421">
        <w:rPr>
          <w:i/>
          <w:iCs/>
        </w:rPr>
        <w:t>Planned Parenthood v. Casey</w:t>
      </w:r>
      <w:r w:rsidR="00635421">
        <w:t>:</w:t>
      </w:r>
    </w:p>
    <w:p w14:paraId="1B163B68" w14:textId="77777777" w:rsidR="00635421" w:rsidRDefault="00635421" w:rsidP="009305AE">
      <w:pPr>
        <w:ind w:firstLine="720"/>
      </w:pPr>
    </w:p>
    <w:p w14:paraId="595657BC" w14:textId="1CBBB0DC" w:rsidR="00635421" w:rsidRDefault="00A72986" w:rsidP="00A72986">
      <w:pPr>
        <w:ind w:left="810" w:firstLine="0"/>
      </w:pPr>
      <w:r w:rsidRPr="00A72986">
        <w:t xml:space="preserve">These matters, involving the most intimate and personal choices a person may make in a lifetime, choices central to personal dignity and autonomy, are central to the liberty protected by the Fourteenth Amendment. At the heart of liberty is the right to define one's own concept of existence, of meaning, of the universe, and of the mystery of human life. Beliefs about these matters could not define the attributes of personhood </w:t>
      </w:r>
      <w:proofErr w:type="gramStart"/>
      <w:r w:rsidRPr="00A72986">
        <w:t>were</w:t>
      </w:r>
      <w:proofErr w:type="gramEnd"/>
      <w:r w:rsidRPr="00A72986">
        <w:t xml:space="preserve"> they formed under </w:t>
      </w:r>
      <w:proofErr w:type="gramStart"/>
      <w:r w:rsidRPr="00A72986">
        <w:t>compulsion</w:t>
      </w:r>
      <w:proofErr w:type="gramEnd"/>
      <w:r w:rsidRPr="00A72986">
        <w:t xml:space="preserve"> of the State.</w:t>
      </w:r>
      <w:r>
        <w:rPr>
          <w:rStyle w:val="FootnoteReference"/>
        </w:rPr>
        <w:footnoteReference w:id="320"/>
      </w:r>
    </w:p>
    <w:p w14:paraId="0A86DDA5" w14:textId="77777777" w:rsidR="00A87783" w:rsidRDefault="00A87783" w:rsidP="00A72986">
      <w:pPr>
        <w:ind w:left="810" w:firstLine="0"/>
      </w:pPr>
    </w:p>
    <w:p w14:paraId="40E6D667" w14:textId="72179054" w:rsidR="00A87783" w:rsidRDefault="001C1F56" w:rsidP="00151AC7">
      <w:pPr>
        <w:ind w:firstLine="720"/>
      </w:pPr>
      <w:r>
        <w:t xml:space="preserve">This </w:t>
      </w:r>
      <w:r w:rsidR="0068342F">
        <w:t>(</w:t>
      </w:r>
      <w:r>
        <w:t>in</w:t>
      </w:r>
      <w:r w:rsidR="0068342F">
        <w:t>)</w:t>
      </w:r>
      <w:r>
        <w:t>famous</w:t>
      </w:r>
      <w:r w:rsidR="00711D1B">
        <w:t xml:space="preserve"> passage</w:t>
      </w:r>
      <w:r w:rsidR="00B44BF9">
        <w:t xml:space="preserve"> warrants unpacking.</w:t>
      </w:r>
      <w:r w:rsidR="00CB3EED">
        <w:t xml:space="preserve"> In it, the Court holds that the Due Process Clause marks off a zone of liberty interests </w:t>
      </w:r>
      <w:r w:rsidR="00281C0C">
        <w:t>in</w:t>
      </w:r>
      <w:r w:rsidR="00CB3EED">
        <w:t xml:space="preserve"> which individuals </w:t>
      </w:r>
      <w:r w:rsidR="002E5132">
        <w:t xml:space="preserve">possess </w:t>
      </w:r>
      <w:r w:rsidR="00C05601">
        <w:t xml:space="preserve">the presumptive right to make choices that align with their subjective </w:t>
      </w:r>
      <w:r w:rsidR="00281C0C">
        <w:t xml:space="preserve">preferences </w:t>
      </w:r>
      <w:r w:rsidR="00E42E2A">
        <w:t xml:space="preserve">free from government regulation. The Court </w:t>
      </w:r>
      <w:r w:rsidR="00FF220A">
        <w:t>defines that zone using several different phrases</w:t>
      </w:r>
      <w:r w:rsidR="002B31B5">
        <w:t>,</w:t>
      </w:r>
      <w:r w:rsidR="007211E9">
        <w:t xml:space="preserve"> each suggesting centrality to self-definition</w:t>
      </w:r>
      <w:r w:rsidR="004B38B0">
        <w:t xml:space="preserve">, particularly regarding our </w:t>
      </w:r>
      <w:r w:rsidR="000F26AA">
        <w:t xml:space="preserve">relationships </w:t>
      </w:r>
      <w:proofErr w:type="gramStart"/>
      <w:r w:rsidR="000F26AA">
        <w:t>to</w:t>
      </w:r>
      <w:proofErr w:type="gramEnd"/>
      <w:r w:rsidR="000F26AA">
        <w:t xml:space="preserve"> one another.</w:t>
      </w:r>
      <w:r w:rsidR="000F26AA">
        <w:rPr>
          <w:rStyle w:val="FootnoteReference"/>
        </w:rPr>
        <w:footnoteReference w:id="321"/>
      </w:r>
      <w:r w:rsidR="00076293">
        <w:t xml:space="preserve"> </w:t>
      </w:r>
      <w:r w:rsidR="007D49D4">
        <w:t xml:space="preserve">Finally, </w:t>
      </w:r>
      <w:r w:rsidR="00445E09">
        <w:t xml:space="preserve">the </w:t>
      </w:r>
      <w:r w:rsidR="007D49D4">
        <w:t>Court implie</w:t>
      </w:r>
      <w:r w:rsidR="002436DE">
        <w:t>s</w:t>
      </w:r>
      <w:r w:rsidR="007D49D4">
        <w:t xml:space="preserve"> </w:t>
      </w:r>
      <w:r w:rsidR="00F26E05">
        <w:t xml:space="preserve">that the Due Process Clause protects </w:t>
      </w:r>
      <w:r>
        <w:t xml:space="preserve">personal </w:t>
      </w:r>
      <w:r w:rsidR="00B62872">
        <w:t>decisions</w:t>
      </w:r>
      <w:r w:rsidR="0019264C">
        <w:t xml:space="preserve"> within that zone </w:t>
      </w:r>
      <w:r w:rsidR="0019264C">
        <w:rPr>
          <w:i/>
        </w:rPr>
        <w:t>even if</w:t>
      </w:r>
      <w:r w:rsidR="0019264C">
        <w:rPr>
          <w:iCs/>
        </w:rPr>
        <w:t xml:space="preserve"> historical and contemporary social attitudes permit or even encourage governmental regulation</w:t>
      </w:r>
      <w:r w:rsidR="00A70699">
        <w:t>.</w:t>
      </w:r>
      <w:r w:rsidR="0019264C">
        <w:rPr>
          <w:rStyle w:val="FootnoteReference"/>
        </w:rPr>
        <w:footnoteReference w:id="322"/>
      </w:r>
    </w:p>
    <w:p w14:paraId="0D3AE222" w14:textId="77777777" w:rsidR="00252597" w:rsidRDefault="00252597" w:rsidP="00151AC7">
      <w:pPr>
        <w:ind w:firstLine="720"/>
      </w:pPr>
    </w:p>
    <w:p w14:paraId="105356C0" w14:textId="05A9E359" w:rsidR="00252597" w:rsidRDefault="00DA7569" w:rsidP="00151AC7">
      <w:pPr>
        <w:ind w:firstLine="720"/>
      </w:pPr>
      <w:r>
        <w:t>T</w:t>
      </w:r>
      <w:r w:rsidR="00F4537D">
        <w:t xml:space="preserve">his analysis </w:t>
      </w:r>
      <w:r>
        <w:t>should seem</w:t>
      </w:r>
      <w:r w:rsidR="00F4537D">
        <w:t xml:space="preserve"> familiar</w:t>
      </w:r>
      <w:r w:rsidR="00B9425D">
        <w:t xml:space="preserve"> because it closely tracks the </w:t>
      </w:r>
      <w:r w:rsidR="00B9425D">
        <w:lastRenderedPageBreak/>
        <w:t xml:space="preserve">Epicurean approach to substantive due process </w:t>
      </w:r>
      <w:r w:rsidR="0040751D">
        <w:t xml:space="preserve">articulated above. </w:t>
      </w:r>
      <w:r w:rsidR="00CC13EC">
        <w:t xml:space="preserve">Like </w:t>
      </w:r>
      <w:r w:rsidR="00CC13EC">
        <w:rPr>
          <w:i/>
          <w:iCs/>
        </w:rPr>
        <w:t>Lawrence</w:t>
      </w:r>
      <w:r w:rsidR="00CC13EC">
        <w:t xml:space="preserve">, the Epicurean approach defines liberty as the </w:t>
      </w:r>
      <w:r w:rsidR="00DA6358">
        <w:t>right to align one’s choices with one’s subjective preferences.</w:t>
      </w:r>
      <w:r w:rsidR="00DA6358">
        <w:rPr>
          <w:rStyle w:val="FootnoteReference"/>
        </w:rPr>
        <w:footnoteReference w:id="323"/>
      </w:r>
      <w:r w:rsidR="00DA6358">
        <w:t xml:space="preserve"> </w:t>
      </w:r>
      <w:r w:rsidR="0002325E">
        <w:t xml:space="preserve">Though its terminology </w:t>
      </w:r>
      <w:r w:rsidR="00EA2EAF">
        <w:t>differs</w:t>
      </w:r>
      <w:r w:rsidR="0002325E">
        <w:t xml:space="preserve">, the Epicurean approach—like </w:t>
      </w:r>
      <w:r w:rsidR="0002325E">
        <w:rPr>
          <w:i/>
          <w:iCs/>
        </w:rPr>
        <w:t>Lawrence</w:t>
      </w:r>
      <w:r w:rsidR="00EA2EAF">
        <w:t>—</w:t>
      </w:r>
      <w:r w:rsidR="00756424">
        <w:t xml:space="preserve">places </w:t>
      </w:r>
      <w:r w:rsidR="004A1FA0">
        <w:t xml:space="preserve">a </w:t>
      </w:r>
      <w:r w:rsidR="00756424">
        <w:t xml:space="preserve">higher value on liberty </w:t>
      </w:r>
      <w:r w:rsidR="004A1FA0">
        <w:t>interests central to self-definition.</w:t>
      </w:r>
      <w:r w:rsidR="004A1FA0">
        <w:rPr>
          <w:rStyle w:val="FootnoteReference"/>
        </w:rPr>
        <w:footnoteReference w:id="324"/>
      </w:r>
      <w:r w:rsidR="004A1FA0">
        <w:t xml:space="preserve"> </w:t>
      </w:r>
      <w:r w:rsidR="00BC00EA">
        <w:t xml:space="preserve">And like </w:t>
      </w:r>
      <w:r w:rsidR="00BC00EA">
        <w:rPr>
          <w:i/>
          <w:iCs/>
        </w:rPr>
        <w:t>Lawrence</w:t>
      </w:r>
      <w:r w:rsidR="00BC00EA">
        <w:t xml:space="preserve">, the </w:t>
      </w:r>
      <w:r w:rsidR="00D26FE6">
        <w:t xml:space="preserve">Epicurean approach </w:t>
      </w:r>
      <w:r w:rsidR="00382207">
        <w:t xml:space="preserve">acknowledges that the passage of time may expose </w:t>
      </w:r>
      <w:r w:rsidR="003D0D4F">
        <w:t xml:space="preserve">negative </w:t>
      </w:r>
      <w:r w:rsidR="00382207">
        <w:t>social attitudes</w:t>
      </w:r>
      <w:r w:rsidR="00BD26FD">
        <w:t xml:space="preserve"> </w:t>
      </w:r>
      <w:r w:rsidR="003D0D4F">
        <w:t>about</w:t>
      </w:r>
      <w:r w:rsidR="00BD26FD">
        <w:t xml:space="preserve"> a liberty interest </w:t>
      </w:r>
      <w:r w:rsidR="003D0D4F">
        <w:t>as</w:t>
      </w:r>
      <w:r w:rsidR="00BD26FD">
        <w:t xml:space="preserve"> the lingering consequence of the naturalizing tendencies of domination rather than </w:t>
      </w:r>
      <w:r w:rsidR="00877362">
        <w:t xml:space="preserve">genuine human </w:t>
      </w:r>
      <w:r w:rsidR="003D0D4F">
        <w:t>inclinations.</w:t>
      </w:r>
      <w:r w:rsidR="00DB3A88">
        <w:rPr>
          <w:rStyle w:val="FootnoteReference"/>
        </w:rPr>
        <w:footnoteReference w:id="325"/>
      </w:r>
    </w:p>
    <w:p w14:paraId="00C5D502" w14:textId="77777777" w:rsidR="00DB3A88" w:rsidRDefault="00DB3A88" w:rsidP="00151AC7">
      <w:pPr>
        <w:ind w:firstLine="720"/>
      </w:pPr>
    </w:p>
    <w:p w14:paraId="18FB0D65" w14:textId="77777777" w:rsidR="00556788" w:rsidRDefault="000512AB" w:rsidP="00151AC7">
      <w:pPr>
        <w:ind w:firstLine="720"/>
      </w:pPr>
      <w:r>
        <w:t xml:space="preserve">In short, </w:t>
      </w:r>
      <w:r w:rsidR="005A2735">
        <w:rPr>
          <w:i/>
          <w:iCs/>
        </w:rPr>
        <w:t>Lawrence</w:t>
      </w:r>
      <w:r w:rsidR="005A2735">
        <w:t xml:space="preserve"> was </w:t>
      </w:r>
      <w:r w:rsidR="00470856">
        <w:t xml:space="preserve">not an untethered elevation of personal preferences masquerading as constitutional law. </w:t>
      </w:r>
      <w:r w:rsidR="004A635B">
        <w:t xml:space="preserve">Instead, </w:t>
      </w:r>
      <w:r w:rsidR="004A635B">
        <w:rPr>
          <w:i/>
          <w:iCs/>
        </w:rPr>
        <w:t>Lawrence</w:t>
      </w:r>
      <w:r w:rsidR="004A635B">
        <w:t xml:space="preserve"> was </w:t>
      </w:r>
      <w:r w:rsidR="00470856">
        <w:t xml:space="preserve">a </w:t>
      </w:r>
      <w:r w:rsidR="00C30169">
        <w:t>philosophically</w:t>
      </w:r>
      <w:r w:rsidR="00E73D32">
        <w:t xml:space="preserve"> consistent opinion </w:t>
      </w:r>
      <w:r w:rsidR="00B34E2A">
        <w:t xml:space="preserve">grounded in an understanding of liberty as subjective and dynamic </w:t>
      </w:r>
      <w:r w:rsidR="00064711">
        <w:t xml:space="preserve">that the Framers would have recognized and </w:t>
      </w:r>
      <w:r w:rsidR="00831F82">
        <w:t>ratified.</w:t>
      </w:r>
      <w:r w:rsidR="004A635B">
        <w:t xml:space="preserve"> </w:t>
      </w:r>
      <w:r w:rsidR="00DF1167">
        <w:t xml:space="preserve">Justice Kennedy </w:t>
      </w:r>
      <w:r w:rsidR="00556788">
        <w:t xml:space="preserve">captured this understanding in the final paragraph of </w:t>
      </w:r>
      <w:r w:rsidR="00556788">
        <w:rPr>
          <w:i/>
          <w:iCs/>
        </w:rPr>
        <w:t>Lawrence</w:t>
      </w:r>
      <w:r w:rsidR="00556788">
        <w:t>:</w:t>
      </w:r>
    </w:p>
    <w:p w14:paraId="3EF4F2EE" w14:textId="77777777" w:rsidR="00556788" w:rsidRDefault="00556788" w:rsidP="00151AC7">
      <w:pPr>
        <w:ind w:firstLine="720"/>
      </w:pPr>
    </w:p>
    <w:p w14:paraId="00BEF106" w14:textId="4B933293" w:rsidR="00625167" w:rsidRDefault="00114A11" w:rsidP="001E7532">
      <w:pPr>
        <w:ind w:left="720" w:firstLine="0"/>
      </w:pPr>
      <w:r w:rsidRPr="00114A11">
        <w:t xml:space="preserve">Had those who drew and ratified the Due Process Clauses of the Fifth </w:t>
      </w:r>
      <w:proofErr w:type="gramStart"/>
      <w:r w:rsidRPr="00114A11">
        <w:t>Amendment</w:t>
      </w:r>
      <w:proofErr w:type="gramEnd"/>
      <w:r w:rsidRPr="00114A11">
        <w:t xml:space="preserve"> or the Fourteenth Amendment known the components of liberty in its manifold possibilities, they might have been more specific. They did not presume </w:t>
      </w:r>
      <w:proofErr w:type="gramStart"/>
      <w:r w:rsidRPr="00114A11">
        <w:t>to have</w:t>
      </w:r>
      <w:proofErr w:type="gramEnd"/>
      <w:r w:rsidRPr="00114A11">
        <w:t xml:space="preserve"> this insight. They knew times can blind us to certain truths and later generations can see that laws once thought necessary and proper in fact serve only to oppress. As the Constitution endures, </w:t>
      </w:r>
      <w:proofErr w:type="gramStart"/>
      <w:r w:rsidRPr="00114A11">
        <w:t>persons</w:t>
      </w:r>
      <w:proofErr w:type="gramEnd"/>
      <w:r w:rsidRPr="00114A11">
        <w:t xml:space="preserve"> in every generation can invoke its principles in their own search for greater freedom.</w:t>
      </w:r>
      <w:r>
        <w:rPr>
          <w:rStyle w:val="FootnoteReference"/>
        </w:rPr>
        <w:footnoteReference w:id="326"/>
      </w:r>
    </w:p>
    <w:p w14:paraId="3960770F" w14:textId="77777777" w:rsidR="00703C87" w:rsidRPr="00E64E25" w:rsidRDefault="00703C87" w:rsidP="003B248D">
      <w:pPr>
        <w:ind w:firstLine="0"/>
      </w:pPr>
    </w:p>
    <w:p w14:paraId="2310E4CC" w14:textId="3490785A" w:rsidR="000D470D" w:rsidRDefault="000D470D" w:rsidP="000D470D">
      <w:pPr>
        <w:pStyle w:val="Heading1"/>
      </w:pPr>
      <w:r>
        <w:t xml:space="preserve">III. </w:t>
      </w:r>
      <w:r w:rsidR="00FA69DB">
        <w:t>Are Children Human?</w:t>
      </w:r>
      <w:r w:rsidR="004920B0">
        <w:rPr>
          <w:rStyle w:val="FootnoteReference"/>
        </w:rPr>
        <w:footnoteReference w:id="327"/>
      </w:r>
    </w:p>
    <w:p w14:paraId="5CAAA2C4" w14:textId="77777777" w:rsidR="00FA69DB" w:rsidRDefault="00FA69DB" w:rsidP="00FA69DB"/>
    <w:p w14:paraId="55C8194C" w14:textId="1E8B7A41" w:rsidR="00016028" w:rsidRDefault="00854194" w:rsidP="00FA69DB">
      <w:pPr>
        <w:ind w:firstLine="720"/>
      </w:pPr>
      <w:r>
        <w:lastRenderedPageBreak/>
        <w:t>In truth, m</w:t>
      </w:r>
      <w:r w:rsidR="005922FC">
        <w:t xml:space="preserve">y discovery of joy when I tried on a dress for the first time at the age of thirty-two was more of a re-discovery. </w:t>
      </w:r>
      <w:r w:rsidR="00793026">
        <w:t xml:space="preserve">Though my memories </w:t>
      </w:r>
      <w:r w:rsidR="001D66A0">
        <w:t xml:space="preserve">of the </w:t>
      </w:r>
      <w:r w:rsidR="00462A49">
        <w:t xml:space="preserve">period </w:t>
      </w:r>
      <w:r w:rsidR="00793026">
        <w:t xml:space="preserve">are fragmentary, joy seems to have supplied the central organizing principle of my life until I was about five years old. </w:t>
      </w:r>
      <w:r w:rsidR="002D0F47">
        <w:t>Kodak prints and VHS tapes</w:t>
      </w:r>
      <w:r w:rsidR="001C1F34">
        <w:t xml:space="preserve"> from that period unfailingly</w:t>
      </w:r>
      <w:r w:rsidR="002D0F47">
        <w:t xml:space="preserve"> </w:t>
      </w:r>
      <w:r w:rsidR="001C1F34">
        <w:t>show a child overflowing with</w:t>
      </w:r>
      <w:r w:rsidR="002D0F47">
        <w:t xml:space="preserve"> </w:t>
      </w:r>
      <w:r w:rsidR="004E5CAF">
        <w:t xml:space="preserve">energy, a precocious little ham who would put on a grand show for the smallest of audiences at the drop of a hat. In one endearingly prophetic Olan Mills shot, an exuberant young Tyler Rose </w:t>
      </w:r>
      <w:r w:rsidR="00016028">
        <w:t>claps her hands over an open storybook balanced on her lap.</w:t>
      </w:r>
      <w:r w:rsidR="0038394E">
        <w:t xml:space="preserve"> </w:t>
      </w:r>
      <w:r w:rsidR="00016028">
        <w:t xml:space="preserve">By the age of eleven, that </w:t>
      </w:r>
      <w:r w:rsidR="00FB71B6">
        <w:t xml:space="preserve">girl had vanished. In her place was a painfully shy, deeply insecure, achingly lonely “sissy” who hid away with her books and video games </w:t>
      </w:r>
      <w:r w:rsidR="00BD42D7">
        <w:t xml:space="preserve">as often as she could get away with. </w:t>
      </w:r>
    </w:p>
    <w:p w14:paraId="01858AA9" w14:textId="77777777" w:rsidR="0038394E" w:rsidRDefault="0038394E" w:rsidP="00FA69DB">
      <w:pPr>
        <w:ind w:firstLine="720"/>
      </w:pPr>
    </w:p>
    <w:p w14:paraId="022A648C" w14:textId="1D34E56A" w:rsidR="00F840B5" w:rsidRDefault="0038394E" w:rsidP="00FA69DB">
      <w:pPr>
        <w:ind w:firstLine="720"/>
      </w:pPr>
      <w:r>
        <w:t xml:space="preserve">What happened? Shame happened. </w:t>
      </w:r>
      <w:r w:rsidR="00B33A0B">
        <w:t xml:space="preserve">Shame is the opposite of joy. </w:t>
      </w:r>
      <w:r w:rsidR="00A21B53">
        <w:t>Not indifference, not sadness, not even despair</w:t>
      </w:r>
      <w:r w:rsidR="00282C13">
        <w:t>. S</w:t>
      </w:r>
      <w:r w:rsidR="00A21B53">
        <w:t xml:space="preserve">hame. </w:t>
      </w:r>
      <w:r w:rsidR="0048728A">
        <w:t>M</w:t>
      </w:r>
      <w:r w:rsidR="00595BAD">
        <w:t>any</w:t>
      </w:r>
      <w:r w:rsidR="00B502CE">
        <w:t xml:space="preserve"> trans people vividly recall their first experience of </w:t>
      </w:r>
      <w:r w:rsidR="003B6865">
        <w:t>shame related to their gender</w:t>
      </w:r>
      <w:r w:rsidR="00B502CE">
        <w:t>.</w:t>
      </w:r>
      <w:r w:rsidR="00A13A18">
        <w:t xml:space="preserve"> </w:t>
      </w:r>
      <w:r w:rsidR="001933CC">
        <w:t xml:space="preserve">My moment happened when I was </w:t>
      </w:r>
      <w:r w:rsidR="005247FE">
        <w:t>around</w:t>
      </w:r>
      <w:r w:rsidR="001933CC">
        <w:t xml:space="preserve"> five years old</w:t>
      </w:r>
      <w:r w:rsidR="008B0C45">
        <w:t xml:space="preserve">. I had </w:t>
      </w:r>
      <w:r w:rsidR="00B57579">
        <w:t>been obsessed with the</w:t>
      </w:r>
      <w:r w:rsidR="008B0C45">
        <w:t xml:space="preserve"> “Hollywood Hair Barbie</w:t>
      </w:r>
      <w:r w:rsidR="00B57579">
        <w:t xml:space="preserve">,” whose </w:t>
      </w:r>
      <w:r w:rsidR="00A065D0">
        <w:t>long blonde hair turned purple when sprayed with a magic solution, since I had seen her advertised du</w:t>
      </w:r>
      <w:r w:rsidR="00E31EE0">
        <w:t xml:space="preserve">ring Saturday morning cartoons. </w:t>
      </w:r>
      <w:r w:rsidR="00214BEF">
        <w:t>N</w:t>
      </w:r>
      <w:r w:rsidR="00E31EE0">
        <w:t xml:space="preserve">aturally, when my paternal grandfather asked me what I wanted for Christmas that year, I enthusiastically told him </w:t>
      </w:r>
      <w:r w:rsidR="00DC5719">
        <w:t xml:space="preserve">about her. </w:t>
      </w:r>
      <w:r w:rsidR="00823461">
        <w:t>Far from sharing my excitement</w:t>
      </w:r>
      <w:r w:rsidR="009A33FB">
        <w:t xml:space="preserve">, my grandfather’s face </w:t>
      </w:r>
      <w:r w:rsidR="00CF61C4">
        <w:t>fell</w:t>
      </w:r>
      <w:r w:rsidR="002962EE">
        <w:t>,</w:t>
      </w:r>
      <w:r w:rsidR="00CF61C4">
        <w:t xml:space="preserve"> and he turned away from me. </w:t>
      </w:r>
      <w:r w:rsidR="007661EE">
        <w:t xml:space="preserve">At the time, I lacked the vocabulary to describe the </w:t>
      </w:r>
      <w:r w:rsidR="00DE750A">
        <w:t xml:space="preserve">mortification radiating off him in waves. But I was old enough to receive the message clearly: </w:t>
      </w:r>
      <w:r w:rsidR="0041260D">
        <w:t>What I wanted</w:t>
      </w:r>
      <w:r w:rsidR="00006368">
        <w:t>—</w:t>
      </w:r>
      <w:r w:rsidR="0041260D">
        <w:t>who</w:t>
      </w:r>
      <w:r w:rsidR="00006368">
        <w:t xml:space="preserve"> </w:t>
      </w:r>
      <w:r w:rsidR="0041260D">
        <w:t>I was</w:t>
      </w:r>
      <w:r w:rsidR="00006368">
        <w:t>—</w:t>
      </w:r>
      <w:r w:rsidR="0041260D">
        <w:t>was</w:t>
      </w:r>
      <w:r w:rsidR="00006368">
        <w:t xml:space="preserve"> </w:t>
      </w:r>
      <w:r w:rsidR="0041260D">
        <w:t>not ok.</w:t>
      </w:r>
    </w:p>
    <w:p w14:paraId="1E41497A" w14:textId="77777777" w:rsidR="0041260D" w:rsidRDefault="0041260D" w:rsidP="00FA69DB">
      <w:pPr>
        <w:ind w:firstLine="720"/>
      </w:pPr>
    </w:p>
    <w:p w14:paraId="3F76D9EE" w14:textId="7DFA4170" w:rsidR="0017103E" w:rsidRDefault="008F4EF2" w:rsidP="00D54FBE">
      <w:pPr>
        <w:ind w:firstLine="720"/>
        <w:rPr>
          <w:iCs/>
        </w:rPr>
      </w:pPr>
      <w:r>
        <w:t xml:space="preserve">I have </w:t>
      </w:r>
      <w:r w:rsidR="00AB79F3">
        <w:t>often</w:t>
      </w:r>
      <w:r>
        <w:t xml:space="preserve"> described the years that followed as “the snuffing of the spark.”</w:t>
      </w:r>
      <w:r w:rsidR="00410884">
        <w:t xml:space="preserve"> </w:t>
      </w:r>
      <w:r w:rsidR="00D8325D">
        <w:t>Upon realizing</w:t>
      </w:r>
      <w:r w:rsidR="0088135F">
        <w:t xml:space="preserve"> that </w:t>
      </w:r>
      <w:r w:rsidR="00CE4BD9">
        <w:t xml:space="preserve">everyone </w:t>
      </w:r>
      <w:r w:rsidR="00D8325D">
        <w:t>around me</w:t>
      </w:r>
      <w:r w:rsidR="0088135F">
        <w:t xml:space="preserve"> expected me to </w:t>
      </w:r>
      <w:r w:rsidR="00FD36D1">
        <w:t>act like a boy, I tried very hard to do so. I was very bad at it.</w:t>
      </w:r>
      <w:r w:rsidR="00C75DF0">
        <w:t xml:space="preserve"> </w:t>
      </w:r>
      <w:r w:rsidR="00924CB0">
        <w:t>Joy</w:t>
      </w:r>
      <w:r w:rsidR="00EC2E67">
        <w:t xml:space="preserve"> no longer </w:t>
      </w:r>
      <w:r w:rsidR="008727F4">
        <w:t xml:space="preserve">served as my criterion for </w:t>
      </w:r>
      <w:r w:rsidR="00D55A36">
        <w:t xml:space="preserve">deciding what to do, wear, say, or be. </w:t>
      </w:r>
      <w:r w:rsidR="0017103E">
        <w:t xml:space="preserve">Now </w:t>
      </w:r>
      <w:r w:rsidR="0017103E">
        <w:rPr>
          <w:iCs/>
        </w:rPr>
        <w:t xml:space="preserve">I </w:t>
      </w:r>
      <w:proofErr w:type="gramStart"/>
      <w:r w:rsidR="0017103E">
        <w:rPr>
          <w:iCs/>
        </w:rPr>
        <w:t>was</w:t>
      </w:r>
      <w:proofErr w:type="gramEnd"/>
      <w:r w:rsidR="0017103E">
        <w:rPr>
          <w:iCs/>
        </w:rPr>
        <w:t xml:space="preserve"> driven by </w:t>
      </w:r>
      <w:r w:rsidR="009C1D4F">
        <w:rPr>
          <w:iCs/>
        </w:rPr>
        <w:t>relentless</w:t>
      </w:r>
      <w:r w:rsidR="00290F33">
        <w:rPr>
          <w:iCs/>
        </w:rPr>
        <w:t xml:space="preserve"> </w:t>
      </w:r>
      <w:r w:rsidR="0017103E">
        <w:rPr>
          <w:iCs/>
        </w:rPr>
        <w:t>fear.</w:t>
      </w:r>
    </w:p>
    <w:p w14:paraId="75C2CF69" w14:textId="77777777" w:rsidR="0017103E" w:rsidRDefault="0017103E" w:rsidP="00D54FBE">
      <w:pPr>
        <w:ind w:firstLine="720"/>
        <w:rPr>
          <w:iCs/>
        </w:rPr>
      </w:pPr>
    </w:p>
    <w:p w14:paraId="3714EFD1" w14:textId="778152DF" w:rsidR="00774C4F" w:rsidRDefault="00C238E4" w:rsidP="00D54FBE">
      <w:pPr>
        <w:ind w:firstLine="720"/>
      </w:pPr>
      <w:r>
        <w:t>My experiences</w:t>
      </w:r>
      <w:r w:rsidR="00B05FCB">
        <w:t xml:space="preserve">, while dramatic, are not unique. In this Part, I want to suggest </w:t>
      </w:r>
      <w:r w:rsidR="00B337BB">
        <w:t>that</w:t>
      </w:r>
      <w:r w:rsidR="00646377">
        <w:t xml:space="preserve"> </w:t>
      </w:r>
      <w:r w:rsidR="001404A9">
        <w:t>American law</w:t>
      </w:r>
      <w:r w:rsidR="00AB0821">
        <w:t xml:space="preserve"> </w:t>
      </w:r>
      <w:r w:rsidR="00AE5576">
        <w:t>requires</w:t>
      </w:r>
      <w:r w:rsidR="001D2F57">
        <w:t xml:space="preserve"> every child</w:t>
      </w:r>
      <w:r w:rsidR="006B01AC">
        <w:t>, not just trans children,</w:t>
      </w:r>
      <w:r w:rsidR="001D2F57">
        <w:t xml:space="preserve"> to sacrifice too much of themselves</w:t>
      </w:r>
      <w:r w:rsidR="00D40D71">
        <w:t>—their own subjective preferences and</w:t>
      </w:r>
      <w:r w:rsidR="004E38A6">
        <w:t xml:space="preserve"> ultimately their</w:t>
      </w:r>
      <w:r w:rsidR="00D40D71">
        <w:t xml:space="preserve"> joy</w:t>
      </w:r>
      <w:r w:rsidR="003A520C">
        <w:t>—</w:t>
      </w:r>
      <w:r w:rsidR="003B6370">
        <w:t>to</w:t>
      </w:r>
      <w:r w:rsidR="003A520C">
        <w:t xml:space="preserve"> adults</w:t>
      </w:r>
      <w:r w:rsidR="00B23E18">
        <w:t xml:space="preserve">. </w:t>
      </w:r>
      <w:r w:rsidR="00B33A5F">
        <w:t xml:space="preserve">On the one hand, we </w:t>
      </w:r>
      <w:r w:rsidR="00FC390A">
        <w:t xml:space="preserve">facilitate children’s discovery of </w:t>
      </w:r>
      <w:r w:rsidR="00A43D95">
        <w:t>their individual subjective preferences</w:t>
      </w:r>
      <w:r w:rsidR="003A520C">
        <w:t xml:space="preserve"> through play. On the other, we </w:t>
      </w:r>
      <w:r w:rsidR="00B66221">
        <w:t xml:space="preserve">give </w:t>
      </w:r>
      <w:r w:rsidR="0069737C">
        <w:t xml:space="preserve">multiple </w:t>
      </w:r>
      <w:r w:rsidR="00B66221">
        <w:t xml:space="preserve">other people—parents and </w:t>
      </w:r>
      <w:r w:rsidR="00AC1006">
        <w:t xml:space="preserve">other adult caregivers—a unilateral and legally </w:t>
      </w:r>
      <w:r w:rsidR="00BB1B48">
        <w:t>unchallengeable</w:t>
      </w:r>
      <w:r w:rsidR="00AC1006">
        <w:t xml:space="preserve"> veto </w:t>
      </w:r>
      <w:r w:rsidR="0069737C">
        <w:t xml:space="preserve">over </w:t>
      </w:r>
      <w:r w:rsidR="007A5F8B">
        <w:t>the child’s express</w:t>
      </w:r>
      <w:r w:rsidR="0069737C">
        <w:t xml:space="preserve"> preferences</w:t>
      </w:r>
      <w:r w:rsidR="00BB1B48">
        <w:t xml:space="preserve">. </w:t>
      </w:r>
      <w:r w:rsidR="009D1C66">
        <w:t xml:space="preserve">That veto extends to </w:t>
      </w:r>
      <w:r w:rsidR="00043687">
        <w:t xml:space="preserve">every aspect of a child’s life, from their afterschool activities </w:t>
      </w:r>
      <w:r w:rsidR="00AA3176">
        <w:t xml:space="preserve">and meals </w:t>
      </w:r>
      <w:r w:rsidR="00043687">
        <w:t>to their gender expression and sexual conduct.</w:t>
      </w:r>
      <w:r w:rsidR="009D1C66">
        <w:t xml:space="preserve"> </w:t>
      </w:r>
      <w:r w:rsidR="00F1045C">
        <w:t>Moreover, that</w:t>
      </w:r>
      <w:r w:rsidR="00BB1B48">
        <w:t xml:space="preserve"> veto </w:t>
      </w:r>
      <w:r w:rsidR="00591D21">
        <w:t>remains</w:t>
      </w:r>
      <w:r w:rsidR="00BB1B48">
        <w:t xml:space="preserve"> virtually unchanged </w:t>
      </w:r>
      <w:r w:rsidR="0007793A">
        <w:t xml:space="preserve">from birth until </w:t>
      </w:r>
      <w:r w:rsidR="0007793A">
        <w:lastRenderedPageBreak/>
        <w:t xml:space="preserve">the child reaches the age of majority despite the tremendous changes in capacity </w:t>
      </w:r>
      <w:r w:rsidR="00F836CC">
        <w:t xml:space="preserve">that occur </w:t>
      </w:r>
      <w:r w:rsidR="002A6AD6">
        <w:t>over</w:t>
      </w:r>
      <w:r w:rsidR="00F836CC">
        <w:t xml:space="preserve"> that period.</w:t>
      </w:r>
    </w:p>
    <w:p w14:paraId="1DFA51C7" w14:textId="77777777" w:rsidR="003B6370" w:rsidRDefault="003B6370" w:rsidP="00D54FBE">
      <w:pPr>
        <w:ind w:firstLine="720"/>
      </w:pPr>
    </w:p>
    <w:p w14:paraId="13B09334" w14:textId="5616E27E" w:rsidR="003B6370" w:rsidRPr="00466F77" w:rsidRDefault="000A0EFD" w:rsidP="00D54FBE">
      <w:pPr>
        <w:ind w:firstLine="720"/>
      </w:pPr>
      <w:r>
        <w:t>Liberty, elucidated by t</w:t>
      </w:r>
      <w:r w:rsidR="00250638">
        <w:t>he Epicurean approach</w:t>
      </w:r>
      <w:r>
        <w:t>,</w:t>
      </w:r>
      <w:r w:rsidR="00250638">
        <w:t xml:space="preserve"> demands more. </w:t>
      </w:r>
      <w:r>
        <w:t>Children’s subjective preferences, particularly those touching on the core of their identit</w:t>
      </w:r>
      <w:r w:rsidR="00A01B1A">
        <w:t>ies</w:t>
      </w:r>
      <w:r>
        <w:t xml:space="preserve">, cannot be </w:t>
      </w:r>
      <w:r w:rsidR="00674327">
        <w:t xml:space="preserve">totally </w:t>
      </w:r>
      <w:r w:rsidR="00D53FB8">
        <w:t>stripped of legal protection merely because they</w:t>
      </w:r>
      <w:r w:rsidR="00792F54">
        <w:t xml:space="preserve"> belong to children.</w:t>
      </w:r>
      <w:r w:rsidR="00D53FB8">
        <w:t xml:space="preserve"> </w:t>
      </w:r>
      <w:r w:rsidR="00674327">
        <w:t xml:space="preserve">At the very least, </w:t>
      </w:r>
      <w:r w:rsidR="009B175E">
        <w:t xml:space="preserve">the Epicurean approach suggests that </w:t>
      </w:r>
      <w:r w:rsidR="00ED1F50">
        <w:t xml:space="preserve">the abrogation </w:t>
      </w:r>
      <w:r w:rsidR="00BA10E6">
        <w:t xml:space="preserve">of </w:t>
      </w:r>
      <w:r w:rsidR="005812E6">
        <w:t xml:space="preserve">children’s </w:t>
      </w:r>
      <w:r w:rsidR="00ED1F50">
        <w:t xml:space="preserve">most natural, necessary </w:t>
      </w:r>
      <w:r w:rsidR="005812E6">
        <w:t xml:space="preserve">liberty interests </w:t>
      </w:r>
      <w:r w:rsidR="00C92F73">
        <w:t xml:space="preserve">requires more process </w:t>
      </w:r>
      <w:r w:rsidR="00BD0E60">
        <w:t>than the age-of-majority regime provides.</w:t>
      </w:r>
      <w:r w:rsidR="00AB2CAD">
        <w:t xml:space="preserve"> </w:t>
      </w:r>
      <w:r w:rsidR="002D1B57">
        <w:t>Taking liberty seriously</w:t>
      </w:r>
      <w:r w:rsidR="00F22D52">
        <w:t xml:space="preserve"> </w:t>
      </w:r>
      <w:r w:rsidR="00B92103">
        <w:t>would</w:t>
      </w:r>
      <w:r w:rsidR="00F22D52">
        <w:t xml:space="preserve"> require</w:t>
      </w:r>
      <w:r w:rsidR="00CE6374">
        <w:t xml:space="preserve"> </w:t>
      </w:r>
      <w:r w:rsidR="00E5322E">
        <w:t>a reconfiguration of</w:t>
      </w:r>
      <w:r w:rsidR="00CE6374">
        <w:t xml:space="preserve"> </w:t>
      </w:r>
      <w:r w:rsidR="00CA340B">
        <w:t>the relationship between children, parents, and the state</w:t>
      </w:r>
      <w:r w:rsidR="00F22D52">
        <w:t xml:space="preserve">. But doing so </w:t>
      </w:r>
      <w:r w:rsidR="00DF33FD">
        <w:t>would</w:t>
      </w:r>
      <w:r w:rsidR="00F22D52">
        <w:t xml:space="preserve"> </w:t>
      </w:r>
      <w:r w:rsidR="000E39DA">
        <w:t xml:space="preserve">ultimately </w:t>
      </w:r>
      <w:r w:rsidR="00F22D52">
        <w:t xml:space="preserve">render all of us more </w:t>
      </w:r>
      <w:r w:rsidR="00F433FF">
        <w:t>happy</w:t>
      </w:r>
      <w:r w:rsidR="00A4787E">
        <w:t>–</w:t>
      </w:r>
      <w:r w:rsidR="00F433FF">
        <w:t>joyous</w:t>
      </w:r>
      <w:r w:rsidR="00A4787E">
        <w:t>–</w:t>
      </w:r>
      <w:r w:rsidR="00CE37C0">
        <w:t>and free.</w:t>
      </w:r>
    </w:p>
    <w:p w14:paraId="58757A04" w14:textId="394105CF" w:rsidR="00CC75C8" w:rsidRDefault="00CC75C8" w:rsidP="008F4EF2">
      <w:pPr>
        <w:ind w:firstLine="0"/>
      </w:pPr>
    </w:p>
    <w:p w14:paraId="7069738D" w14:textId="2A9C629F" w:rsidR="006946A7" w:rsidRDefault="006946A7" w:rsidP="006946A7">
      <w:pPr>
        <w:pStyle w:val="Heading2"/>
      </w:pPr>
      <w:r>
        <w:t xml:space="preserve">The </w:t>
      </w:r>
      <w:r w:rsidR="009628A5">
        <w:t>Power</w:t>
      </w:r>
      <w:r>
        <w:t xml:space="preserve"> of Play</w:t>
      </w:r>
    </w:p>
    <w:p w14:paraId="69E8AFBF" w14:textId="77777777" w:rsidR="006946A7" w:rsidRDefault="006946A7" w:rsidP="00BE3D5F">
      <w:pPr>
        <w:ind w:left="720" w:firstLine="0"/>
      </w:pPr>
    </w:p>
    <w:p w14:paraId="120575D6" w14:textId="6D776ECD" w:rsidR="00BE3D5F" w:rsidRDefault="007F2511" w:rsidP="00BE3D5F">
      <w:pPr>
        <w:ind w:firstLine="720"/>
      </w:pPr>
      <w:r>
        <w:t>Children play.</w:t>
      </w:r>
      <w:r w:rsidR="0066236A">
        <w:t xml:space="preserve"> Children also do other things,</w:t>
      </w:r>
      <w:bookmarkStart w:id="89" w:name="_Ref185673650"/>
      <w:r w:rsidR="00043048">
        <w:rPr>
          <w:rStyle w:val="FootnoteReference"/>
        </w:rPr>
        <w:footnoteReference w:id="328"/>
      </w:r>
      <w:bookmarkEnd w:id="89"/>
      <w:r w:rsidR="0066236A">
        <w:t xml:space="preserve"> and adults also play.</w:t>
      </w:r>
      <w:bookmarkStart w:id="90" w:name="_Ref184893617"/>
      <w:r w:rsidR="004E759A">
        <w:rPr>
          <w:rStyle w:val="FootnoteReference"/>
        </w:rPr>
        <w:footnoteReference w:id="329"/>
      </w:r>
      <w:bookmarkEnd w:id="90"/>
      <w:r w:rsidR="004B6251">
        <w:t xml:space="preserve"> </w:t>
      </w:r>
      <w:r w:rsidR="00583E41">
        <w:t>But the primacy of play is one of the chief characteristics that distinguishes childhood from adulthood.</w:t>
      </w:r>
      <w:bookmarkStart w:id="91" w:name="_Ref184639544"/>
      <w:r w:rsidR="00A632CD">
        <w:rPr>
          <w:rStyle w:val="FootnoteReference"/>
        </w:rPr>
        <w:footnoteReference w:id="330"/>
      </w:r>
      <w:bookmarkEnd w:id="91"/>
      <w:r w:rsidR="004B5C86">
        <w:t xml:space="preserve"> Society expects adults to give children ample time and space to play</w:t>
      </w:r>
      <w:r w:rsidR="00723725">
        <w:rPr>
          <w:rStyle w:val="FootnoteReference"/>
        </w:rPr>
        <w:footnoteReference w:id="331"/>
      </w:r>
      <w:r w:rsidR="004B5C86">
        <w:t xml:space="preserve">; society further expects children to </w:t>
      </w:r>
      <w:r w:rsidR="004B5C86">
        <w:lastRenderedPageBreak/>
        <w:t xml:space="preserve">take advantage of that </w:t>
      </w:r>
      <w:r w:rsidR="00964297">
        <w:t>time and space to do so.</w:t>
      </w:r>
      <w:r w:rsidR="00B65158">
        <w:rPr>
          <w:rStyle w:val="FootnoteReference"/>
        </w:rPr>
        <w:footnoteReference w:id="332"/>
      </w:r>
      <w:r w:rsidR="001D4F2E">
        <w:t xml:space="preserve"> </w:t>
      </w:r>
    </w:p>
    <w:p w14:paraId="7C6EFAAD" w14:textId="77777777" w:rsidR="00BA1D78" w:rsidRDefault="00BA1D78" w:rsidP="00BE3D5F">
      <w:pPr>
        <w:ind w:firstLine="720"/>
      </w:pPr>
    </w:p>
    <w:p w14:paraId="7D38A0E0" w14:textId="0EB8A111" w:rsidR="009513BA" w:rsidRDefault="007B7006" w:rsidP="00BE3D5F">
      <w:pPr>
        <w:ind w:firstLine="720"/>
      </w:pPr>
      <w:r>
        <w:t>Play serves many functions</w:t>
      </w:r>
      <w:r w:rsidR="001F45E7">
        <w:t>, none of which may be said to be its ultimate “point.”</w:t>
      </w:r>
      <w:bookmarkStart w:id="92" w:name="_Ref184644256"/>
      <w:r w:rsidR="005F6F89">
        <w:rPr>
          <w:rStyle w:val="FootnoteReference"/>
        </w:rPr>
        <w:footnoteReference w:id="333"/>
      </w:r>
      <w:bookmarkEnd w:id="92"/>
      <w:r w:rsidR="00784BC7">
        <w:t xml:space="preserve"> </w:t>
      </w:r>
      <w:r w:rsidR="009F5B72">
        <w:t>That said, one of play’s most important function</w:t>
      </w:r>
      <w:r w:rsidR="00874162">
        <w:t>s</w:t>
      </w:r>
      <w:r w:rsidR="009F5B72">
        <w:t xml:space="preserve"> is what sociologist Thomas Henricks calls “self-realization,”</w:t>
      </w:r>
      <w:r w:rsidR="00874162">
        <w:t xml:space="preserve"> </w:t>
      </w:r>
      <w:r w:rsidR="00B0662A">
        <w:t xml:space="preserve">the </w:t>
      </w:r>
      <w:r w:rsidR="00137D5D">
        <w:t xml:space="preserve">process whereby </w:t>
      </w:r>
      <w:r w:rsidR="00320BD4">
        <w:t>individuals</w:t>
      </w:r>
      <w:r w:rsidR="00497C05">
        <w:t xml:space="preserve"> experience themselves </w:t>
      </w:r>
      <w:r w:rsidR="00497C05">
        <w:rPr>
          <w:i/>
          <w:iCs/>
        </w:rPr>
        <w:t>as</w:t>
      </w:r>
      <w:r w:rsidR="00497C05">
        <w:t xml:space="preserve"> individuals</w:t>
      </w:r>
      <w:r w:rsidR="008B5109">
        <w:t>,</w:t>
      </w:r>
      <w:r w:rsidR="00497C05">
        <w:t xml:space="preserve"> </w:t>
      </w:r>
      <w:r w:rsidR="00320BD4">
        <w:t>distinct from other humans.</w:t>
      </w:r>
      <w:bookmarkStart w:id="93" w:name="_Ref184645027"/>
      <w:r w:rsidR="00320BD4">
        <w:rPr>
          <w:rStyle w:val="FootnoteReference"/>
        </w:rPr>
        <w:footnoteReference w:id="334"/>
      </w:r>
      <w:bookmarkEnd w:id="93"/>
      <w:r w:rsidR="008A7A89">
        <w:t xml:space="preserve"> As </w:t>
      </w:r>
      <w:r w:rsidR="001F438A">
        <w:t>people</w:t>
      </w:r>
      <w:r w:rsidR="008A7A89">
        <w:t xml:space="preserve"> play, </w:t>
      </w:r>
      <w:r w:rsidR="001F438A">
        <w:t xml:space="preserve">they </w:t>
      </w:r>
      <w:r w:rsidR="008A7A89">
        <w:t>subconsciously monitor</w:t>
      </w:r>
      <w:r w:rsidR="00972A8B">
        <w:t xml:space="preserve"> </w:t>
      </w:r>
      <w:r w:rsidR="001F438A">
        <w:t>their</w:t>
      </w:r>
      <w:r w:rsidR="00972A8B">
        <w:t xml:space="preserve"> emotional reaction</w:t>
      </w:r>
      <w:r w:rsidR="001F438A">
        <w:t>s</w:t>
      </w:r>
      <w:r w:rsidR="00972A8B">
        <w:t xml:space="preserve"> to the</w:t>
      </w:r>
      <w:r w:rsidR="001F438A">
        <w:t>ir</w:t>
      </w:r>
      <w:r w:rsidR="00972A8B">
        <w:t xml:space="preserve"> experience</w:t>
      </w:r>
      <w:r w:rsidR="001F438A">
        <w:t>s</w:t>
      </w:r>
      <w:r w:rsidR="00972A8B">
        <w:t>.</w:t>
      </w:r>
      <w:r w:rsidR="008F692E">
        <w:rPr>
          <w:rStyle w:val="FootnoteReference"/>
        </w:rPr>
        <w:footnoteReference w:id="335"/>
      </w:r>
      <w:r w:rsidR="001F438A">
        <w:t xml:space="preserve"> By doing so</w:t>
      </w:r>
      <w:r w:rsidR="008A1DF5">
        <w:t xml:space="preserve">, individuals </w:t>
      </w:r>
      <w:r w:rsidR="00FD0F00">
        <w:t xml:space="preserve">discover and delimit </w:t>
      </w:r>
      <w:r w:rsidR="00F12C6B">
        <w:t>their preferences for activities, experiences, and interactions</w:t>
      </w:r>
      <w:r w:rsidR="00F12C6B">
        <w:rPr>
          <w:rStyle w:val="FootnoteReference"/>
        </w:rPr>
        <w:footnoteReference w:id="336"/>
      </w:r>
      <w:r w:rsidR="00AD565E">
        <w:t>—what “sparks joy”</w:t>
      </w:r>
      <w:r w:rsidR="00AD565E">
        <w:rPr>
          <w:rStyle w:val="FootnoteReference"/>
        </w:rPr>
        <w:footnoteReference w:id="337"/>
      </w:r>
      <w:r w:rsidR="00AD565E">
        <w:t xml:space="preserve"> within them and what does not.</w:t>
      </w:r>
      <w:r w:rsidR="0001616A" w:rsidRPr="0001616A">
        <w:t xml:space="preserve"> </w:t>
      </w:r>
      <w:r w:rsidR="00767A7F">
        <w:t xml:space="preserve">The </w:t>
      </w:r>
      <w:r w:rsidR="003C01D1">
        <w:t>realization</w:t>
      </w:r>
      <w:r w:rsidR="00767A7F">
        <w:t xml:space="preserve"> that</w:t>
      </w:r>
      <w:r w:rsidR="006C1643">
        <w:t xml:space="preserve"> what sparks joy within me is </w:t>
      </w:r>
      <w:r w:rsidR="00CD69B4">
        <w:t>different from</w:t>
      </w:r>
      <w:r w:rsidR="006C1643">
        <w:t xml:space="preserve"> what sparks joy within you </w:t>
      </w:r>
      <w:r w:rsidR="00767A7F">
        <w:t xml:space="preserve">is central to establishing that </w:t>
      </w:r>
      <w:r w:rsidR="00A91FBF">
        <w:t xml:space="preserve">we are different people—that I have a “self” that is </w:t>
      </w:r>
      <w:r w:rsidR="003C01D1">
        <w:t>not the same as your “self.”</w:t>
      </w:r>
      <w:bookmarkStart w:id="94" w:name="_Ref184908895"/>
      <w:r w:rsidR="00E078AA">
        <w:rPr>
          <w:rStyle w:val="FootnoteReference"/>
        </w:rPr>
        <w:footnoteReference w:id="338"/>
      </w:r>
      <w:bookmarkEnd w:id="94"/>
    </w:p>
    <w:p w14:paraId="65C45A17" w14:textId="77777777" w:rsidR="009513BA" w:rsidRDefault="009513BA" w:rsidP="00BE3D5F">
      <w:pPr>
        <w:ind w:firstLine="720"/>
      </w:pPr>
    </w:p>
    <w:p w14:paraId="7B578024" w14:textId="07513A29" w:rsidR="009513BA" w:rsidRDefault="00A144F9" w:rsidP="00BE3D5F">
      <w:pPr>
        <w:ind w:firstLine="720"/>
      </w:pPr>
      <w:r>
        <w:t>To be clear, p</w:t>
      </w:r>
      <w:r w:rsidR="00DC07D9">
        <w:t>lay</w:t>
      </w:r>
      <w:r w:rsidR="007B1C13">
        <w:t>’s facilitation of self-realization</w:t>
      </w:r>
      <w:r w:rsidR="00E64030">
        <w:t xml:space="preserve"> is about more than </w:t>
      </w:r>
      <w:r w:rsidR="006C303F">
        <w:t xml:space="preserve">mapping our </w:t>
      </w:r>
      <w:r w:rsidR="00306340">
        <w:t>particular</w:t>
      </w:r>
      <w:r w:rsidR="006C303F">
        <w:t xml:space="preserve"> neural circuitry </w:t>
      </w:r>
      <w:r w:rsidR="0004615D">
        <w:t xml:space="preserve">to identify </w:t>
      </w:r>
      <w:r w:rsidR="008354DC">
        <w:t>our</w:t>
      </w:r>
      <w:r w:rsidR="0004615D">
        <w:t xml:space="preserve"> most efficient dopamine-release triggers</w:t>
      </w:r>
      <w:r w:rsidR="004A1D88">
        <w:t>.</w:t>
      </w:r>
      <w:r w:rsidR="007C5B60">
        <w:rPr>
          <w:rStyle w:val="FootnoteReference"/>
        </w:rPr>
        <w:footnoteReference w:id="339"/>
      </w:r>
      <w:r w:rsidR="008354DC">
        <w:t xml:space="preserve"> </w:t>
      </w:r>
      <w:r w:rsidR="00BF56A2">
        <w:t xml:space="preserve">If Locke and the Ancient Greeks were </w:t>
      </w:r>
      <w:r w:rsidR="0051690D">
        <w:t>correct</w:t>
      </w:r>
      <w:r w:rsidR="00BF56A2">
        <w:t xml:space="preserve"> that </w:t>
      </w:r>
      <w:r w:rsidR="00F337DB">
        <w:t>happiness is the point of human existence</w:t>
      </w:r>
      <w:r w:rsidR="009D540F">
        <w:rPr>
          <w:rStyle w:val="FootnoteReference"/>
        </w:rPr>
        <w:footnoteReference w:id="340"/>
      </w:r>
      <w:r w:rsidR="009D540F">
        <w:t xml:space="preserve"> </w:t>
      </w:r>
      <w:r w:rsidR="00983D66">
        <w:t xml:space="preserve">and </w:t>
      </w:r>
      <w:r w:rsidR="00106FDE">
        <w:t>that individuals</w:t>
      </w:r>
      <w:r w:rsidR="00050268">
        <w:t xml:space="preserve"> </w:t>
      </w:r>
      <w:r w:rsidR="0026337A">
        <w:t xml:space="preserve">naturally </w:t>
      </w:r>
      <w:r w:rsidR="00050268">
        <w:t>vary in what brings them happiness,</w:t>
      </w:r>
      <w:r w:rsidR="003542B9">
        <w:rPr>
          <w:rStyle w:val="FootnoteReference"/>
        </w:rPr>
        <w:footnoteReference w:id="341"/>
      </w:r>
      <w:r w:rsidR="00050268">
        <w:t xml:space="preserve"> </w:t>
      </w:r>
      <w:r w:rsidR="00374DBE">
        <w:t>then play is</w:t>
      </w:r>
      <w:r w:rsidR="00DB4747">
        <w:t xml:space="preserve"> </w:t>
      </w:r>
      <w:r w:rsidR="004C5FD7">
        <w:t xml:space="preserve">an essential means whereby </w:t>
      </w:r>
      <w:r w:rsidR="00A547E6">
        <w:t xml:space="preserve">individuals </w:t>
      </w:r>
      <w:r w:rsidR="00A961E6">
        <w:t xml:space="preserve">explore, express, and fulfill </w:t>
      </w:r>
      <w:r w:rsidR="00306340">
        <w:t xml:space="preserve">their </w:t>
      </w:r>
      <w:r w:rsidR="00B67BED">
        <w:t>distinct paths to well-being and self-actualization.</w:t>
      </w:r>
      <w:r w:rsidR="002A69FE">
        <w:t xml:space="preserve"> Furthermore, if Locke was </w:t>
      </w:r>
      <w:r w:rsidR="0051690D">
        <w:t>correct</w:t>
      </w:r>
      <w:r w:rsidR="002A69FE">
        <w:t xml:space="preserve"> that </w:t>
      </w:r>
      <w:r w:rsidR="00BD72C4">
        <w:t xml:space="preserve">liberty consists </w:t>
      </w:r>
      <w:r w:rsidR="0051690D">
        <w:t xml:space="preserve">of the </w:t>
      </w:r>
      <w:r w:rsidR="005C20EB">
        <w:t xml:space="preserve">right to </w:t>
      </w:r>
      <w:r w:rsidR="00E4194D">
        <w:t xml:space="preserve">align our choices with </w:t>
      </w:r>
      <w:r w:rsidR="00D93A40">
        <w:t>our subjective preferences about our lives,</w:t>
      </w:r>
      <w:r w:rsidR="00D93A40">
        <w:rPr>
          <w:rStyle w:val="FootnoteReference"/>
        </w:rPr>
        <w:footnoteReference w:id="342"/>
      </w:r>
      <w:r w:rsidR="00D93A40">
        <w:t xml:space="preserve"> then p</w:t>
      </w:r>
      <w:r w:rsidR="009513BA">
        <w:t xml:space="preserve">lay is </w:t>
      </w:r>
      <w:r w:rsidR="00546841">
        <w:t>the practice and precondition of liberty.</w:t>
      </w:r>
    </w:p>
    <w:p w14:paraId="2E2886BA" w14:textId="77777777" w:rsidR="001F6E7E" w:rsidRDefault="001F6E7E" w:rsidP="00BE3D5F">
      <w:pPr>
        <w:ind w:firstLine="720"/>
      </w:pPr>
    </w:p>
    <w:p w14:paraId="394F4FBC" w14:textId="1DD0AE6E" w:rsidR="00B0160F" w:rsidRDefault="00F44BE9" w:rsidP="00BE3D5F">
      <w:pPr>
        <w:ind w:firstLine="720"/>
      </w:pPr>
      <w:r>
        <w:t xml:space="preserve">With this added context, </w:t>
      </w:r>
      <w:r w:rsidR="00477711">
        <w:t>I repeat: Children play.</w:t>
      </w:r>
      <w:r>
        <w:t xml:space="preserve"> </w:t>
      </w:r>
      <w:r w:rsidR="0065321F">
        <w:t xml:space="preserve">From practically the moment they are born, </w:t>
      </w:r>
      <w:r w:rsidR="00DF0F86">
        <w:t xml:space="preserve">adults encourage children to </w:t>
      </w:r>
      <w:r w:rsidR="00183089">
        <w:t>distinguish</w:t>
      </w:r>
      <w:r w:rsidR="00AB17D1">
        <w:t xml:space="preserve"> between experiences that</w:t>
      </w:r>
      <w:r w:rsidR="004B14BB">
        <w:t xml:space="preserve"> bring them joy and those that do not.</w:t>
      </w:r>
      <w:r w:rsidR="00C06F71">
        <w:rPr>
          <w:rStyle w:val="FootnoteReference"/>
        </w:rPr>
        <w:footnoteReference w:id="343"/>
      </w:r>
      <w:r w:rsidR="000362ED">
        <w:t xml:space="preserve"> Without outside inference</w:t>
      </w:r>
      <w:r w:rsidR="000B2414">
        <w:t>,</w:t>
      </w:r>
      <w:r w:rsidR="000362ED">
        <w:rPr>
          <w:rStyle w:val="FootnoteReference"/>
        </w:rPr>
        <w:footnoteReference w:id="344"/>
      </w:r>
      <w:r w:rsidR="000B2414">
        <w:t xml:space="preserve"> most children </w:t>
      </w:r>
      <w:r w:rsidR="00811967">
        <w:t>have become adept at identifying and expressing</w:t>
      </w:r>
      <w:r w:rsidR="00EB125D">
        <w:t xml:space="preserve"> their personal preferences</w:t>
      </w:r>
      <w:r w:rsidR="008643E2">
        <w:t xml:space="preserve">—often with exasperating </w:t>
      </w:r>
      <w:r w:rsidR="00966815">
        <w:t>bluntness</w:t>
      </w:r>
      <w:r w:rsidR="008643E2">
        <w:t xml:space="preserve"> and frequency</w:t>
      </w:r>
      <w:r w:rsidR="000362ED">
        <w:t>—</w:t>
      </w:r>
      <w:r w:rsidR="00EB125D">
        <w:t xml:space="preserve">well before </w:t>
      </w:r>
      <w:r w:rsidR="00A46352">
        <w:t xml:space="preserve">they reach </w:t>
      </w:r>
      <w:r w:rsidR="00EB125D">
        <w:t>adolescence.</w:t>
      </w:r>
      <w:r w:rsidR="00183089">
        <w:t xml:space="preserve"> </w:t>
      </w:r>
      <w:r w:rsidR="006A2EDE">
        <w:t>[</w:t>
      </w:r>
      <w:r w:rsidR="006A2EDE" w:rsidRPr="006A2EDE">
        <w:rPr>
          <w:highlight w:val="yellow"/>
        </w:rPr>
        <w:t>Elaboration—consider examples</w:t>
      </w:r>
      <w:r w:rsidR="006A2EDE">
        <w:t>]</w:t>
      </w:r>
    </w:p>
    <w:p w14:paraId="0ED3E60E" w14:textId="77777777" w:rsidR="00193DCC" w:rsidRDefault="00193DCC" w:rsidP="00BE3D5F">
      <w:pPr>
        <w:ind w:firstLine="720"/>
      </w:pPr>
    </w:p>
    <w:p w14:paraId="51EC6CFE" w14:textId="3C364C73" w:rsidR="00193DCC" w:rsidRDefault="00193DCC" w:rsidP="00BE3D5F">
      <w:pPr>
        <w:ind w:firstLine="720"/>
      </w:pPr>
      <w:r>
        <w:t>[</w:t>
      </w:r>
      <w:r w:rsidRPr="00193DCC">
        <w:rPr>
          <w:highlight w:val="yellow"/>
        </w:rPr>
        <w:t>Transition</w:t>
      </w:r>
      <w:r>
        <w:t>]</w:t>
      </w:r>
    </w:p>
    <w:p w14:paraId="3913C55E" w14:textId="77777777" w:rsidR="00BE3D5F" w:rsidRDefault="00BE3D5F" w:rsidP="00BE3D5F">
      <w:pPr>
        <w:ind w:firstLine="0"/>
      </w:pPr>
    </w:p>
    <w:p w14:paraId="4D7BE204" w14:textId="4BD31415" w:rsidR="00BE3D5F" w:rsidRDefault="00BE3D5F" w:rsidP="00BE3D5F">
      <w:pPr>
        <w:pStyle w:val="Heading2"/>
      </w:pPr>
      <w:r>
        <w:t>The Tyranny of Childhood</w:t>
      </w:r>
    </w:p>
    <w:p w14:paraId="1BB9F396" w14:textId="77777777" w:rsidR="00BE3D5F" w:rsidRDefault="00BE3D5F" w:rsidP="00BE3D5F"/>
    <w:p w14:paraId="789F6909" w14:textId="3C504876" w:rsidR="001048B3" w:rsidRPr="003B0C62" w:rsidRDefault="007922EB" w:rsidP="00BE3D5F">
      <w:pPr>
        <w:ind w:firstLine="720"/>
      </w:pPr>
      <w:r>
        <w:t xml:space="preserve">If liberty is the right to exercise subjective preferences and children have subjective preferences, </w:t>
      </w:r>
      <w:r w:rsidR="00F8423E">
        <w:t xml:space="preserve">then </w:t>
      </w:r>
      <w:r>
        <w:t>children</w:t>
      </w:r>
      <w:r w:rsidR="005E4408">
        <w:t xml:space="preserve">’s subjective preferences </w:t>
      </w:r>
      <w:r w:rsidR="00501590">
        <w:t>count as</w:t>
      </w:r>
      <w:r w:rsidR="005E4408">
        <w:t xml:space="preserve"> liberty interests.</w:t>
      </w:r>
      <w:r w:rsidR="00F8423E">
        <w:t xml:space="preserve"> </w:t>
      </w:r>
      <w:r w:rsidR="00535DC6">
        <w:t xml:space="preserve">The Supreme Court has frequently acknowledged that </w:t>
      </w:r>
      <w:r w:rsidR="00377EB4">
        <w:t>children possess constitutional rights</w:t>
      </w:r>
      <w:r w:rsidR="00911CA1">
        <w:rPr>
          <w:rStyle w:val="FootnoteReference"/>
        </w:rPr>
        <w:footnoteReference w:id="345"/>
      </w:r>
      <w:r w:rsidR="00531850">
        <w:t xml:space="preserve">; </w:t>
      </w:r>
      <w:r w:rsidR="00911CA1">
        <w:t xml:space="preserve">it has occasionally even acted as </w:t>
      </w:r>
      <w:r w:rsidR="00911CA1">
        <w:lastRenderedPageBreak/>
        <w:t xml:space="preserve">though it </w:t>
      </w:r>
      <w:r w:rsidR="009A6D32">
        <w:t xml:space="preserve">actually </w:t>
      </w:r>
      <w:r w:rsidR="00911CA1">
        <w:t>believe</w:t>
      </w:r>
      <w:r w:rsidR="004B4D8D">
        <w:t>s</w:t>
      </w:r>
      <w:r w:rsidR="00911CA1">
        <w:t xml:space="preserve"> they do</w:t>
      </w:r>
      <w:r w:rsidR="00377EB4">
        <w:t>.</w:t>
      </w:r>
      <w:r w:rsidR="001E0853">
        <w:rPr>
          <w:rStyle w:val="FootnoteReference"/>
        </w:rPr>
        <w:footnoteReference w:id="346"/>
      </w:r>
      <w:r w:rsidR="004B4D8D">
        <w:t xml:space="preserve"> </w:t>
      </w:r>
      <w:r w:rsidR="00226A77">
        <w:t xml:space="preserve">Most often, however, </w:t>
      </w:r>
      <w:r w:rsidR="003A7E82">
        <w:t xml:space="preserve">the Court </w:t>
      </w:r>
      <w:r w:rsidR="00F51907">
        <w:t xml:space="preserve">has paid lip service to children’s rights </w:t>
      </w:r>
      <w:r w:rsidR="004D22B3">
        <w:t>as a prelude</w:t>
      </w:r>
      <w:r w:rsidR="00343C58">
        <w:t xml:space="preserve"> to </w:t>
      </w:r>
      <w:r w:rsidR="001A0E1E">
        <w:t>granting</w:t>
      </w:r>
      <w:r w:rsidR="00353326">
        <w:t xml:space="preserve"> their parents, the state, or some combination of the two </w:t>
      </w:r>
      <w:r w:rsidR="001A0E1E">
        <w:t>the right</w:t>
      </w:r>
      <w:r w:rsidR="00EC0706">
        <w:t xml:space="preserve"> to </w:t>
      </w:r>
      <w:r w:rsidR="003F425F">
        <w:t>supersede</w:t>
      </w:r>
      <w:r w:rsidR="00EC0706">
        <w:t xml:space="preserve"> them.</w:t>
      </w:r>
      <w:r w:rsidR="00EB6815">
        <w:rPr>
          <w:rStyle w:val="FootnoteReference"/>
        </w:rPr>
        <w:footnoteReference w:id="347"/>
      </w:r>
      <w:r w:rsidR="005C5DAA">
        <w:t xml:space="preserve"> </w:t>
      </w:r>
      <w:r w:rsidR="003B0C62">
        <w:t xml:space="preserve">Even </w:t>
      </w:r>
      <w:r w:rsidR="00685D85">
        <w:t xml:space="preserve">in </w:t>
      </w:r>
      <w:r w:rsidR="003B0C62">
        <w:rPr>
          <w:i/>
          <w:iCs/>
        </w:rPr>
        <w:t>Bellotti v. Baird</w:t>
      </w:r>
      <w:r w:rsidR="003B0C62">
        <w:t xml:space="preserve">, the high-water mark of the Court’s vindication of </w:t>
      </w:r>
      <w:r w:rsidR="002B0453">
        <w:t>the</w:t>
      </w:r>
      <w:r w:rsidR="003B0C62">
        <w:t xml:space="preserve"> rights</w:t>
      </w:r>
      <w:r w:rsidR="00D423D6">
        <w:t xml:space="preserve"> of minors</w:t>
      </w:r>
      <w:r w:rsidR="00070B13">
        <w:t xml:space="preserve"> against both</w:t>
      </w:r>
      <w:r w:rsidR="00DD6F2C">
        <w:t xml:space="preserve"> their</w:t>
      </w:r>
      <w:r w:rsidR="00070B13">
        <w:t xml:space="preserve"> parents and the state</w:t>
      </w:r>
      <w:r w:rsidR="003B0C62">
        <w:t>,</w:t>
      </w:r>
      <w:r w:rsidR="00D423D6">
        <w:t xml:space="preserve"> </w:t>
      </w:r>
      <w:r w:rsidR="00B9152A">
        <w:t xml:space="preserve">the Court said </w:t>
      </w:r>
      <w:r w:rsidR="00D423D6">
        <w:t>plainly: “</w:t>
      </w:r>
      <w:r w:rsidR="00D423D6" w:rsidRPr="005B5D9B">
        <w:t>States validly may limit the freedom of children to choose for themselves in the making of important, affirmative choices with potentially serious consequences</w:t>
      </w:r>
      <w:r w:rsidR="00D423D6">
        <w:t>.</w:t>
      </w:r>
      <w:r w:rsidR="00A53D42">
        <w:t>”</w:t>
      </w:r>
      <w:r w:rsidR="00A53D42">
        <w:rPr>
          <w:rStyle w:val="FootnoteReference"/>
        </w:rPr>
        <w:footnoteReference w:id="348"/>
      </w:r>
      <w:r w:rsidR="003B0C62">
        <w:t xml:space="preserve"> </w:t>
      </w:r>
    </w:p>
    <w:p w14:paraId="49A4C2E2" w14:textId="77777777" w:rsidR="001048B3" w:rsidRDefault="001048B3" w:rsidP="00BE3D5F">
      <w:pPr>
        <w:ind w:firstLine="720"/>
      </w:pPr>
    </w:p>
    <w:p w14:paraId="687D3D98" w14:textId="30121097" w:rsidR="003F18C6" w:rsidRDefault="00D668F4" w:rsidP="00825687">
      <w:pPr>
        <w:ind w:firstLine="720"/>
      </w:pPr>
      <w:r>
        <w:t>The Anglo-American tradition has</w:t>
      </w:r>
      <w:r w:rsidR="00061F07">
        <w:t xml:space="preserve"> a word for the</w:t>
      </w:r>
      <w:r w:rsidR="000E152C">
        <w:t xml:space="preserve"> restriction of individual liberty without adequate justification</w:t>
      </w:r>
      <w:r w:rsidR="00061F07">
        <w:t xml:space="preserve">: </w:t>
      </w:r>
      <w:r w:rsidR="00061F07">
        <w:rPr>
          <w:i/>
          <w:iCs/>
        </w:rPr>
        <w:t>tyranny</w:t>
      </w:r>
      <w:r w:rsidR="00061F07">
        <w:t>.</w:t>
      </w:r>
      <w:r w:rsidR="00061F07">
        <w:rPr>
          <w:rStyle w:val="FootnoteReference"/>
        </w:rPr>
        <w:footnoteReference w:id="349"/>
      </w:r>
      <w:r w:rsidR="006D2B22">
        <w:t xml:space="preserve"> </w:t>
      </w:r>
      <w:r w:rsidR="00B67F3B">
        <w:t xml:space="preserve">For most of American history, </w:t>
      </w:r>
      <w:r w:rsidR="00A336CA">
        <w:t xml:space="preserve">the Court accepted </w:t>
      </w:r>
      <w:r w:rsidR="006A644D">
        <w:t xml:space="preserve">individuals’ membership in various </w:t>
      </w:r>
      <w:r w:rsidR="008268D4">
        <w:t xml:space="preserve">“natural” groups </w:t>
      </w:r>
      <w:r w:rsidR="006A644D">
        <w:t xml:space="preserve">as sufficient justification for </w:t>
      </w:r>
      <w:r w:rsidR="00B753C5">
        <w:t>sweeping restrictions on</w:t>
      </w:r>
      <w:r w:rsidR="006A644D">
        <w:t xml:space="preserve"> their liberty.</w:t>
      </w:r>
      <w:bookmarkStart w:id="95" w:name="_Ref185505680"/>
      <w:r w:rsidR="002D2F91">
        <w:rPr>
          <w:rStyle w:val="FootnoteReference"/>
        </w:rPr>
        <w:footnoteReference w:id="350"/>
      </w:r>
      <w:bookmarkEnd w:id="95"/>
      <w:r w:rsidR="008268D4">
        <w:t xml:space="preserve"> </w:t>
      </w:r>
      <w:r w:rsidR="001C619C">
        <w:t>Thus, h</w:t>
      </w:r>
      <w:r w:rsidR="00C217BE">
        <w:t>umans could be denied the right to vote</w:t>
      </w:r>
      <w:r w:rsidR="001C619C">
        <w:rPr>
          <w:rStyle w:val="FootnoteReference"/>
        </w:rPr>
        <w:footnoteReference w:id="351"/>
      </w:r>
      <w:r w:rsidR="00C217BE">
        <w:t xml:space="preserve"> or participate in certain professions</w:t>
      </w:r>
      <w:r w:rsidR="001C619C">
        <w:rPr>
          <w:rStyle w:val="FootnoteReference"/>
        </w:rPr>
        <w:footnoteReference w:id="352"/>
      </w:r>
      <w:r w:rsidR="00C217BE">
        <w:t xml:space="preserve"> because they </w:t>
      </w:r>
      <w:r w:rsidR="001C619C">
        <w:t>happened to be women.</w:t>
      </w:r>
      <w:r w:rsidR="001C619C">
        <w:rPr>
          <w:rStyle w:val="FootnoteReference"/>
        </w:rPr>
        <w:footnoteReference w:id="353"/>
      </w:r>
      <w:r w:rsidR="005061B1">
        <w:t xml:space="preserve"> </w:t>
      </w:r>
      <w:r w:rsidR="001F7D32">
        <w:t>More starkly</w:t>
      </w:r>
      <w:r w:rsidR="00B575E0">
        <w:t xml:space="preserve">, </w:t>
      </w:r>
      <w:r w:rsidR="00B575E0">
        <w:lastRenderedPageBreak/>
        <w:t xml:space="preserve">humans could be </w:t>
      </w:r>
      <w:r w:rsidR="0074331B">
        <w:t>stripped of their hu</w:t>
      </w:r>
      <w:r w:rsidR="00247403">
        <w:t>manity and sold as chattel slaves because they happened to be Black.</w:t>
      </w:r>
      <w:bookmarkStart w:id="96" w:name="_Ref185516155"/>
      <w:r w:rsidR="009A5DFD">
        <w:rPr>
          <w:rStyle w:val="FootnoteReference"/>
        </w:rPr>
        <w:footnoteReference w:id="354"/>
      </w:r>
      <w:bookmarkEnd w:id="96"/>
      <w:r w:rsidR="001F7D32">
        <w:t xml:space="preserve"> </w:t>
      </w:r>
      <w:r w:rsidR="00FC6455">
        <w:t xml:space="preserve">After decades of relentless activism by the members </w:t>
      </w:r>
      <w:r w:rsidR="0029382C">
        <w:t xml:space="preserve">of such groups, the Court finally began to acknowledge </w:t>
      </w:r>
      <w:r w:rsidR="00B76C2B">
        <w:t>that</w:t>
      </w:r>
      <w:r w:rsidR="008E19E7">
        <w:t xml:space="preserve"> </w:t>
      </w:r>
      <w:r w:rsidR="00692678">
        <w:t xml:space="preserve">categories such as </w:t>
      </w:r>
      <w:r w:rsidR="00F11D9D">
        <w:t xml:space="preserve">gender and race </w:t>
      </w:r>
      <w:r w:rsidR="00825687">
        <w:t>failed to justify the</w:t>
      </w:r>
      <w:r w:rsidR="001B083E">
        <w:t xml:space="preserve"> deprivations of liberty for which they were cited.</w:t>
      </w:r>
      <w:r w:rsidR="00337B3B">
        <w:rPr>
          <w:rStyle w:val="FootnoteReference"/>
        </w:rPr>
        <w:footnoteReference w:id="355"/>
      </w:r>
      <w:r w:rsidR="001B083E">
        <w:t xml:space="preserve"> </w:t>
      </w:r>
      <w:r w:rsidR="007557D8">
        <w:t xml:space="preserve">Indeed, the </w:t>
      </w:r>
      <w:r w:rsidR="00451A4E">
        <w:t xml:space="preserve">Court now views </w:t>
      </w:r>
      <w:r w:rsidR="00455ADB">
        <w:t xml:space="preserve">legal distinctions </w:t>
      </w:r>
      <w:r w:rsidR="00451A4E">
        <w:t xml:space="preserve">based on such categories as </w:t>
      </w:r>
      <w:r w:rsidR="00455ADB">
        <w:t xml:space="preserve">inherently </w:t>
      </w:r>
      <w:r w:rsidR="00C23E38">
        <w:t>constitutionally suspect</w:t>
      </w:r>
      <w:r w:rsidR="004B0CCC">
        <w:t>, justifiable only in the rarest circumstances.</w:t>
      </w:r>
      <w:r w:rsidR="004B0CCC">
        <w:rPr>
          <w:rStyle w:val="FootnoteReference"/>
        </w:rPr>
        <w:footnoteReference w:id="356"/>
      </w:r>
    </w:p>
    <w:p w14:paraId="1665098F" w14:textId="77777777" w:rsidR="004906F4" w:rsidRDefault="004906F4" w:rsidP="00825687">
      <w:pPr>
        <w:ind w:firstLine="720"/>
      </w:pPr>
    </w:p>
    <w:p w14:paraId="6D39A00F" w14:textId="65451C4F" w:rsidR="004906F4" w:rsidRPr="00061F07" w:rsidRDefault="004257E3" w:rsidP="00825687">
      <w:pPr>
        <w:ind w:firstLine="720"/>
      </w:pPr>
      <w:r>
        <w:t xml:space="preserve">Despite these </w:t>
      </w:r>
      <w:r w:rsidR="00A36A09">
        <w:t xml:space="preserve">developments, </w:t>
      </w:r>
      <w:r w:rsidR="00070F1A">
        <w:t xml:space="preserve">membership in the category of </w:t>
      </w:r>
      <w:r w:rsidR="00B00854">
        <w:t xml:space="preserve">“child” </w:t>
      </w:r>
      <w:r w:rsidR="00EB6254">
        <w:t>continues to</w:t>
      </w:r>
      <w:r w:rsidR="00E82587">
        <w:t xml:space="preserve"> </w:t>
      </w:r>
      <w:r w:rsidR="000E3A16">
        <w:t xml:space="preserve">serve as sufficient justification for </w:t>
      </w:r>
      <w:r w:rsidR="00087CF0">
        <w:t xml:space="preserve">subordinating </w:t>
      </w:r>
      <w:r w:rsidR="009A50CC">
        <w:t>practically</w:t>
      </w:r>
      <w:r w:rsidR="00FE3193">
        <w:t xml:space="preserve"> all </w:t>
      </w:r>
      <w:r w:rsidR="00D1524D">
        <w:t xml:space="preserve">of </w:t>
      </w:r>
      <w:r w:rsidR="008939D1">
        <w:t xml:space="preserve">an individual’s preferences about their own life </w:t>
      </w:r>
      <w:r w:rsidR="003F0EEF">
        <w:t>to those of other people or the state.</w:t>
      </w:r>
      <w:r w:rsidR="003F0EEF">
        <w:rPr>
          <w:rStyle w:val="FootnoteReference"/>
        </w:rPr>
        <w:footnoteReference w:id="357"/>
      </w:r>
      <w:r w:rsidR="004E28CF">
        <w:t xml:space="preserve"> As Annette Ruth Appell has put it, “The law empowers adults . . . to dictate the terms of children’s lives: their language, their </w:t>
      </w:r>
      <w:r w:rsidR="004E28CF">
        <w:lastRenderedPageBreak/>
        <w:t>religion, what they can read, what they eat, where they live, where they can go, when they can go out, and when they must be home.”</w:t>
      </w:r>
      <w:bookmarkStart w:id="97" w:name="_Ref185502149"/>
      <w:r w:rsidR="004E28CF">
        <w:rPr>
          <w:rStyle w:val="FootnoteReference"/>
        </w:rPr>
        <w:footnoteReference w:id="358"/>
      </w:r>
      <w:bookmarkEnd w:id="97"/>
      <w:r w:rsidR="004E28CF">
        <w:t xml:space="preserve"> </w:t>
      </w:r>
      <w:r w:rsidR="00953DAA">
        <w:t xml:space="preserve">Adults may issue commands </w:t>
      </w:r>
      <w:r w:rsidR="00276B47">
        <w:t xml:space="preserve">to </w:t>
      </w:r>
      <w:r w:rsidR="004F2BB4">
        <w:t>children</w:t>
      </w:r>
      <w:r w:rsidR="00276B47">
        <w:t xml:space="preserve"> </w:t>
      </w:r>
      <w:r w:rsidR="00953DAA">
        <w:t>with</w:t>
      </w:r>
      <w:r w:rsidR="00636A32">
        <w:t xml:space="preserve">out considering </w:t>
      </w:r>
      <w:r w:rsidR="009C6837">
        <w:t>the</w:t>
      </w:r>
      <w:r w:rsidR="004F2BB4">
        <w:t>ir</w:t>
      </w:r>
      <w:r w:rsidR="009C6837">
        <w:t xml:space="preserve"> wishes and without explanation</w:t>
      </w:r>
      <w:r w:rsidR="00DE2D25">
        <w:t>.</w:t>
      </w:r>
      <w:r w:rsidR="00C85463">
        <w:rPr>
          <w:rStyle w:val="FootnoteReference"/>
        </w:rPr>
        <w:footnoteReference w:id="359"/>
      </w:r>
      <w:r w:rsidR="00B629A6">
        <w:t xml:space="preserve"> </w:t>
      </w:r>
      <w:r w:rsidR="004A02ED">
        <w:t xml:space="preserve">Adults may enforce </w:t>
      </w:r>
      <w:r w:rsidR="00276B47">
        <w:t xml:space="preserve">their </w:t>
      </w:r>
      <w:r w:rsidR="00CB2015">
        <w:t>commands</w:t>
      </w:r>
      <w:r w:rsidR="00BC7570">
        <w:t xml:space="preserve"> </w:t>
      </w:r>
      <w:r w:rsidR="00276B47">
        <w:t xml:space="preserve">to children </w:t>
      </w:r>
      <w:r w:rsidR="00BC7570">
        <w:t xml:space="preserve">by imposing further deprivations of liberty </w:t>
      </w:r>
      <w:r w:rsidR="0045452D">
        <w:t xml:space="preserve">and even </w:t>
      </w:r>
      <w:r w:rsidR="00B449EB">
        <w:t xml:space="preserve">by </w:t>
      </w:r>
      <w:r w:rsidR="006C3AB0">
        <w:t xml:space="preserve">physically </w:t>
      </w:r>
      <w:r w:rsidR="00B449EB">
        <w:t>striking the child.</w:t>
      </w:r>
      <w:bookmarkStart w:id="98" w:name="_Ref185512665"/>
      <w:r w:rsidR="00B449EB">
        <w:rPr>
          <w:rStyle w:val="FootnoteReference"/>
        </w:rPr>
        <w:footnoteReference w:id="360"/>
      </w:r>
      <w:bookmarkEnd w:id="98"/>
      <w:r w:rsidR="004A02ED">
        <w:t xml:space="preserve"> </w:t>
      </w:r>
      <w:r w:rsidR="00D74312">
        <w:t>If the child</w:t>
      </w:r>
      <w:r w:rsidR="005D302F">
        <w:t xml:space="preserve"> appeals to the state, it will side with the adult for no other reason than that the a</w:t>
      </w:r>
      <w:r w:rsidR="00A35984">
        <w:t xml:space="preserve">dult </w:t>
      </w:r>
      <w:r w:rsidR="00A35984" w:rsidRPr="00EC0A16">
        <w:rPr>
          <w:i/>
          <w:iCs/>
        </w:rPr>
        <w:t>is</w:t>
      </w:r>
      <w:r w:rsidR="00A35984">
        <w:t xml:space="preserve"> the </w:t>
      </w:r>
      <w:r w:rsidR="00A35984" w:rsidRPr="00EC0A16">
        <w:t>adult</w:t>
      </w:r>
      <w:r w:rsidR="00A35984">
        <w:t>.</w:t>
      </w:r>
      <w:r w:rsidR="002D71C7">
        <w:rPr>
          <w:rStyle w:val="FootnoteReference"/>
        </w:rPr>
        <w:footnoteReference w:id="361"/>
      </w:r>
      <w:r w:rsidR="00DE029B">
        <w:t xml:space="preserve"> </w:t>
      </w:r>
      <w:r w:rsidR="003F7CE3">
        <w:t xml:space="preserve">In short, </w:t>
      </w:r>
      <w:r w:rsidR="00E91EC3">
        <w:t>the law</w:t>
      </w:r>
      <w:r w:rsidR="00C650C3">
        <w:t xml:space="preserve"> enthrones adults </w:t>
      </w:r>
      <w:r w:rsidR="004B0A82">
        <w:t xml:space="preserve">to rule over children’s lives with a totality that </w:t>
      </w:r>
      <w:r w:rsidR="001D34B9">
        <w:t>would make Louis XIV</w:t>
      </w:r>
      <w:r w:rsidR="00D278E7">
        <w:rPr>
          <w:rStyle w:val="FootnoteReference"/>
        </w:rPr>
        <w:footnoteReference w:id="362"/>
      </w:r>
      <w:r w:rsidR="001D34B9">
        <w:t xml:space="preserve"> or George III</w:t>
      </w:r>
      <w:r w:rsidR="009038A8">
        <w:rPr>
          <w:rStyle w:val="FootnoteReference"/>
        </w:rPr>
        <w:footnoteReference w:id="363"/>
      </w:r>
      <w:r w:rsidR="001D34B9">
        <w:t xml:space="preserve"> envious.</w:t>
      </w:r>
      <w:r w:rsidR="007C13DB">
        <w:rPr>
          <w:rStyle w:val="FootnoteReference"/>
        </w:rPr>
        <w:footnoteReference w:id="364"/>
      </w:r>
    </w:p>
    <w:p w14:paraId="45EC7015" w14:textId="77777777" w:rsidR="003F18C6" w:rsidRDefault="003F18C6" w:rsidP="00BE3D5F">
      <w:pPr>
        <w:ind w:firstLine="720"/>
      </w:pPr>
    </w:p>
    <w:p w14:paraId="50C3D5D2" w14:textId="0A0A15B2" w:rsidR="003E66CE" w:rsidRDefault="005033DF" w:rsidP="00BE3D5F">
      <w:pPr>
        <w:ind w:firstLine="720"/>
      </w:pPr>
      <w:r>
        <w:t>The extent to which the law deprives children of liberty might suggest that it</w:t>
      </w:r>
      <w:r w:rsidR="00557CBA">
        <w:t xml:space="preserve"> </w:t>
      </w:r>
      <w:r w:rsidR="00D45D70">
        <w:t xml:space="preserve">defines </w:t>
      </w:r>
      <w:r w:rsidR="006B4AFF">
        <w:t xml:space="preserve">the category of </w:t>
      </w:r>
      <w:r w:rsidR="00D45D70">
        <w:t>childhood</w:t>
      </w:r>
      <w:r w:rsidR="006B4AFF">
        <w:t xml:space="preserve"> with corresponding</w:t>
      </w:r>
      <w:r w:rsidR="00333EEB">
        <w:t xml:space="preserve"> nuance and care.</w:t>
      </w:r>
      <w:r w:rsidR="00670223">
        <w:t xml:space="preserve"> </w:t>
      </w:r>
      <w:r w:rsidR="000E0546">
        <w:t>Not so.</w:t>
      </w:r>
      <w:r w:rsidR="00CB498B">
        <w:t xml:space="preserve"> Every person is </w:t>
      </w:r>
      <w:r w:rsidR="001A3447">
        <w:t>born into the category of childhood and remains there until</w:t>
      </w:r>
      <w:r w:rsidR="00B90DB1">
        <w:t xml:space="preserve"> </w:t>
      </w:r>
      <w:r w:rsidR="001A3447">
        <w:t>they reach</w:t>
      </w:r>
      <w:r w:rsidR="00B90DB1">
        <w:t xml:space="preserve"> the “age of majority,”</w:t>
      </w:r>
      <w:r w:rsidR="00290374">
        <w:rPr>
          <w:rStyle w:val="FootnoteReference"/>
        </w:rPr>
        <w:footnoteReference w:id="365"/>
      </w:r>
      <w:r w:rsidR="00B90DB1">
        <w:t xml:space="preserve"> </w:t>
      </w:r>
      <w:r w:rsidR="002D0250">
        <w:t xml:space="preserve">which </w:t>
      </w:r>
      <w:r w:rsidR="00991305">
        <w:t>almost every</w:t>
      </w:r>
      <w:r w:rsidR="00B3746A">
        <w:t xml:space="preserve"> state set</w:t>
      </w:r>
      <w:r w:rsidR="00991305">
        <w:t>s</w:t>
      </w:r>
      <w:r w:rsidR="00B3746A">
        <w:t xml:space="preserve"> at eighteen.</w:t>
      </w:r>
      <w:r w:rsidR="0057622B">
        <w:rPr>
          <w:rStyle w:val="FootnoteReference"/>
        </w:rPr>
        <w:footnoteReference w:id="366"/>
      </w:r>
      <w:r w:rsidR="004D4EB2">
        <w:t xml:space="preserve"> Throughout that period, during which </w:t>
      </w:r>
      <w:r w:rsidR="008413F0">
        <w:t>humans</w:t>
      </w:r>
      <w:r w:rsidR="004D4EB2">
        <w:t xml:space="preserve"> </w:t>
      </w:r>
      <w:r w:rsidR="004D4EB2">
        <w:lastRenderedPageBreak/>
        <w:t>undergo</w:t>
      </w:r>
      <w:r w:rsidR="00B41379">
        <w:t xml:space="preserve"> gradual but dramatic </w:t>
      </w:r>
      <w:r w:rsidR="0071023C">
        <w:t>increases in capacity</w:t>
      </w:r>
      <w:r w:rsidR="00471F73">
        <w:t>,</w:t>
      </w:r>
      <w:r w:rsidR="00C73337">
        <w:rPr>
          <w:rStyle w:val="FootnoteReference"/>
        </w:rPr>
        <w:footnoteReference w:id="367"/>
      </w:r>
      <w:r w:rsidR="00471F73">
        <w:t xml:space="preserve"> adults’ sweeping </w:t>
      </w:r>
      <w:r w:rsidR="005E317E">
        <w:t xml:space="preserve">legal </w:t>
      </w:r>
      <w:r w:rsidR="00471F73">
        <w:t>authority over the child remains essentially unchanged</w:t>
      </w:r>
      <w:r w:rsidR="00FC6203">
        <w:t xml:space="preserve"> before suddenly evaporating overnight</w:t>
      </w:r>
      <w:r w:rsidR="00471F73">
        <w:t>.</w:t>
      </w:r>
      <w:r w:rsidR="007C4AB0">
        <w:rPr>
          <w:rStyle w:val="FootnoteReference"/>
        </w:rPr>
        <w:footnoteReference w:id="368"/>
      </w:r>
      <w:r w:rsidR="00C73337">
        <w:t xml:space="preserve"> </w:t>
      </w:r>
      <w:r w:rsidR="006E3B1A">
        <w:t>Thus, the night before a</w:t>
      </w:r>
      <w:r w:rsidR="008466DC">
        <w:t xml:space="preserve"> person’s eighteenth birthday, their parent may order them to eat broccoli </w:t>
      </w:r>
      <w:r w:rsidR="00161060">
        <w:t>for dinner</w:t>
      </w:r>
      <w:r w:rsidR="00ED6646">
        <w:t xml:space="preserve"> and spank them if they refuse. </w:t>
      </w:r>
      <w:r w:rsidR="00A451DF">
        <w:t xml:space="preserve">If the child </w:t>
      </w:r>
      <w:r w:rsidR="00A7622A">
        <w:t>calls the police, the law will treat the spanking as a legitimate</w:t>
      </w:r>
      <w:r w:rsidR="00CD7EC6">
        <w:t xml:space="preserve"> (</w:t>
      </w:r>
      <w:r w:rsidR="00A7622A">
        <w:t xml:space="preserve">if </w:t>
      </w:r>
      <w:r w:rsidR="00CD7EC6">
        <w:t xml:space="preserve">perhaps </w:t>
      </w:r>
      <w:r w:rsidR="000414DB">
        <w:t>ill-advised</w:t>
      </w:r>
      <w:r w:rsidR="00CD7EC6">
        <w:t xml:space="preserve">) </w:t>
      </w:r>
      <w:r w:rsidR="000414DB">
        <w:t>exercise of parental authority and refuse to intervene.</w:t>
      </w:r>
      <w:bookmarkStart w:id="99" w:name="_Ref185673427"/>
      <w:r w:rsidR="00E94216">
        <w:rPr>
          <w:rStyle w:val="FootnoteReference"/>
        </w:rPr>
        <w:footnoteReference w:id="369"/>
      </w:r>
      <w:bookmarkEnd w:id="99"/>
      <w:r w:rsidR="001A7AF1">
        <w:t xml:space="preserve"> But if </w:t>
      </w:r>
      <w:r w:rsidR="00CD7EC6">
        <w:t xml:space="preserve">precisely </w:t>
      </w:r>
      <w:r w:rsidR="001A7AF1">
        <w:t xml:space="preserve">the same incident happens twenty-four hours later, </w:t>
      </w:r>
      <w:r w:rsidR="00CD7EC6">
        <w:t xml:space="preserve">the law will treat </w:t>
      </w:r>
      <w:r w:rsidR="00A96656">
        <w:t xml:space="preserve">the “spanking” as </w:t>
      </w:r>
      <w:r w:rsidR="001037C1">
        <w:t>criminal battery.</w:t>
      </w:r>
      <w:r w:rsidR="006D33D1">
        <w:rPr>
          <w:rStyle w:val="FootnoteReference"/>
        </w:rPr>
        <w:footnoteReference w:id="370"/>
      </w:r>
    </w:p>
    <w:p w14:paraId="2B6A978C" w14:textId="77777777" w:rsidR="001F79EE" w:rsidRDefault="001F79EE" w:rsidP="00E923E1">
      <w:pPr>
        <w:ind w:firstLine="0"/>
      </w:pPr>
    </w:p>
    <w:p w14:paraId="5346CA9D" w14:textId="3563715C" w:rsidR="00E923E1" w:rsidRDefault="00E923E1" w:rsidP="00E923E1">
      <w:pPr>
        <w:pStyle w:val="Heading3"/>
      </w:pPr>
      <w:r>
        <w:t>From Property to Paternalism</w:t>
      </w:r>
    </w:p>
    <w:p w14:paraId="3B13A943" w14:textId="77777777" w:rsidR="00E923E1" w:rsidRDefault="00E923E1" w:rsidP="00E923E1">
      <w:pPr>
        <w:ind w:firstLine="0"/>
      </w:pPr>
    </w:p>
    <w:p w14:paraId="31F25CFB" w14:textId="373BA1C5" w:rsidR="009305D5" w:rsidRDefault="007C4759" w:rsidP="00BE3D5F">
      <w:pPr>
        <w:ind w:firstLine="720"/>
      </w:pPr>
      <w:r>
        <w:t xml:space="preserve">The </w:t>
      </w:r>
      <w:r w:rsidR="006022CF">
        <w:t xml:space="preserve">proffered justification for the legal </w:t>
      </w:r>
      <w:r w:rsidR="00D50D67">
        <w:t>subordination</w:t>
      </w:r>
      <w:r w:rsidR="00674FEE">
        <w:t xml:space="preserve"> of children </w:t>
      </w:r>
      <w:r w:rsidR="005A2C7F">
        <w:t>has</w:t>
      </w:r>
      <w:r w:rsidR="00674FEE">
        <w:t xml:space="preserve"> evolved over time</w:t>
      </w:r>
      <w:r w:rsidR="00AC6446">
        <w:t>.</w:t>
      </w:r>
      <w:r w:rsidR="00577A03">
        <w:t xml:space="preserve"> Until </w:t>
      </w:r>
      <w:r w:rsidR="00E91067">
        <w:t>recently, the Anglo-American common law tradition defined children as the legal property of their parents, particularly</w:t>
      </w:r>
      <w:r w:rsidR="00F51042">
        <w:t xml:space="preserve"> their fathers.</w:t>
      </w:r>
      <w:bookmarkStart w:id="100" w:name="_Ref185515456"/>
      <w:r w:rsidR="00F51042">
        <w:rPr>
          <w:rStyle w:val="FootnoteReference"/>
        </w:rPr>
        <w:footnoteReference w:id="371"/>
      </w:r>
      <w:bookmarkEnd w:id="100"/>
      <w:r w:rsidR="004A3494">
        <w:t xml:space="preserve"> </w:t>
      </w:r>
      <w:r w:rsidR="006404B3">
        <w:t xml:space="preserve">When the </w:t>
      </w:r>
      <w:r w:rsidR="007A01DF">
        <w:t>overt</w:t>
      </w:r>
      <w:r w:rsidR="005F29DD">
        <w:t xml:space="preserve"> </w:t>
      </w:r>
      <w:r w:rsidR="006404B3">
        <w:t>classification of human beings as property became illegal</w:t>
      </w:r>
      <w:r w:rsidR="00184352">
        <w:t xml:space="preserve"> after the Civil War,</w:t>
      </w:r>
      <w:r w:rsidR="00184352">
        <w:rPr>
          <w:rStyle w:val="FootnoteReference"/>
        </w:rPr>
        <w:footnoteReference w:id="372"/>
      </w:r>
      <w:r w:rsidR="006404B3">
        <w:t xml:space="preserve"> </w:t>
      </w:r>
      <w:r w:rsidR="007A01DF">
        <w:t>the justification</w:t>
      </w:r>
      <w:r w:rsidR="0054049F">
        <w:t xml:space="preserve"> for adults’ control </w:t>
      </w:r>
      <w:r w:rsidR="0054049F">
        <w:lastRenderedPageBreak/>
        <w:t xml:space="preserve">over children—as for white </w:t>
      </w:r>
      <w:r w:rsidR="00CD68C8">
        <w:t>Americans’</w:t>
      </w:r>
      <w:r w:rsidR="0054049F">
        <w:t xml:space="preserve"> control over </w:t>
      </w:r>
      <w:r w:rsidR="00CD68C8">
        <w:t>Black Americans</w:t>
      </w:r>
      <w:r w:rsidR="00CD68C8">
        <w:rPr>
          <w:rStyle w:val="FootnoteReference"/>
        </w:rPr>
        <w:footnoteReference w:id="373"/>
      </w:r>
      <w:r w:rsidR="00C6395F">
        <w:t>—</w:t>
      </w:r>
      <w:r w:rsidR="00CD68C8">
        <w:t xml:space="preserve">morphed </w:t>
      </w:r>
      <w:r w:rsidR="00291917">
        <w:t>to preserve the status quo.</w:t>
      </w:r>
      <w:bookmarkStart w:id="101" w:name="_Ref185586851"/>
      <w:r w:rsidR="007D27B7">
        <w:rPr>
          <w:rStyle w:val="FootnoteReference"/>
        </w:rPr>
        <w:footnoteReference w:id="374"/>
      </w:r>
      <w:bookmarkEnd w:id="101"/>
      <w:r w:rsidR="005350B2">
        <w:t xml:space="preserve"> </w:t>
      </w:r>
      <w:r w:rsidR="0049250A">
        <w:t>Today, t</w:t>
      </w:r>
      <w:r w:rsidR="00ED47FB">
        <w:t xml:space="preserve">he most common justification for the </w:t>
      </w:r>
      <w:r w:rsidR="0049250A">
        <w:t xml:space="preserve">legal subordination of children is what Appell calls the “development thesis,” </w:t>
      </w:r>
      <w:r w:rsidR="00403778">
        <w:t xml:space="preserve"> </w:t>
      </w:r>
      <w:r w:rsidR="008D03E3">
        <w:t>that “</w:t>
      </w:r>
      <w:r w:rsidR="00F14DE0">
        <w:t>children are unwise, weak, unreasonable and wild whereas adults are wise, strong, reasonable, and restrained.”</w:t>
      </w:r>
      <w:r w:rsidR="002B61BA">
        <w:rPr>
          <w:rStyle w:val="FootnoteReference"/>
        </w:rPr>
        <w:footnoteReference w:id="375"/>
      </w:r>
      <w:r w:rsidR="00306572">
        <w:t xml:space="preserve"> Accordingly,</w:t>
      </w:r>
      <w:r w:rsidR="00F307FA">
        <w:t xml:space="preserve"> </w:t>
      </w:r>
      <w:r w:rsidR="001D6A16">
        <w:t>because children lack the capacity to know</w:t>
      </w:r>
      <w:r w:rsidR="00B2714E">
        <w:t xml:space="preserve"> or</w:t>
      </w:r>
      <w:r w:rsidR="001D6A16">
        <w:t xml:space="preserve"> </w:t>
      </w:r>
      <w:r w:rsidR="00CE493E">
        <w:t>assert</w:t>
      </w:r>
      <w:r w:rsidR="001D6A16">
        <w:t xml:space="preserve"> their own interests, </w:t>
      </w:r>
      <w:r w:rsidR="00F307FA">
        <w:t>adults</w:t>
      </w:r>
      <w:r w:rsidR="002710D2">
        <w:t>’ control over children’s lives</w:t>
      </w:r>
      <w:r w:rsidR="00AC3B10">
        <w:t xml:space="preserve"> until they reach the age of majority</w:t>
      </w:r>
      <w:r w:rsidR="002710D2">
        <w:t xml:space="preserve"> is </w:t>
      </w:r>
      <w:r w:rsidR="00135EE4">
        <w:t>necessary to protect</w:t>
      </w:r>
      <w:r w:rsidR="002710D2">
        <w:t xml:space="preserve"> children’s “best interest</w:t>
      </w:r>
      <w:r w:rsidR="007F20B2">
        <w:t>s</w:t>
      </w:r>
      <w:r w:rsidR="004E0B6F">
        <w:t>.</w:t>
      </w:r>
      <w:r w:rsidR="007F20B2">
        <w:t>”</w:t>
      </w:r>
      <w:r w:rsidR="009D2A08">
        <w:rPr>
          <w:rStyle w:val="FootnoteReference"/>
        </w:rPr>
        <w:footnoteReference w:id="376"/>
      </w:r>
      <w:r w:rsidR="007F20B2">
        <w:t xml:space="preserve"> </w:t>
      </w:r>
    </w:p>
    <w:p w14:paraId="470156A4" w14:textId="77777777" w:rsidR="00E91067" w:rsidRDefault="00E91067" w:rsidP="00BE3D5F">
      <w:pPr>
        <w:ind w:firstLine="720"/>
      </w:pPr>
    </w:p>
    <w:p w14:paraId="47306D19" w14:textId="2963CDFA" w:rsidR="00086A31" w:rsidRDefault="009305D5" w:rsidP="00BE3D5F">
      <w:pPr>
        <w:ind w:firstLine="720"/>
      </w:pPr>
      <w:r>
        <w:t>T</w:t>
      </w:r>
      <w:r w:rsidR="008A3F16">
        <w:t xml:space="preserve">he shift from property to paternalism </w:t>
      </w:r>
      <w:r w:rsidR="00AE1363">
        <w:t>as</w:t>
      </w:r>
      <w:r w:rsidR="00F026A7">
        <w:t xml:space="preserve"> </w:t>
      </w:r>
      <w:r w:rsidR="00F65244">
        <w:t xml:space="preserve">an </w:t>
      </w:r>
      <w:r w:rsidR="00AE1363">
        <w:t>ostensible rationale</w:t>
      </w:r>
      <w:r w:rsidR="00C96D67">
        <w:t xml:space="preserve"> has had little practical effect on children’s </w:t>
      </w:r>
      <w:r w:rsidR="00760F38">
        <w:t>control over their own lives</w:t>
      </w:r>
      <w:r w:rsidR="003820AA">
        <w:t>.</w:t>
      </w:r>
      <w:r w:rsidR="003820AA">
        <w:rPr>
          <w:rStyle w:val="FootnoteReference"/>
        </w:rPr>
        <w:footnoteReference w:id="377"/>
      </w:r>
      <w:r w:rsidR="002D5B7F">
        <w:t xml:space="preserve"> </w:t>
      </w:r>
      <w:r w:rsidR="00191ED3">
        <w:t>As with other forms of paternalism</w:t>
      </w:r>
      <w:r w:rsidR="000E3912">
        <w:t>,</w:t>
      </w:r>
      <w:bookmarkStart w:id="102" w:name="_Ref185596175"/>
      <w:r w:rsidR="00191ED3">
        <w:rPr>
          <w:rStyle w:val="FootnoteReference"/>
        </w:rPr>
        <w:footnoteReference w:id="378"/>
      </w:r>
      <w:bookmarkEnd w:id="102"/>
      <w:r w:rsidR="000E3912">
        <w:t xml:space="preserve"> t</w:t>
      </w:r>
      <w:r w:rsidR="00FD2819">
        <w:t xml:space="preserve">he development thesis is </w:t>
      </w:r>
      <w:r w:rsidR="009B343F">
        <w:t>a</w:t>
      </w:r>
      <w:r w:rsidR="00FD2819">
        <w:t xml:space="preserve"> velvet glove </w:t>
      </w:r>
      <w:r w:rsidR="008D34B3">
        <w:t xml:space="preserve">of difference </w:t>
      </w:r>
      <w:r w:rsidR="00471614">
        <w:t>covering</w:t>
      </w:r>
      <w:r w:rsidR="00FD2819">
        <w:t xml:space="preserve"> the</w:t>
      </w:r>
      <w:r w:rsidR="00905503">
        <w:t xml:space="preserve"> iron fist of domination.</w:t>
      </w:r>
      <w:bookmarkStart w:id="103" w:name="_Ref185594936"/>
      <w:r w:rsidR="00471614">
        <w:rPr>
          <w:rStyle w:val="FootnoteReference"/>
        </w:rPr>
        <w:footnoteReference w:id="379"/>
      </w:r>
      <w:bookmarkEnd w:id="103"/>
      <w:r w:rsidR="00191ED3">
        <w:t xml:space="preserve"> </w:t>
      </w:r>
      <w:r w:rsidR="00C12607">
        <w:t xml:space="preserve">Of course there are </w:t>
      </w:r>
      <w:r w:rsidR="00C12607">
        <w:lastRenderedPageBreak/>
        <w:t>“real differences”</w:t>
      </w:r>
      <w:r w:rsidR="00C12607">
        <w:rPr>
          <w:rStyle w:val="FootnoteReference"/>
        </w:rPr>
        <w:footnoteReference w:id="380"/>
      </w:r>
      <w:r w:rsidR="00C12607">
        <w:t xml:space="preserve"> between children and adults</w:t>
      </w:r>
      <w:r w:rsidR="00860AA5">
        <w:t xml:space="preserve">: </w:t>
      </w:r>
      <w:r w:rsidR="00E91067">
        <w:t xml:space="preserve">Young humans are </w:t>
      </w:r>
      <w:r w:rsidR="00C83144">
        <w:t xml:space="preserve">physically, mentally, and emotionally </w:t>
      </w:r>
      <w:r w:rsidR="00E91067">
        <w:t xml:space="preserve">vulnerable in ways that decrease </w:t>
      </w:r>
      <w:r w:rsidR="00853C8A">
        <w:t xml:space="preserve">naturally as they </w:t>
      </w:r>
      <w:r w:rsidR="00E91067">
        <w:t>age.</w:t>
      </w:r>
      <w:bookmarkStart w:id="104" w:name="_Ref185596642"/>
      <w:r w:rsidR="004119E2">
        <w:rPr>
          <w:rStyle w:val="FootnoteReference"/>
        </w:rPr>
        <w:footnoteReference w:id="381"/>
      </w:r>
      <w:bookmarkEnd w:id="104"/>
      <w:r w:rsidR="00E91067">
        <w:t xml:space="preserve"> </w:t>
      </w:r>
      <w:r w:rsidR="00027934">
        <w:t>But t</w:t>
      </w:r>
      <w:r w:rsidR="00DE4F99">
        <w:t xml:space="preserve">he law </w:t>
      </w:r>
      <w:r w:rsidR="002B0BA7">
        <w:t>compounds</w:t>
      </w:r>
      <w:r w:rsidR="00DE4F99">
        <w:t xml:space="preserve"> </w:t>
      </w:r>
      <w:r w:rsidR="000A1B75">
        <w:t>that vulnerability</w:t>
      </w:r>
      <w:r w:rsidR="005B2F68">
        <w:t xml:space="preserve"> by </w:t>
      </w:r>
      <w:r w:rsidR="005B187B">
        <w:t xml:space="preserve">rendering children </w:t>
      </w:r>
      <w:r w:rsidR="005B187B">
        <w:rPr>
          <w:i/>
          <w:iCs/>
        </w:rPr>
        <w:t>legally</w:t>
      </w:r>
      <w:r w:rsidR="005B187B">
        <w:t xml:space="preserve"> powerless</w:t>
      </w:r>
      <w:r w:rsidR="00626B29">
        <w:t xml:space="preserve"> to assert their own interests.</w:t>
      </w:r>
      <w:r w:rsidR="00626B29">
        <w:rPr>
          <w:rStyle w:val="FootnoteReference"/>
        </w:rPr>
        <w:footnoteReference w:id="382"/>
      </w:r>
      <w:r w:rsidR="00C841EC">
        <w:t xml:space="preserve"> </w:t>
      </w:r>
      <w:r w:rsidR="007E69E4">
        <w:t xml:space="preserve">In a stunning display of circular logic, the law then cites </w:t>
      </w:r>
      <w:r w:rsidR="004C45A2">
        <w:t>children’s powerlessness as justification for handing control of their lives over to adults and the state.</w:t>
      </w:r>
      <w:r w:rsidR="00644CD8">
        <w:rPr>
          <w:rStyle w:val="FootnoteReference"/>
        </w:rPr>
        <w:footnoteReference w:id="383"/>
      </w:r>
      <w:r w:rsidR="004C45A2">
        <w:t xml:space="preserve"> To quote Simone de Beauvoir quoting George Bernard Shaw, “</w:t>
      </w:r>
      <w:r w:rsidR="00644CD8">
        <w:t xml:space="preserve">The white American relegates </w:t>
      </w:r>
      <w:r w:rsidR="008E07FF">
        <w:t>the [B]lack [American] to the rank of shoe-shine boy</w:t>
      </w:r>
      <w:r w:rsidR="001C3231">
        <w:t>, and then concludes that [B]lack [Americans] are only good for shining shoes.”</w:t>
      </w:r>
      <w:r w:rsidR="001C3231">
        <w:rPr>
          <w:rStyle w:val="FootnoteReference"/>
        </w:rPr>
        <w:footnoteReference w:id="384"/>
      </w:r>
    </w:p>
    <w:p w14:paraId="607C6E70" w14:textId="77777777" w:rsidR="00086A31" w:rsidRDefault="00086A31" w:rsidP="00BE3D5F">
      <w:pPr>
        <w:ind w:firstLine="720"/>
      </w:pPr>
    </w:p>
    <w:p w14:paraId="49B46E79" w14:textId="5740B087" w:rsidR="00734F1B" w:rsidRPr="005B187B" w:rsidRDefault="00C841EC" w:rsidP="00BE3D5F">
      <w:pPr>
        <w:ind w:firstLine="720"/>
      </w:pPr>
      <w:r>
        <w:t xml:space="preserve">Children’s </w:t>
      </w:r>
      <w:r w:rsidR="00865720">
        <w:t xml:space="preserve">comparatively diminished capacity during the earliest years of their lives does not </w:t>
      </w:r>
      <w:r w:rsidR="00644CD8">
        <w:t xml:space="preserve">justify, much less require, </w:t>
      </w:r>
      <w:r w:rsidR="00EA0289">
        <w:t>giving other people total control over their live</w:t>
      </w:r>
      <w:r w:rsidR="00496579">
        <w:t>s</w:t>
      </w:r>
      <w:r w:rsidR="00300D1A">
        <w:t xml:space="preserve"> until they turn </w:t>
      </w:r>
      <w:r w:rsidR="00806073">
        <w:t>eighteen</w:t>
      </w:r>
      <w:r w:rsidR="00300D1A">
        <w:t>.</w:t>
      </w:r>
      <w:r w:rsidR="00300D1A">
        <w:rPr>
          <w:rStyle w:val="FootnoteReference"/>
        </w:rPr>
        <w:footnoteReference w:id="385"/>
      </w:r>
      <w:r w:rsidR="00AD75C4">
        <w:t xml:space="preserve"> </w:t>
      </w:r>
      <w:r w:rsidR="00811761">
        <w:t>Years before their eighteenth birthday, m</w:t>
      </w:r>
      <w:r w:rsidR="008E4F5C">
        <w:t xml:space="preserve">ost children </w:t>
      </w:r>
      <w:r w:rsidR="00031096">
        <w:t>develop</w:t>
      </w:r>
      <w:r w:rsidR="00CA5DA3">
        <w:t xml:space="preserve"> a level of </w:t>
      </w:r>
      <w:r w:rsidR="006436E5">
        <w:t>decisional</w:t>
      </w:r>
      <w:r w:rsidR="00CA5DA3">
        <w:t xml:space="preserve"> capacity </w:t>
      </w:r>
      <w:r w:rsidR="006436E5">
        <w:t xml:space="preserve">that the law </w:t>
      </w:r>
      <w:r w:rsidR="00811761">
        <w:t>deems sufficient for adults.</w:t>
      </w:r>
      <w:r w:rsidR="00806073">
        <w:rPr>
          <w:rStyle w:val="FootnoteReference"/>
        </w:rPr>
        <w:footnoteReference w:id="386"/>
      </w:r>
      <w:r w:rsidR="00806073">
        <w:t xml:space="preserve"> </w:t>
      </w:r>
      <w:r w:rsidR="00362472">
        <w:t xml:space="preserve">Many adults </w:t>
      </w:r>
      <w:r w:rsidR="001703CC">
        <w:t xml:space="preserve">also </w:t>
      </w:r>
      <w:r w:rsidR="00174F6B">
        <w:t xml:space="preserve">experience temporary or permanent states of </w:t>
      </w:r>
      <w:r w:rsidR="00E41A1F">
        <w:t xml:space="preserve">intense </w:t>
      </w:r>
      <w:r w:rsidR="00174F6B">
        <w:t xml:space="preserve">vulnerability, but the law </w:t>
      </w:r>
      <w:r w:rsidR="004B236D">
        <w:t xml:space="preserve">protects </w:t>
      </w:r>
      <w:r w:rsidR="004B236D">
        <w:lastRenderedPageBreak/>
        <w:t>their right to make decisions for themselves in all but the most extreme circumstances.</w:t>
      </w:r>
      <w:r w:rsidR="004B236D">
        <w:rPr>
          <w:rStyle w:val="FootnoteReference"/>
        </w:rPr>
        <w:footnoteReference w:id="387"/>
      </w:r>
      <w:r w:rsidR="001703CC">
        <w:t xml:space="preserve"> As a measure of capacity, then, the age-of-majority regime is both grossly over- and under-inclusive.</w:t>
      </w:r>
      <w:r w:rsidR="005128F8">
        <w:rPr>
          <w:rStyle w:val="FootnoteReference"/>
        </w:rPr>
        <w:footnoteReference w:id="388"/>
      </w:r>
    </w:p>
    <w:p w14:paraId="2EBEB6CC" w14:textId="77777777" w:rsidR="00691C4A" w:rsidRDefault="00691C4A" w:rsidP="00BE3D5F">
      <w:pPr>
        <w:ind w:firstLine="720"/>
      </w:pPr>
    </w:p>
    <w:p w14:paraId="0960E827" w14:textId="57CA12A7" w:rsidR="00E00845" w:rsidRDefault="00691C4A" w:rsidP="00E00845">
      <w:pPr>
        <w:ind w:firstLine="720"/>
      </w:pPr>
      <w:r>
        <w:t xml:space="preserve">These </w:t>
      </w:r>
      <w:r w:rsidR="005473AC">
        <w:t>realities belie the development thesis as the real reason for the legal subordination of children.</w:t>
      </w:r>
      <w:r w:rsidR="00486D0E">
        <w:t xml:space="preserve"> </w:t>
      </w:r>
      <w:r w:rsidR="000B0EAD">
        <w:t>Simply put, t</w:t>
      </w:r>
      <w:r w:rsidR="00486D0E">
        <w:t>he category of childhood exists for the benefit of adults, not children.</w:t>
      </w:r>
      <w:r w:rsidR="00486D0E">
        <w:rPr>
          <w:rStyle w:val="FootnoteReference"/>
        </w:rPr>
        <w:footnoteReference w:id="389"/>
      </w:r>
      <w:r w:rsidR="00486D0E">
        <w:t xml:space="preserve"> </w:t>
      </w:r>
      <w:r w:rsidR="00E00845">
        <w:t xml:space="preserve">Adults often override children’s preferences for reasons that have nothing to do with—indeed, that </w:t>
      </w:r>
      <w:r w:rsidR="00515567">
        <w:t xml:space="preserve">blatantly </w:t>
      </w:r>
      <w:r w:rsidR="00E00845">
        <w:t>contravene—children’s “best interests.”</w:t>
      </w:r>
      <w:r w:rsidR="00E00845">
        <w:rPr>
          <w:rStyle w:val="FootnoteReference"/>
        </w:rPr>
        <w:footnoteReference w:id="390"/>
      </w:r>
      <w:r w:rsidR="00E00845">
        <w:t xml:space="preserve"> </w:t>
      </w:r>
      <w:r w:rsidR="008371AA">
        <w:t>The law</w:t>
      </w:r>
      <w:r w:rsidR="00C20F27">
        <w:t xml:space="preserve"> </w:t>
      </w:r>
      <w:r w:rsidR="00C72CC7">
        <w:t xml:space="preserve">not merely permits but protects such domination as </w:t>
      </w:r>
      <w:r w:rsidR="001552A1">
        <w:t>a</w:t>
      </w:r>
      <w:r w:rsidR="00C72CC7">
        <w:t xml:space="preserve"> constitutional right of </w:t>
      </w:r>
      <w:r w:rsidR="00AE7A0E">
        <w:t>parent</w:t>
      </w:r>
      <w:r w:rsidR="001552A1">
        <w:t>s</w:t>
      </w:r>
      <w:r w:rsidR="00AE7A0E">
        <w:t>, shielding</w:t>
      </w:r>
      <w:r w:rsidR="00BC00E7">
        <w:t xml:space="preserve"> their decisions from interference by the state or children themselves </w:t>
      </w:r>
      <w:r w:rsidR="008B4227">
        <w:t>in all but the most extreme circumstances</w:t>
      </w:r>
      <w:r w:rsidR="00AC3FA9">
        <w:t xml:space="preserve"> of neglect and abuse</w:t>
      </w:r>
      <w:r w:rsidR="00091962">
        <w:t>.</w:t>
      </w:r>
      <w:r w:rsidR="00305AE9">
        <w:rPr>
          <w:rStyle w:val="FootnoteReference"/>
        </w:rPr>
        <w:footnoteReference w:id="391"/>
      </w:r>
      <w:r w:rsidR="007622FB">
        <w:t xml:space="preserve"> </w:t>
      </w:r>
      <w:r w:rsidR="002A66E6">
        <w:t>Even in</w:t>
      </w:r>
      <w:r w:rsidR="00AC3FA9">
        <w:t xml:space="preserve"> those circumstances</w:t>
      </w:r>
      <w:r w:rsidR="002A66E6">
        <w:t>, t</w:t>
      </w:r>
      <w:r w:rsidR="0004326A">
        <w:t xml:space="preserve">he law does not permit children to act on their own behalf, </w:t>
      </w:r>
      <w:r w:rsidR="005425D5">
        <w:t xml:space="preserve">instead </w:t>
      </w:r>
      <w:r w:rsidR="0004326A">
        <w:t xml:space="preserve">requiring </w:t>
      </w:r>
      <w:r w:rsidR="0004556F">
        <w:t>the state to act on the child’s behalf</w:t>
      </w:r>
      <w:r w:rsidR="0004326A">
        <w:t>.</w:t>
      </w:r>
      <w:r w:rsidR="00C27AB3">
        <w:rPr>
          <w:rStyle w:val="FootnoteReference"/>
        </w:rPr>
        <w:footnoteReference w:id="392"/>
      </w:r>
      <w:r w:rsidR="0004326A">
        <w:t xml:space="preserve"> </w:t>
      </w:r>
    </w:p>
    <w:p w14:paraId="7772C14C" w14:textId="65B6DD28" w:rsidR="004505F1" w:rsidRDefault="004505F1" w:rsidP="00B91F97">
      <w:pPr>
        <w:ind w:firstLine="720"/>
      </w:pPr>
    </w:p>
    <w:p w14:paraId="252662E3" w14:textId="4192D896" w:rsidR="008B61D4" w:rsidRDefault="00E639AD" w:rsidP="00BE3D5F">
      <w:pPr>
        <w:ind w:firstLine="720"/>
      </w:pPr>
      <w:r>
        <w:t xml:space="preserve">That some—hopefully most—parents do not abuse their authority </w:t>
      </w:r>
      <w:r w:rsidR="00ED5D36">
        <w:lastRenderedPageBreak/>
        <w:t>over their children</w:t>
      </w:r>
      <w:r w:rsidR="000A17D8">
        <w:rPr>
          <w:rStyle w:val="FootnoteReference"/>
        </w:rPr>
        <w:footnoteReference w:id="393"/>
      </w:r>
      <w:r w:rsidR="00ED5D36">
        <w:t xml:space="preserve"> </w:t>
      </w:r>
      <w:r>
        <w:t xml:space="preserve">is no </w:t>
      </w:r>
      <w:r w:rsidR="00907CDA">
        <w:t>answer</w:t>
      </w:r>
      <w:r>
        <w:t>. A benevolent tyrant is still a tyrant.</w:t>
      </w:r>
      <w:r w:rsidR="00550C78">
        <w:rPr>
          <w:rStyle w:val="FootnoteReference"/>
        </w:rPr>
        <w:footnoteReference w:id="394"/>
      </w:r>
      <w:r w:rsidR="0021349A">
        <w:t xml:space="preserve"> </w:t>
      </w:r>
      <w:r w:rsidR="00205650">
        <w:t xml:space="preserve">The true harm </w:t>
      </w:r>
      <w:r w:rsidR="00E26C68">
        <w:t xml:space="preserve">of the current </w:t>
      </w:r>
      <w:r w:rsidR="00901F4D">
        <w:t xml:space="preserve">regime is not that </w:t>
      </w:r>
      <w:r w:rsidR="00170E21">
        <w:t xml:space="preserve">every child </w:t>
      </w:r>
      <w:r w:rsidR="003E05B9">
        <w:t xml:space="preserve">is </w:t>
      </w:r>
      <w:r w:rsidR="00170E21">
        <w:t>abuse</w:t>
      </w:r>
      <w:r w:rsidR="003E05B9">
        <w:t>d</w:t>
      </w:r>
      <w:r w:rsidR="00170E21">
        <w:t xml:space="preserve"> </w:t>
      </w:r>
      <w:r w:rsidR="003E05B9">
        <w:t xml:space="preserve">but that it renders every child </w:t>
      </w:r>
      <w:r w:rsidR="00617185">
        <w:t xml:space="preserve">susceptible to abuse by legally stripping them </w:t>
      </w:r>
      <w:proofErr w:type="gramStart"/>
      <w:r w:rsidR="00617185">
        <w:t>of</w:t>
      </w:r>
      <w:proofErr w:type="gramEnd"/>
      <w:r w:rsidR="00617185">
        <w:t xml:space="preserve"> the power to fight back</w:t>
      </w:r>
      <w:r w:rsidR="003E05B9">
        <w:t>.</w:t>
      </w:r>
      <w:r w:rsidR="00D45817">
        <w:t xml:space="preserve"> </w:t>
      </w:r>
      <w:r w:rsidR="00D27505">
        <w:t>It subjects every child to a</w:t>
      </w:r>
      <w:r w:rsidR="001C7395">
        <w:t xml:space="preserve"> profoundly </w:t>
      </w:r>
      <w:r w:rsidR="00D27505">
        <w:t xml:space="preserve">consequential lottery </w:t>
      </w:r>
      <w:r w:rsidR="001C7395">
        <w:t>of parental characteristics.</w:t>
      </w:r>
      <w:r w:rsidR="004605FE">
        <w:rPr>
          <w:rStyle w:val="FootnoteReference"/>
        </w:rPr>
        <w:footnoteReference w:id="395"/>
      </w:r>
      <w:r w:rsidR="001C7395">
        <w:t xml:space="preserve"> Some children are born to </w:t>
      </w:r>
      <w:r w:rsidR="00EB5595">
        <w:t xml:space="preserve">parents who view them as </w:t>
      </w:r>
      <w:r w:rsidR="009D2815">
        <w:t xml:space="preserve">individual humans to nurture and cherish; others are born to </w:t>
      </w:r>
      <w:r w:rsidR="00A077E6">
        <w:t xml:space="preserve">parents </w:t>
      </w:r>
      <w:r w:rsidR="00AA1450">
        <w:t xml:space="preserve">who view them as inconveniences to be tolerated, </w:t>
      </w:r>
      <w:r w:rsidR="00967231">
        <w:t>minions to be exploited, or victims to be tortured</w:t>
      </w:r>
      <w:r w:rsidR="00EA1AAE">
        <w:t>.</w:t>
      </w:r>
      <w:r w:rsidR="00CA5A33">
        <w:t xml:space="preserve"> </w:t>
      </w:r>
      <w:r w:rsidR="00594FA1">
        <w:t>The law renders child</w:t>
      </w:r>
      <w:r w:rsidR="00985A03">
        <w:t>ren</w:t>
      </w:r>
      <w:r w:rsidR="00594FA1">
        <w:t xml:space="preserve"> born to bad parents just as unable to change </w:t>
      </w:r>
      <w:r w:rsidR="00985A03">
        <w:t>their</w:t>
      </w:r>
      <w:r w:rsidR="00594FA1">
        <w:t xml:space="preserve"> circumstances as </w:t>
      </w:r>
      <w:r w:rsidR="00BB074E">
        <w:t>children born to good parents are uninterested in changing theirs.</w:t>
      </w:r>
    </w:p>
    <w:p w14:paraId="50025D7F" w14:textId="77777777" w:rsidR="00E639AD" w:rsidRDefault="00E639AD" w:rsidP="00BE3D5F">
      <w:pPr>
        <w:ind w:firstLine="720"/>
      </w:pPr>
    </w:p>
    <w:p w14:paraId="54264CD2" w14:textId="36B3A801" w:rsidR="00E61ADD" w:rsidRDefault="00252792" w:rsidP="00BE3D5F">
      <w:pPr>
        <w:ind w:firstLine="720"/>
      </w:pPr>
      <w:r>
        <w:t xml:space="preserve">Nor is </w:t>
      </w:r>
      <w:r w:rsidR="006E0639">
        <w:t xml:space="preserve">the temporary nature of childhood </w:t>
      </w:r>
      <w:r w:rsidR="0018557A">
        <w:t>an adequate response.</w:t>
      </w:r>
      <w:r w:rsidR="0018557A">
        <w:rPr>
          <w:rStyle w:val="FootnoteReference"/>
        </w:rPr>
        <w:footnoteReference w:id="396"/>
      </w:r>
      <w:r w:rsidR="0018557A">
        <w:t xml:space="preserve"> </w:t>
      </w:r>
      <w:r w:rsidR="00307483">
        <w:t>First,</w:t>
      </w:r>
      <w:r w:rsidR="00320C50">
        <w:t xml:space="preserve"> it is tragic but true that some children will never reach adulthood</w:t>
      </w:r>
      <w:r w:rsidR="00B824DA">
        <w:t xml:space="preserve"> and thus will never receive the ostensible payoff for their </w:t>
      </w:r>
      <w:r w:rsidR="00E37BDC">
        <w:t>temporary</w:t>
      </w:r>
      <w:r w:rsidR="00B824DA">
        <w:t xml:space="preserve"> subordination</w:t>
      </w:r>
      <w:r w:rsidR="00320C50">
        <w:t>.</w:t>
      </w:r>
      <w:r w:rsidR="00320C50">
        <w:rPr>
          <w:rStyle w:val="FootnoteReference"/>
        </w:rPr>
        <w:footnoteReference w:id="397"/>
      </w:r>
      <w:r w:rsidR="00307483">
        <w:t xml:space="preserve"> </w:t>
      </w:r>
      <w:r w:rsidR="00B824DA">
        <w:t>More fundamentally,</w:t>
      </w:r>
      <w:r w:rsidR="003A5193">
        <w:t xml:space="preserve"> adults’</w:t>
      </w:r>
      <w:r w:rsidR="00696AC9">
        <w:t xml:space="preserve"> power over children during the most formative decades of their lives often </w:t>
      </w:r>
      <w:r w:rsidR="00600B87">
        <w:t>creates path</w:t>
      </w:r>
      <w:r w:rsidR="00D830F4">
        <w:t xml:space="preserve"> dependencies that </w:t>
      </w:r>
      <w:r w:rsidR="00AE0026">
        <w:t>heavily influence</w:t>
      </w:r>
      <w:r w:rsidR="00515EE1">
        <w:t xml:space="preserve"> their choices when they are finally free.</w:t>
      </w:r>
      <w:r w:rsidR="0026060D">
        <w:rPr>
          <w:rStyle w:val="FootnoteReference"/>
        </w:rPr>
        <w:footnoteReference w:id="398"/>
      </w:r>
      <w:r w:rsidR="00696AC9">
        <w:t xml:space="preserve"> Indeed, e</w:t>
      </w:r>
      <w:r w:rsidR="00D85B6B">
        <w:t xml:space="preserve">ven when not explicitly asserted and enforced, adults’ legal </w:t>
      </w:r>
      <w:r w:rsidR="00DF4E70">
        <w:t>authority over children</w:t>
      </w:r>
      <w:r w:rsidR="00693E5D">
        <w:t xml:space="preserve"> profoundly</w:t>
      </w:r>
      <w:r w:rsidR="00DF4E70">
        <w:t xml:space="preserve"> shapes their choices and ultimately their lives.</w:t>
      </w:r>
      <w:r w:rsidR="00453468">
        <w:t xml:space="preserve"> To </w:t>
      </w:r>
      <w:r w:rsidR="00453468">
        <w:lastRenderedPageBreak/>
        <w:t xml:space="preserve">illustrate this point, I return </w:t>
      </w:r>
      <w:r w:rsidR="004D01B6">
        <w:t xml:space="preserve">once more </w:t>
      </w:r>
      <w:r w:rsidR="00453468">
        <w:t xml:space="preserve">to </w:t>
      </w:r>
      <w:r w:rsidR="004D01B6">
        <w:t>my core example: gender identity.</w:t>
      </w:r>
    </w:p>
    <w:p w14:paraId="06A6B854" w14:textId="77777777" w:rsidR="00D83CCA" w:rsidRDefault="00D83CCA" w:rsidP="00BE3D5F">
      <w:pPr>
        <w:ind w:firstLine="720"/>
      </w:pPr>
    </w:p>
    <w:p w14:paraId="4C894CD7" w14:textId="6E7F143B" w:rsidR="00D83CCA" w:rsidRDefault="00E1087F" w:rsidP="00FC2A71">
      <w:pPr>
        <w:pStyle w:val="Heading3"/>
      </w:pPr>
      <w:r>
        <w:t>Compulsive Cisnormativity</w:t>
      </w:r>
      <w:r>
        <w:rPr>
          <w:rStyle w:val="FootnoteReference"/>
        </w:rPr>
        <w:footnoteReference w:id="399"/>
      </w:r>
    </w:p>
    <w:p w14:paraId="3A70745B" w14:textId="77777777" w:rsidR="00B66BC2" w:rsidRDefault="00B66BC2" w:rsidP="00B66BC2"/>
    <w:p w14:paraId="579278CD" w14:textId="2E304318" w:rsidR="00B66BC2" w:rsidRDefault="00BB7CE3" w:rsidP="00E410B2">
      <w:pPr>
        <w:ind w:firstLine="720"/>
      </w:pPr>
      <w:r>
        <w:t>For better or worse,</w:t>
      </w:r>
      <w:r w:rsidR="00897540">
        <w:rPr>
          <w:rStyle w:val="FootnoteReference"/>
        </w:rPr>
        <w:footnoteReference w:id="400"/>
      </w:r>
      <w:r>
        <w:t xml:space="preserve"> </w:t>
      </w:r>
      <w:r w:rsidR="00897540">
        <w:t xml:space="preserve">gender is </w:t>
      </w:r>
      <w:r w:rsidR="00306F98">
        <w:t xml:space="preserve">one of the fundamental categories by which humans structure our </w:t>
      </w:r>
      <w:r w:rsidR="002E099A">
        <w:t>lives</w:t>
      </w:r>
      <w:r>
        <w:t>.</w:t>
      </w:r>
      <w:bookmarkStart w:id="105" w:name="_Ref184908595"/>
      <w:r>
        <w:rPr>
          <w:rStyle w:val="FootnoteReference"/>
        </w:rPr>
        <w:footnoteReference w:id="401"/>
      </w:r>
      <w:bookmarkEnd w:id="105"/>
      <w:r w:rsidR="00306F98">
        <w:t xml:space="preserve"> </w:t>
      </w:r>
      <w:r w:rsidR="0022019A">
        <w:t>Children perceive the salience of gender categories at a remarkably early age</w:t>
      </w:r>
      <w:r w:rsidR="00660403">
        <w:rPr>
          <w:rStyle w:val="FootnoteReference"/>
        </w:rPr>
        <w:footnoteReference w:id="402"/>
      </w:r>
      <w:r w:rsidR="002E099A">
        <w:t xml:space="preserve"> and quickly integrate gender into their</w:t>
      </w:r>
      <w:r w:rsidR="00B06DA4">
        <w:t xml:space="preserve"> primary</w:t>
      </w:r>
      <w:r w:rsidR="002E099A">
        <w:t xml:space="preserve"> schema for understanding the world and their place within it.</w:t>
      </w:r>
      <w:r w:rsidR="00660403">
        <w:rPr>
          <w:rStyle w:val="FootnoteReference"/>
        </w:rPr>
        <w:footnoteReference w:id="403"/>
      </w:r>
      <w:r w:rsidR="000F1294">
        <w:t xml:space="preserve"> In theory, the self-realization function of play</w:t>
      </w:r>
      <w:r w:rsidR="000F1294">
        <w:rPr>
          <w:rStyle w:val="FootnoteReference"/>
        </w:rPr>
        <w:footnoteReference w:id="404"/>
      </w:r>
      <w:r w:rsidR="00421EFE">
        <w:t xml:space="preserve"> </w:t>
      </w:r>
      <w:r w:rsidR="00AD3959">
        <w:t xml:space="preserve">seems ideally suited to facilitate children’s </w:t>
      </w:r>
      <w:r w:rsidR="00506BE6">
        <w:t xml:space="preserve">exploration of </w:t>
      </w:r>
      <w:r w:rsidR="00781B78">
        <w:t>gender</w:t>
      </w:r>
      <w:r w:rsidR="00015D91">
        <w:t xml:space="preserve">; </w:t>
      </w:r>
      <w:r w:rsidR="00393EA5">
        <w:t xml:space="preserve">monitoring one’s </w:t>
      </w:r>
      <w:r w:rsidR="002A3D75">
        <w:t>emotional responses to various</w:t>
      </w:r>
      <w:r w:rsidR="00E53E5C">
        <w:t xml:space="preserve"> play</w:t>
      </w:r>
      <w:r w:rsidR="002A3D75">
        <w:t xml:space="preserve"> activities associated with masculinity or femininity</w:t>
      </w:r>
      <w:r w:rsidR="00E53E5C">
        <w:t xml:space="preserve"> can provide valuable clues to one’s internal gender sense.</w:t>
      </w:r>
      <w:r w:rsidR="00E53E5C">
        <w:rPr>
          <w:rStyle w:val="FootnoteReference"/>
        </w:rPr>
        <w:footnoteReference w:id="405"/>
      </w:r>
    </w:p>
    <w:p w14:paraId="7E8B5767" w14:textId="77777777" w:rsidR="001C7B6A" w:rsidRDefault="001C7B6A" w:rsidP="00E410B2">
      <w:pPr>
        <w:ind w:firstLine="720"/>
      </w:pPr>
    </w:p>
    <w:p w14:paraId="50CBE520" w14:textId="6A6A31C2" w:rsidR="001C7B6A" w:rsidRDefault="00C060FE" w:rsidP="00E410B2">
      <w:pPr>
        <w:ind w:firstLine="720"/>
      </w:pPr>
      <w:r>
        <w:t xml:space="preserve">Alas, </w:t>
      </w:r>
      <w:r w:rsidR="0017326D">
        <w:t>children most often experience gender not as something to explore but as something to “get right.”</w:t>
      </w:r>
      <w:r w:rsidR="0017326D">
        <w:rPr>
          <w:rStyle w:val="FootnoteReference"/>
        </w:rPr>
        <w:footnoteReference w:id="406"/>
      </w:r>
      <w:r w:rsidR="00F428DE">
        <w:t xml:space="preserve"> Adults assign each child to a gender category </w:t>
      </w:r>
      <w:r w:rsidR="00060117">
        <w:t>at the moment they are born if not sooner.</w:t>
      </w:r>
      <w:r w:rsidR="00727F47">
        <w:rPr>
          <w:rStyle w:val="FootnoteReference"/>
        </w:rPr>
        <w:footnoteReference w:id="407"/>
      </w:r>
      <w:r w:rsidR="00F428DE">
        <w:t xml:space="preserve"> </w:t>
      </w:r>
      <w:r w:rsidR="00A40CD6">
        <w:t xml:space="preserve">Children </w:t>
      </w:r>
      <w:r w:rsidR="00AA7F1B">
        <w:t xml:space="preserve">strive to learn about gender roles not as an open-ended exploration of </w:t>
      </w:r>
      <w:r w:rsidR="00EA68A3">
        <w:t xml:space="preserve">possible </w:t>
      </w:r>
      <w:r w:rsidR="004B0BC9">
        <w:t>identities</w:t>
      </w:r>
      <w:r w:rsidR="00EA68A3">
        <w:t xml:space="preserve"> but </w:t>
      </w:r>
      <w:r w:rsidR="004B0BC9">
        <w:t>rather as an important way of comprehending and solidifying their membership in their pre-assigned gender category.</w:t>
      </w:r>
      <w:r w:rsidR="004B0BC9">
        <w:rPr>
          <w:rStyle w:val="FootnoteReference"/>
        </w:rPr>
        <w:footnoteReference w:id="408"/>
      </w:r>
      <w:r w:rsidR="004B0BC9">
        <w:t xml:space="preserve"> </w:t>
      </w:r>
      <w:r w:rsidR="00E059A0">
        <w:t xml:space="preserve">This impulse often manifests as a period of intense gender rigidity, usually between the ages of 3 and 5, during which the child becomes hypersensitive to gender cues and may misattribute practically any behavior discrepancy to </w:t>
      </w:r>
      <w:r w:rsidR="00E059A0">
        <w:lastRenderedPageBreak/>
        <w:t>differences in gender roles.</w:t>
      </w:r>
      <w:r w:rsidR="00E059A0">
        <w:rPr>
          <w:rStyle w:val="FootnoteReference"/>
        </w:rPr>
        <w:footnoteReference w:id="409"/>
      </w:r>
      <w:r w:rsidR="00E059A0">
        <w:t xml:space="preserve"> </w:t>
      </w:r>
      <w:r w:rsidR="00D63087">
        <w:t xml:space="preserve">Children look to their parents’ emotional responses to their gender-coded behavior as </w:t>
      </w:r>
      <w:r w:rsidR="007F289E">
        <w:t>perhaps the most important indication of whether the child is “doing gender right.”</w:t>
      </w:r>
      <w:bookmarkStart w:id="106" w:name="_Ref184990995"/>
      <w:r w:rsidR="007F289E">
        <w:rPr>
          <w:rStyle w:val="FootnoteReference"/>
        </w:rPr>
        <w:footnoteReference w:id="410"/>
      </w:r>
      <w:bookmarkEnd w:id="106"/>
      <w:r w:rsidR="001C4C50">
        <w:t xml:space="preserve"> </w:t>
      </w:r>
      <w:r w:rsidR="004D4262">
        <w:t>Thus</w:t>
      </w:r>
      <w:r w:rsidR="00472FEE">
        <w:t>, at least in terms of gender, c</w:t>
      </w:r>
      <w:r w:rsidR="001C7B6A">
        <w:t xml:space="preserve">hildren </w:t>
      </w:r>
      <w:r w:rsidR="00472FEE">
        <w:t xml:space="preserve">gauge the value of play experiences less by their </w:t>
      </w:r>
      <w:r w:rsidR="00472FEE">
        <w:rPr>
          <w:i/>
          <w:iCs/>
        </w:rPr>
        <w:t>own</w:t>
      </w:r>
      <w:r w:rsidR="00472FEE">
        <w:t xml:space="preserve"> subjective experiences</w:t>
      </w:r>
      <w:r w:rsidR="00506733">
        <w:t>—</w:t>
      </w:r>
      <w:r w:rsidR="00CA6E84">
        <w:t>whether they are having fun or not—</w:t>
      </w:r>
      <w:r w:rsidR="00506733">
        <w:t>than</w:t>
      </w:r>
      <w:r w:rsidR="00CA6E84">
        <w:t xml:space="preserve"> </w:t>
      </w:r>
      <w:r w:rsidR="00506733">
        <w:t>those of their parents or other adult caregivers</w:t>
      </w:r>
      <w:r w:rsidR="002B15FB">
        <w:t>.</w:t>
      </w:r>
      <w:r w:rsidR="00533AAA">
        <w:rPr>
          <w:rStyle w:val="FootnoteReference"/>
        </w:rPr>
        <w:footnoteReference w:id="411"/>
      </w:r>
      <w:r w:rsidR="007E522A">
        <w:t xml:space="preserve"> But</w:t>
      </w:r>
      <w:r w:rsidR="00D27768">
        <w:t xml:space="preserve"> children</w:t>
      </w:r>
      <w:r w:rsidR="007E522A">
        <w:t xml:space="preserve"> quickly</w:t>
      </w:r>
      <w:r w:rsidR="00D27768">
        <w:t xml:space="preserve"> internalize</w:t>
      </w:r>
      <w:r w:rsidR="00453D47">
        <w:t xml:space="preserve"> and </w:t>
      </w:r>
      <w:r w:rsidR="007E522A">
        <w:t xml:space="preserve">begin to </w:t>
      </w:r>
      <w:r w:rsidR="00453D47">
        <w:t xml:space="preserve">police their play activities for gender conformity </w:t>
      </w:r>
      <w:r w:rsidR="007E522A">
        <w:t>even in the absence of adults or other children.</w:t>
      </w:r>
      <w:bookmarkStart w:id="107" w:name="_Ref184990588"/>
      <w:r w:rsidR="007E522A">
        <w:rPr>
          <w:rStyle w:val="FootnoteReference"/>
        </w:rPr>
        <w:footnoteReference w:id="412"/>
      </w:r>
      <w:bookmarkEnd w:id="107"/>
    </w:p>
    <w:p w14:paraId="188DB7BC" w14:textId="77777777" w:rsidR="0069294B" w:rsidRDefault="0069294B" w:rsidP="00E410B2">
      <w:pPr>
        <w:ind w:firstLine="720"/>
      </w:pPr>
    </w:p>
    <w:p w14:paraId="6F6BCB31" w14:textId="5339A851" w:rsidR="00C05123" w:rsidRDefault="00694F00" w:rsidP="00E410B2">
      <w:pPr>
        <w:ind w:firstLine="720"/>
      </w:pPr>
      <w:r>
        <w:t>Children work so hard to get gender right because they</w:t>
      </w:r>
      <w:r w:rsidR="00B72A76">
        <w:t xml:space="preserve"> understand</w:t>
      </w:r>
      <w:r>
        <w:t xml:space="preserve"> the consequences of getting it wrong.</w:t>
      </w:r>
      <w:r w:rsidR="00664CC6">
        <w:t xml:space="preserve"> Regardless of gender identity, most people</w:t>
      </w:r>
      <w:r w:rsidR="002A68F1">
        <w:t xml:space="preserve"> </w:t>
      </w:r>
      <w:r w:rsidR="008F193C">
        <w:t xml:space="preserve">know </w:t>
      </w:r>
      <w:r w:rsidR="005D6468">
        <w:t>what it is like to be</w:t>
      </w:r>
      <w:r w:rsidR="002A68F1">
        <w:t xml:space="preserve"> </w:t>
      </w:r>
      <w:r w:rsidR="00AD3D46">
        <w:t xml:space="preserve">ignored, mocked, or ostracized </w:t>
      </w:r>
      <w:r w:rsidR="008F193C">
        <w:t xml:space="preserve">for violating </w:t>
      </w:r>
      <w:r w:rsidR="004B441E">
        <w:t>societal gender norms.</w:t>
      </w:r>
      <w:r w:rsidR="005D6468">
        <w:t xml:space="preserve"> </w:t>
      </w:r>
      <w:r w:rsidR="00FA5151">
        <w:t xml:space="preserve">The unique pain associated with </w:t>
      </w:r>
      <w:r w:rsidR="00EB0A04">
        <w:t xml:space="preserve">such a response is called </w:t>
      </w:r>
      <w:r w:rsidR="00EB0A04">
        <w:rPr>
          <w:i/>
          <w:iCs/>
        </w:rPr>
        <w:t>gender threat</w:t>
      </w:r>
      <w:r w:rsidR="00EB0A04">
        <w:t>.</w:t>
      </w:r>
      <w:r w:rsidR="00EB0A04">
        <w:rPr>
          <w:rStyle w:val="FootnoteReference"/>
        </w:rPr>
        <w:footnoteReference w:id="413"/>
      </w:r>
      <w:r w:rsidR="007530B6">
        <w:t xml:space="preserve"> As with touching a hot stove, </w:t>
      </w:r>
      <w:r w:rsidR="00190661">
        <w:t xml:space="preserve">one or two experiences of gender threat are </w:t>
      </w:r>
      <w:r w:rsidR="00DA2BAA">
        <w:t xml:space="preserve">usually </w:t>
      </w:r>
      <w:r w:rsidR="00190661">
        <w:t xml:space="preserve">sufficient to </w:t>
      </w:r>
      <w:r w:rsidR="00246E09">
        <w:t xml:space="preserve">induce most children to </w:t>
      </w:r>
      <w:r w:rsidR="00B1344C">
        <w:t>live</w:t>
      </w:r>
      <w:r w:rsidR="00B10858">
        <w:t xml:space="preserve"> </w:t>
      </w:r>
      <w:r w:rsidR="00C71F93">
        <w:t>comfortably</w:t>
      </w:r>
      <w:r w:rsidR="00B10858">
        <w:t xml:space="preserve"> inside the norms of their assigned gen</w:t>
      </w:r>
      <w:r w:rsidR="00590CDE">
        <w:t>der.</w:t>
      </w:r>
      <w:r w:rsidR="00047BEA">
        <w:rPr>
          <w:rStyle w:val="FootnoteReference"/>
        </w:rPr>
        <w:footnoteReference w:id="414"/>
      </w:r>
      <w:r w:rsidR="00E12412">
        <w:t xml:space="preserve"> </w:t>
      </w:r>
      <w:r w:rsidR="00AC3F98">
        <w:t xml:space="preserve">Thus, children learn to sacrifice their subjective preferences </w:t>
      </w:r>
      <w:r w:rsidR="007844E0">
        <w:t>to secure</w:t>
      </w:r>
      <w:r w:rsidR="00AC3F98">
        <w:t xml:space="preserve"> </w:t>
      </w:r>
      <w:r w:rsidR="00C10035">
        <w:t xml:space="preserve">their parents’ </w:t>
      </w:r>
      <w:r w:rsidR="007844E0">
        <w:t>approval</w:t>
      </w:r>
      <w:r w:rsidR="00147497">
        <w:rPr>
          <w:rStyle w:val="FootnoteReference"/>
        </w:rPr>
        <w:footnoteReference w:id="415"/>
      </w:r>
      <w:r w:rsidR="00AC3F98">
        <w:t xml:space="preserve"> and</w:t>
      </w:r>
      <w:r w:rsidR="007844E0">
        <w:t>, relatedly,</w:t>
      </w:r>
      <w:r w:rsidR="00AC3F98">
        <w:t xml:space="preserve"> their own emotional and even physical safety.</w:t>
      </w:r>
      <w:r w:rsidR="009B4155">
        <w:rPr>
          <w:rStyle w:val="FootnoteReference"/>
        </w:rPr>
        <w:footnoteReference w:id="416"/>
      </w:r>
    </w:p>
    <w:p w14:paraId="1B78EDB5" w14:textId="77777777" w:rsidR="00BE3D5F" w:rsidRDefault="00BE3D5F" w:rsidP="00BE3D5F">
      <w:pPr>
        <w:ind w:firstLine="0"/>
      </w:pPr>
    </w:p>
    <w:p w14:paraId="31D4DE59" w14:textId="77777777" w:rsidR="00003FDA" w:rsidRDefault="00003FDA" w:rsidP="00BE3D5F">
      <w:pPr>
        <w:ind w:firstLine="0"/>
      </w:pPr>
    </w:p>
    <w:p w14:paraId="0F03B703" w14:textId="16D052A1" w:rsidR="00BE3D5F" w:rsidRDefault="00FD4F9C" w:rsidP="00BE3D5F">
      <w:pPr>
        <w:pStyle w:val="Heading2"/>
      </w:pPr>
      <w:r>
        <w:lastRenderedPageBreak/>
        <w:t>Taking Liberty Seriously</w:t>
      </w:r>
    </w:p>
    <w:p w14:paraId="52BCC160" w14:textId="77777777" w:rsidR="00FD4F9C" w:rsidRDefault="00FD4F9C" w:rsidP="00FD4F9C">
      <w:pPr>
        <w:ind w:firstLine="0"/>
      </w:pPr>
    </w:p>
    <w:p w14:paraId="751F53A9" w14:textId="5939252B" w:rsidR="0026001F" w:rsidRPr="00BA40E1" w:rsidRDefault="002E5FDC" w:rsidP="00FD4F9C">
      <w:pPr>
        <w:ind w:firstLine="720"/>
      </w:pPr>
      <w:r>
        <w:t xml:space="preserve">At bottom, the legal </w:t>
      </w:r>
      <w:r w:rsidR="00747EA1">
        <w:t>subordination</w:t>
      </w:r>
      <w:r>
        <w:t xml:space="preserve"> </w:t>
      </w:r>
      <w:r w:rsidR="009D664E">
        <w:t xml:space="preserve">of </w:t>
      </w:r>
      <w:r w:rsidR="00747EA1">
        <w:t xml:space="preserve">children </w:t>
      </w:r>
      <w:r w:rsidR="009D664E">
        <w:t xml:space="preserve">is </w:t>
      </w:r>
      <w:r w:rsidR="0063528D">
        <w:t>a</w:t>
      </w:r>
      <w:r w:rsidR="00F00013">
        <w:t xml:space="preserve"> surviving</w:t>
      </w:r>
      <w:r w:rsidR="00A0759B">
        <w:t xml:space="preserve"> manifestation of the American </w:t>
      </w:r>
      <w:r w:rsidR="00BA40E1">
        <w:t xml:space="preserve">propensity for defining liberty </w:t>
      </w:r>
      <w:r w:rsidR="00BA40E1">
        <w:rPr>
          <w:i/>
          <w:iCs/>
        </w:rPr>
        <w:t>as</w:t>
      </w:r>
      <w:r w:rsidR="00BA40E1">
        <w:t xml:space="preserve"> inequality. </w:t>
      </w:r>
      <w:r w:rsidR="00747EA1">
        <w:t xml:space="preserve">As Annette Appell has brilliantly shown, the </w:t>
      </w:r>
      <w:r w:rsidR="0076163D">
        <w:t xml:space="preserve">primary function of the </w:t>
      </w:r>
      <w:r w:rsidR="00747EA1">
        <w:t xml:space="preserve">legal category of childhood </w:t>
      </w:r>
      <w:r w:rsidR="00FE710E">
        <w:t>is to</w:t>
      </w:r>
      <w:r w:rsidR="000668A6">
        <w:t xml:space="preserve"> </w:t>
      </w:r>
      <w:r w:rsidR="001C62B7">
        <w:t>facilitate</w:t>
      </w:r>
      <w:r w:rsidR="00BF1BF8">
        <w:t xml:space="preserve"> the </w:t>
      </w:r>
      <w:r w:rsidR="00735505">
        <w:t>liberty of adults</w:t>
      </w:r>
      <w:r w:rsidR="00963C8B">
        <w:t>.</w:t>
      </w:r>
      <w:r w:rsidR="0076163D">
        <w:rPr>
          <w:rStyle w:val="FootnoteReference"/>
        </w:rPr>
        <w:footnoteReference w:id="417"/>
      </w:r>
      <w:r w:rsidR="00963C8B">
        <w:t xml:space="preserve"> Childhood creates a </w:t>
      </w:r>
      <w:r w:rsidR="00FE710E">
        <w:t>class</w:t>
      </w:r>
      <w:r w:rsidR="00963C8B">
        <w:t xml:space="preserve"> of people whose liberty </w:t>
      </w:r>
      <w:r w:rsidR="0076163D">
        <w:t>may be trampled to demarcate</w:t>
      </w:r>
      <w:r w:rsidR="00FF3E55">
        <w:t xml:space="preserve"> those </w:t>
      </w:r>
      <w:r w:rsidR="008C3F3B">
        <w:t xml:space="preserve">of us </w:t>
      </w:r>
      <w:r w:rsidR="0076163D">
        <w:t>whose liberty must be respected.</w:t>
      </w:r>
      <w:r w:rsidR="00727A4C">
        <w:t xml:space="preserve"> </w:t>
      </w:r>
      <w:r w:rsidR="00D92AD2">
        <w:t xml:space="preserve">The most recent excuse for depriving children of liberty is that they lack capacity, but adults are not granted liberty because they </w:t>
      </w:r>
      <w:r w:rsidR="00725B36" w:rsidRPr="00725B36">
        <w:rPr>
          <w:i/>
          <w:iCs/>
        </w:rPr>
        <w:t>have</w:t>
      </w:r>
      <w:r w:rsidR="00725B36">
        <w:t xml:space="preserve"> capacity. </w:t>
      </w:r>
      <w:r w:rsidR="000F0E8E">
        <w:t>A</w:t>
      </w:r>
      <w:r w:rsidR="00CD0C64">
        <w:t>dults</w:t>
      </w:r>
      <w:r w:rsidR="00725B36">
        <w:t xml:space="preserve"> are granted freedom because they are adults. </w:t>
      </w:r>
      <w:r w:rsidR="000F0E8E">
        <w:t>This tautological exclusion mirrors some of the worst sins in American history</w:t>
      </w:r>
      <w:r w:rsidR="00C012EB">
        <w:t xml:space="preserve">: </w:t>
      </w:r>
      <w:r w:rsidR="00674E9F">
        <w:t xml:space="preserve">Just as </w:t>
      </w:r>
      <w:r w:rsidR="003159BA">
        <w:t xml:space="preserve">in the past </w:t>
      </w:r>
      <w:r w:rsidR="00674E9F">
        <w:t>white people were</w:t>
      </w:r>
      <w:r w:rsidR="001F1B5D">
        <w:t xml:space="preserve"> deemed</w:t>
      </w:r>
      <w:r w:rsidR="00674E9F">
        <w:t xml:space="preserve"> free because they were not Black</w:t>
      </w:r>
      <w:r w:rsidR="004A6882">
        <w:t xml:space="preserve"> and men were </w:t>
      </w:r>
      <w:r w:rsidR="001F1B5D">
        <w:t xml:space="preserve">deemed </w:t>
      </w:r>
      <w:r w:rsidR="004A6882">
        <w:t xml:space="preserve">free because they were not women, adults are </w:t>
      </w:r>
      <w:r w:rsidR="001F1B5D">
        <w:t xml:space="preserve">deemed </w:t>
      </w:r>
      <w:r w:rsidR="004A6882">
        <w:t xml:space="preserve">free </w:t>
      </w:r>
      <w:r w:rsidR="001F4795">
        <w:t xml:space="preserve">merely </w:t>
      </w:r>
      <w:r w:rsidR="004A6882">
        <w:t>because they are not children.</w:t>
      </w:r>
      <w:r w:rsidR="001C3E03">
        <w:rPr>
          <w:rStyle w:val="FootnoteReference"/>
        </w:rPr>
        <w:footnoteReference w:id="418"/>
      </w:r>
    </w:p>
    <w:p w14:paraId="286F91B7" w14:textId="77777777" w:rsidR="0026001F" w:rsidRDefault="0026001F" w:rsidP="00FD4F9C">
      <w:pPr>
        <w:ind w:firstLine="720"/>
      </w:pPr>
    </w:p>
    <w:p w14:paraId="01F516D4" w14:textId="77777777" w:rsidR="005831AF" w:rsidRDefault="006913A9" w:rsidP="00FD4F9C">
      <w:pPr>
        <w:ind w:firstLine="720"/>
      </w:pPr>
      <w:r>
        <w:t xml:space="preserve">As with past injustices, this </w:t>
      </w:r>
      <w:r w:rsidR="00522514">
        <w:t xml:space="preserve">fundamental </w:t>
      </w:r>
      <w:r>
        <w:t>misconception of liberty</w:t>
      </w:r>
      <w:r w:rsidR="001C62B7">
        <w:t xml:space="preserve"> obscures</w:t>
      </w:r>
      <w:r w:rsidR="00522514">
        <w:t xml:space="preserve"> </w:t>
      </w:r>
      <w:r w:rsidR="001C62B7">
        <w:t xml:space="preserve">the </w:t>
      </w:r>
      <w:r w:rsidR="00C62371">
        <w:t xml:space="preserve">gross unconstitutionality of bans </w:t>
      </w:r>
      <w:r w:rsidR="000741C2">
        <w:t>on gender-af</w:t>
      </w:r>
      <w:r w:rsidR="007D0C58">
        <w:t xml:space="preserve">firming care </w:t>
      </w:r>
      <w:r w:rsidR="00C62371">
        <w:t>for minors.</w:t>
      </w:r>
      <w:r w:rsidR="001C62B7">
        <w:t xml:space="preserve"> </w:t>
      </w:r>
      <w:r w:rsidR="00E62D33">
        <w:t>A</w:t>
      </w:r>
      <w:r w:rsidR="001C6EEF">
        <w:t>pplying</w:t>
      </w:r>
      <w:r w:rsidR="00522514">
        <w:t xml:space="preserve"> an affirmative definition of liberty—one based on what all humans </w:t>
      </w:r>
      <w:r w:rsidR="00522514">
        <w:rPr>
          <w:i/>
          <w:iCs/>
        </w:rPr>
        <w:t>are</w:t>
      </w:r>
      <w:r w:rsidR="00522514">
        <w:t xml:space="preserve"> rather than what some of us are </w:t>
      </w:r>
      <w:r w:rsidR="00522514">
        <w:rPr>
          <w:i/>
          <w:iCs/>
        </w:rPr>
        <w:t>not</w:t>
      </w:r>
      <w:r w:rsidR="00132A94">
        <w:t>—exposes the bans as</w:t>
      </w:r>
      <w:r w:rsidR="00C763A3">
        <w:t xml:space="preserve"> cruel and unwarranted </w:t>
      </w:r>
      <w:r w:rsidR="003A5C69">
        <w:t xml:space="preserve">state </w:t>
      </w:r>
      <w:r w:rsidR="00C763A3">
        <w:t xml:space="preserve">intrusions into </w:t>
      </w:r>
      <w:r w:rsidR="003A5C69">
        <w:t xml:space="preserve">one of </w:t>
      </w:r>
      <w:r w:rsidR="00C763A3">
        <w:t xml:space="preserve">the </w:t>
      </w:r>
      <w:r w:rsidR="003A5C69">
        <w:t xml:space="preserve">most fundamental aspects of </w:t>
      </w:r>
      <w:r w:rsidR="004939D5">
        <w:t>a person’s life.</w:t>
      </w:r>
      <w:r w:rsidR="00E62D33">
        <w:t xml:space="preserve"> </w:t>
      </w:r>
      <w:r w:rsidR="00792FD0">
        <w:t>Through such bans, state governments effectively say to children</w:t>
      </w:r>
      <w:r w:rsidR="005831AF">
        <w:t>:</w:t>
      </w:r>
    </w:p>
    <w:p w14:paraId="4E5840B9" w14:textId="15A44650" w:rsidR="006518B9" w:rsidRPr="005368FC" w:rsidRDefault="00F15C05" w:rsidP="00661F2C">
      <w:pPr>
        <w:ind w:left="1080" w:firstLine="0"/>
      </w:pPr>
      <w:r>
        <w:t xml:space="preserve">We, the state, have decided to force you to undergo a certain kind of puberty. </w:t>
      </w:r>
      <w:r w:rsidR="00D143C1">
        <w:t xml:space="preserve">We have decided to force you to grow </w:t>
      </w:r>
      <w:r w:rsidR="001D6A7D">
        <w:t>facial hair</w:t>
      </w:r>
      <w:r w:rsidR="00623CDC">
        <w:t xml:space="preserve"> and</w:t>
      </w:r>
      <w:r w:rsidR="001D6A7D">
        <w:t xml:space="preserve"> to </w:t>
      </w:r>
      <w:r w:rsidR="005831AF">
        <w:t xml:space="preserve">experience erections and </w:t>
      </w:r>
      <w:r w:rsidR="007205D5">
        <w:t>ejaculate—or to grow breasts</w:t>
      </w:r>
      <w:r w:rsidR="00623CDC">
        <w:t xml:space="preserve"> and</w:t>
      </w:r>
      <w:r w:rsidR="007205D5">
        <w:t xml:space="preserve"> to menstruate</w:t>
      </w:r>
      <w:r w:rsidR="004C1FA9">
        <w:t>—</w:t>
      </w:r>
      <w:r w:rsidR="006C359A">
        <w:t xml:space="preserve">despite your express wishes. </w:t>
      </w:r>
      <w:r w:rsidR="0050731A">
        <w:t xml:space="preserve">We have decided this because </w:t>
      </w:r>
      <w:r w:rsidR="004D3AC4">
        <w:t xml:space="preserve">of an accident </w:t>
      </w:r>
      <w:proofErr w:type="gramStart"/>
      <w:r w:rsidR="004D3AC4">
        <w:t>of</w:t>
      </w:r>
      <w:proofErr w:type="gramEnd"/>
      <w:r w:rsidR="004D3AC4">
        <w:t xml:space="preserve"> your birth, like the one</w:t>
      </w:r>
      <w:r w:rsidR="00CB53C1">
        <w:t>s</w:t>
      </w:r>
      <w:r w:rsidR="004D3AC4">
        <w:t xml:space="preserve"> that made you need glasses for your astigmatism </w:t>
      </w:r>
      <w:r w:rsidR="00CB53C1">
        <w:t>and</w:t>
      </w:r>
      <w:r w:rsidR="004D3AC4">
        <w:t xml:space="preserve"> orthotics for your flat feet</w:t>
      </w:r>
      <w:r w:rsidR="00394501">
        <w:t xml:space="preserve">. We have decided this </w:t>
      </w:r>
      <w:proofErr w:type="gramStart"/>
      <w:r w:rsidR="00CB53C1">
        <w:t>despite the fact that</w:t>
      </w:r>
      <w:proofErr w:type="gramEnd"/>
      <w:r w:rsidR="00CB53C1">
        <w:t xml:space="preserve"> </w:t>
      </w:r>
      <w:r w:rsidR="00A605E2">
        <w:t xml:space="preserve">the remedy for </w:t>
      </w:r>
      <w:r w:rsidR="00183776">
        <w:t xml:space="preserve">that accident is as safe and readily available as </w:t>
      </w:r>
      <w:proofErr w:type="gramStart"/>
      <w:r w:rsidR="00183776">
        <w:t>glasses</w:t>
      </w:r>
      <w:proofErr w:type="gramEnd"/>
      <w:r w:rsidR="00183776">
        <w:t xml:space="preserve"> and orthotics.</w:t>
      </w:r>
      <w:r w:rsidR="00394501">
        <w:t xml:space="preserve"> </w:t>
      </w:r>
      <w:r w:rsidR="007C3248">
        <w:t xml:space="preserve">We have decided this despite the fact that we </w:t>
      </w:r>
      <w:r w:rsidR="007C3248">
        <w:rPr>
          <w:i/>
          <w:iCs/>
        </w:rPr>
        <w:t>know</w:t>
      </w:r>
      <w:r w:rsidR="007C3248">
        <w:t xml:space="preserve"> </w:t>
      </w:r>
      <w:r w:rsidR="003F7203">
        <w:t xml:space="preserve">doing so causes you </w:t>
      </w:r>
      <w:r w:rsidR="00766FEA">
        <w:t xml:space="preserve">significant </w:t>
      </w:r>
      <w:r w:rsidR="003F7203">
        <w:t xml:space="preserve">pain </w:t>
      </w:r>
      <w:proofErr w:type="gramStart"/>
      <w:r w:rsidR="003F7203">
        <w:t>now</w:t>
      </w:r>
      <w:r w:rsidR="00F34D92">
        <w:t>,</w:t>
      </w:r>
      <w:r w:rsidR="003F7203">
        <w:t xml:space="preserve"> and</w:t>
      </w:r>
      <w:proofErr w:type="gramEnd"/>
      <w:r w:rsidR="003F7203">
        <w:t xml:space="preserve"> </w:t>
      </w:r>
      <w:r w:rsidR="00003BAA">
        <w:t xml:space="preserve">will almost certainly cause you </w:t>
      </w:r>
      <w:r w:rsidR="00F46280">
        <w:t xml:space="preserve">significant </w:t>
      </w:r>
      <w:r w:rsidR="00003BAA">
        <w:t>pain in the future</w:t>
      </w:r>
      <w:r w:rsidR="00F34D92">
        <w:t xml:space="preserve">, on the very slight chance that </w:t>
      </w:r>
      <w:r w:rsidR="00F34D92">
        <w:rPr>
          <w:i/>
          <w:iCs/>
        </w:rPr>
        <w:t>not</w:t>
      </w:r>
      <w:r w:rsidR="00F34D92">
        <w:t xml:space="preserve"> deciding this will cause </w:t>
      </w:r>
      <w:r w:rsidR="00766FEA">
        <w:t xml:space="preserve">you some pain </w:t>
      </w:r>
      <w:r w:rsidR="00766FEA">
        <w:rPr>
          <w:i/>
          <w:iCs/>
        </w:rPr>
        <w:t>one day</w:t>
      </w:r>
      <w:r w:rsidR="00003BAA">
        <w:t xml:space="preserve">. </w:t>
      </w:r>
      <w:r w:rsidR="005368FC">
        <w:t xml:space="preserve">We will even do so </w:t>
      </w:r>
      <w:proofErr w:type="gramStart"/>
      <w:r w:rsidR="005368FC">
        <w:t>despite the fact that</w:t>
      </w:r>
      <w:proofErr w:type="gramEnd"/>
      <w:r w:rsidR="005368FC">
        <w:t xml:space="preserve"> your parents and your doctors agree with you instead of us. We will do so because </w:t>
      </w:r>
      <w:r w:rsidR="005368FC">
        <w:rPr>
          <w:i/>
          <w:iCs/>
        </w:rPr>
        <w:t>we</w:t>
      </w:r>
      <w:r w:rsidR="005368FC">
        <w:t xml:space="preserve"> want you to undergo a certain kind of puberty.</w:t>
      </w:r>
      <w:r w:rsidR="00AC66CF">
        <w:t xml:space="preserve"> And we can </w:t>
      </w:r>
      <w:r w:rsidR="00AC66CF" w:rsidRPr="00AC66CF">
        <w:rPr>
          <w:i/>
          <w:iCs/>
        </w:rPr>
        <w:t>make</w:t>
      </w:r>
      <w:r w:rsidR="00AC66CF">
        <w:t xml:space="preserve"> you do it.</w:t>
      </w:r>
    </w:p>
    <w:p w14:paraId="3ED2ECC8" w14:textId="77777777" w:rsidR="008A1335" w:rsidRDefault="00DC5144" w:rsidP="00FD4F9C">
      <w:pPr>
        <w:ind w:firstLine="720"/>
      </w:pPr>
      <w:r>
        <w:lastRenderedPageBreak/>
        <w:t>Such a</w:t>
      </w:r>
      <w:r w:rsidR="00AD4B4E">
        <w:t xml:space="preserve"> sinister</w:t>
      </w:r>
      <w:r>
        <w:t xml:space="preserve"> speech sounds more like </w:t>
      </w:r>
      <w:r w:rsidR="00A6285E">
        <w:t>George Orwell’s Big Brother than the American Framers.</w:t>
      </w:r>
      <w:r w:rsidR="00A6285E">
        <w:rPr>
          <w:rStyle w:val="FootnoteReference"/>
        </w:rPr>
        <w:footnoteReference w:id="419"/>
      </w:r>
      <w:r w:rsidR="00AD4B4E">
        <w:t xml:space="preserve"> </w:t>
      </w:r>
      <w:r w:rsidR="0091619D">
        <w:t>And a</w:t>
      </w:r>
      <w:r w:rsidR="00AD4B4E">
        <w:t>dding “</w:t>
      </w:r>
      <w:r w:rsidR="0091619D">
        <w:t>b</w:t>
      </w:r>
      <w:r w:rsidR="00AD4B4E">
        <w:t xml:space="preserve">ecause you are a child” to the end does not </w:t>
      </w:r>
      <w:r w:rsidR="0091619D">
        <w:t>make it better</w:t>
      </w:r>
      <w:r w:rsidR="00AD4B4E">
        <w:t>.</w:t>
      </w:r>
      <w:r w:rsidR="003A0BA2">
        <w:t xml:space="preserve"> </w:t>
      </w:r>
      <w:r w:rsidR="00C6617C">
        <w:t xml:space="preserve">True, through the systems of chattel slavery and patriarchy, </w:t>
      </w:r>
      <w:r w:rsidR="0091619D">
        <w:t xml:space="preserve">the Framers often </w:t>
      </w:r>
      <w:r w:rsidR="0091619D">
        <w:rPr>
          <w:i/>
          <w:iCs/>
        </w:rPr>
        <w:t>acted</w:t>
      </w:r>
      <w:r w:rsidR="0091619D">
        <w:t xml:space="preserve"> in such a domineering manner. </w:t>
      </w:r>
      <w:r w:rsidR="0089203C">
        <w:t xml:space="preserve">But what they </w:t>
      </w:r>
      <w:r w:rsidR="0089203C">
        <w:rPr>
          <w:i/>
          <w:iCs/>
        </w:rPr>
        <w:t>said</w:t>
      </w:r>
      <w:r w:rsidR="0089203C">
        <w:t xml:space="preserve"> was this:</w:t>
      </w:r>
      <w:r w:rsidR="00AA34CA">
        <w:t xml:space="preserve"> </w:t>
      </w:r>
      <w:r w:rsidR="003E6749">
        <w:t>“We hold these truths to be self-evident: That all people are created equal. That they are endowed by their Creator with certain unalienable rights. That among these are life, liberty, and the pursuit of happiness.”</w:t>
      </w:r>
      <w:r w:rsidR="0089203C">
        <w:rPr>
          <w:rStyle w:val="FootnoteReference"/>
        </w:rPr>
        <w:footnoteReference w:id="420"/>
      </w:r>
      <w:r w:rsidR="00CF1427">
        <w:t xml:space="preserve"> We, the Framers’ heirs in this constitutional experiment, have </w:t>
      </w:r>
      <w:r w:rsidR="00DD1701">
        <w:t>too often done</w:t>
      </w:r>
      <w:r w:rsidR="00CF1427">
        <w:t xml:space="preserve"> as they did, not as they said.</w:t>
      </w:r>
      <w:r w:rsidR="00ED1935">
        <w:rPr>
          <w:rStyle w:val="FootnoteReference"/>
        </w:rPr>
        <w:footnoteReference w:id="421"/>
      </w:r>
      <w:r w:rsidR="00CF1427">
        <w:t xml:space="preserve"> </w:t>
      </w:r>
    </w:p>
    <w:p w14:paraId="76F335D0" w14:textId="77777777" w:rsidR="008A1335" w:rsidRDefault="008A1335" w:rsidP="00FD4F9C">
      <w:pPr>
        <w:ind w:firstLine="720"/>
      </w:pPr>
    </w:p>
    <w:p w14:paraId="38E44862" w14:textId="16971977" w:rsidR="00836EA8" w:rsidRDefault="0002437E" w:rsidP="00FD4F9C">
      <w:pPr>
        <w:ind w:firstLine="720"/>
      </w:pPr>
      <w:r>
        <w:t>Taking liberty seriously means taking children seriously.</w:t>
      </w:r>
      <w:r w:rsidR="008A1335">
        <w:t xml:space="preserve"> I </w:t>
      </w:r>
      <w:r w:rsidR="007F12AB">
        <w:t xml:space="preserve">am </w:t>
      </w:r>
      <w:r w:rsidR="008A1335">
        <w:t>not the first woman to make this claim</w:t>
      </w:r>
      <w:r w:rsidR="005C530A">
        <w:t>.</w:t>
      </w:r>
      <w:r w:rsidR="005C530A">
        <w:rPr>
          <w:rStyle w:val="FootnoteReference"/>
        </w:rPr>
        <w:footnoteReference w:id="422"/>
      </w:r>
      <w:r w:rsidR="005C530A">
        <w:t xml:space="preserve"> But I renew it now, with added urgency, because the </w:t>
      </w:r>
      <w:r w:rsidR="0050601F">
        <w:t xml:space="preserve">wholesale </w:t>
      </w:r>
      <w:r w:rsidR="005C530A">
        <w:t xml:space="preserve">exclusion of children from the definition of liberty </w:t>
      </w:r>
      <w:r w:rsidR="009B38BB">
        <w:t xml:space="preserve">may soon </w:t>
      </w:r>
      <w:r w:rsidR="00DB4222">
        <w:t xml:space="preserve">provide an opening </w:t>
      </w:r>
      <w:r w:rsidR="00AC2FE5">
        <w:t>through which the freedom of all of us may be assailed.</w:t>
      </w:r>
      <w:r w:rsidR="00515588">
        <w:t xml:space="preserve"> The proliferation of bans on gender-affirming care for minors provides a stark </w:t>
      </w:r>
      <w:r w:rsidR="00271185">
        <w:t>example, as many states</w:t>
      </w:r>
      <w:r w:rsidR="00E03028">
        <w:t xml:space="preserve"> now</w:t>
      </w:r>
      <w:r w:rsidR="00271185">
        <w:t xml:space="preserve"> move to expand such bans to </w:t>
      </w:r>
      <w:r w:rsidR="00E03028">
        <w:t>adults.</w:t>
      </w:r>
      <w:r w:rsidR="00E03028">
        <w:rPr>
          <w:rStyle w:val="FootnoteReference"/>
        </w:rPr>
        <w:footnoteReference w:id="423"/>
      </w:r>
    </w:p>
    <w:p w14:paraId="2D841164" w14:textId="77777777" w:rsidR="0037558A" w:rsidRDefault="0037558A" w:rsidP="00FD4F9C">
      <w:pPr>
        <w:ind w:firstLine="720"/>
      </w:pPr>
    </w:p>
    <w:p w14:paraId="1474B9FF" w14:textId="2D0F05A3" w:rsidR="00F01E66" w:rsidRDefault="00A76AF8" w:rsidP="0037558A">
      <w:pPr>
        <w:ind w:firstLine="720"/>
      </w:pPr>
      <w:r>
        <w:t xml:space="preserve">I am aware that </w:t>
      </w:r>
      <w:r w:rsidR="00E81059">
        <w:t xml:space="preserve">expanding the definition of liberty to grant children more self-determination </w:t>
      </w:r>
      <w:r w:rsidR="00446F4D">
        <w:t>would</w:t>
      </w:r>
      <w:r w:rsidR="00E81059">
        <w:t xml:space="preserve"> be deeply unsettling</w:t>
      </w:r>
      <w:r w:rsidR="00446F4D">
        <w:t xml:space="preserve"> to the existing liberal order.</w:t>
      </w:r>
      <w:r w:rsidR="00446F4D">
        <w:rPr>
          <w:rStyle w:val="FootnoteReference"/>
        </w:rPr>
        <w:footnoteReference w:id="424"/>
      </w:r>
      <w:r w:rsidR="00446F4D">
        <w:t xml:space="preserve"> </w:t>
      </w:r>
      <w:r w:rsidR="002505E6">
        <w:t xml:space="preserve">I decline to </w:t>
      </w:r>
      <w:r w:rsidR="00176A52">
        <w:t xml:space="preserve">further </w:t>
      </w:r>
      <w:r w:rsidR="002505E6">
        <w:t xml:space="preserve">complicate and </w:t>
      </w:r>
      <w:r w:rsidR="00176A52">
        <w:t>expand</w:t>
      </w:r>
      <w:r w:rsidR="002505E6">
        <w:t xml:space="preserve"> this article by </w:t>
      </w:r>
      <w:r w:rsidR="00CB18D0">
        <w:t>proposing</w:t>
      </w:r>
      <w:r w:rsidR="002505E6">
        <w:t xml:space="preserve"> specific legal reforms</w:t>
      </w:r>
      <w:r w:rsidR="00430433">
        <w:t xml:space="preserve"> regarding children’s rights. Others have </w:t>
      </w:r>
      <w:r w:rsidR="008F574E">
        <w:t>suggested thoughtful innovations based on accommodation</w:t>
      </w:r>
      <w:r w:rsidR="00084786">
        <w:rPr>
          <w:rStyle w:val="FootnoteReference"/>
        </w:rPr>
        <w:footnoteReference w:id="425"/>
      </w:r>
      <w:r w:rsidR="008F574E">
        <w:t xml:space="preserve"> and relational</w:t>
      </w:r>
      <w:r w:rsidR="00084786">
        <w:rPr>
          <w:rStyle w:val="FootnoteReference"/>
        </w:rPr>
        <w:footnoteReference w:id="426"/>
      </w:r>
      <w:r w:rsidR="008F574E">
        <w:t xml:space="preserve"> models.</w:t>
      </w:r>
      <w:r w:rsidR="00084786">
        <w:t xml:space="preserve"> I add here only that</w:t>
      </w:r>
      <w:r w:rsidR="00D272BE">
        <w:t xml:space="preserve"> </w:t>
      </w:r>
      <w:r w:rsidR="002D0EFA">
        <w:t xml:space="preserve">even </w:t>
      </w:r>
      <w:r w:rsidR="00D272BE">
        <w:t xml:space="preserve">a sincere </w:t>
      </w:r>
      <w:r w:rsidR="002D0EFA">
        <w:t>interpretation</w:t>
      </w:r>
      <w:r w:rsidR="00D272BE">
        <w:t xml:space="preserve"> of </w:t>
      </w:r>
      <w:r w:rsidR="008D5E3E">
        <w:t xml:space="preserve">the existing classical liberal system of negative rights and autonomy </w:t>
      </w:r>
      <w:r w:rsidR="004D4ABE">
        <w:t>suggest</w:t>
      </w:r>
      <w:r w:rsidR="002D0EFA">
        <w:t xml:space="preserve">s that </w:t>
      </w:r>
      <w:r w:rsidR="004C6004">
        <w:t>the law should no longer render children, particularly adolescents, completely powerless to enforce their subjective preferences for their own lives.</w:t>
      </w:r>
      <w:r w:rsidR="008A40BB">
        <w:rPr>
          <w:rStyle w:val="FootnoteReference"/>
        </w:rPr>
        <w:footnoteReference w:id="427"/>
      </w:r>
      <w:r w:rsidR="004C6004">
        <w:t xml:space="preserve"> </w:t>
      </w:r>
      <w:r w:rsidR="00241082">
        <w:t xml:space="preserve">The </w:t>
      </w:r>
      <w:r w:rsidR="00241082">
        <w:lastRenderedPageBreak/>
        <w:t xml:space="preserve">age-of-majority regime is a </w:t>
      </w:r>
      <w:proofErr w:type="gramStart"/>
      <w:r w:rsidR="00241082">
        <w:t>sham</w:t>
      </w:r>
      <w:proofErr w:type="gramEnd"/>
      <w:r w:rsidR="00241082">
        <w:t xml:space="preserve"> that enables violations such as gender-affirming care bans. We can and must do better</w:t>
      </w:r>
      <w:r w:rsidR="008B3B35">
        <w:t>.</w:t>
      </w:r>
      <w:r w:rsidR="00241082">
        <w:t xml:space="preserve"> </w:t>
      </w:r>
    </w:p>
    <w:p w14:paraId="35665464" w14:textId="77777777" w:rsidR="00D676F6" w:rsidRDefault="00D676F6" w:rsidP="0037558A">
      <w:pPr>
        <w:ind w:firstLine="720"/>
      </w:pPr>
    </w:p>
    <w:p w14:paraId="6C64DD97" w14:textId="20F1E302" w:rsidR="00DE429E" w:rsidRDefault="006E4965" w:rsidP="006E4965">
      <w:pPr>
        <w:pStyle w:val="Heading1"/>
      </w:pPr>
      <w:r>
        <w:t>Conclusion</w:t>
      </w:r>
      <w:r w:rsidR="00453356">
        <w:t>: Surprised by Joy</w:t>
      </w:r>
    </w:p>
    <w:p w14:paraId="78A044D5" w14:textId="77777777" w:rsidR="00AA4BC6" w:rsidRDefault="00AA4BC6" w:rsidP="00AA4BC6"/>
    <w:p w14:paraId="40129338" w14:textId="77777777" w:rsidR="002E0104" w:rsidRDefault="0041405A" w:rsidP="0041405A">
      <w:pPr>
        <w:ind w:firstLine="0"/>
        <w:jc w:val="center"/>
        <w:rPr>
          <w:i/>
          <w:iCs/>
        </w:rPr>
      </w:pPr>
      <w:r>
        <w:rPr>
          <w:i/>
          <w:iCs/>
        </w:rPr>
        <w:t>We are hard pressed on every side</w:t>
      </w:r>
      <w:r w:rsidR="00ED57A9">
        <w:rPr>
          <w:i/>
          <w:iCs/>
        </w:rPr>
        <w:t xml:space="preserve">, but not </w:t>
      </w:r>
      <w:proofErr w:type="gramStart"/>
      <w:r w:rsidR="00ED57A9">
        <w:rPr>
          <w:i/>
          <w:iCs/>
        </w:rPr>
        <w:t>crushed</w:t>
      </w:r>
      <w:r w:rsidR="0034397D">
        <w:rPr>
          <w:i/>
          <w:iCs/>
        </w:rPr>
        <w:t>;</w:t>
      </w:r>
      <w:proofErr w:type="gramEnd"/>
      <w:r w:rsidR="0034397D">
        <w:rPr>
          <w:i/>
          <w:iCs/>
        </w:rPr>
        <w:t xml:space="preserve"> </w:t>
      </w:r>
    </w:p>
    <w:p w14:paraId="48614D2C" w14:textId="3BD1E340" w:rsidR="002E0104" w:rsidRDefault="002E0104" w:rsidP="0041405A">
      <w:pPr>
        <w:ind w:firstLine="0"/>
        <w:jc w:val="center"/>
        <w:rPr>
          <w:i/>
          <w:iCs/>
        </w:rPr>
      </w:pPr>
      <w:r>
        <w:rPr>
          <w:i/>
          <w:iCs/>
        </w:rPr>
        <w:t>P</w:t>
      </w:r>
      <w:r w:rsidR="0034397D">
        <w:rPr>
          <w:i/>
          <w:iCs/>
        </w:rPr>
        <w:t xml:space="preserve">erplexed, but not in </w:t>
      </w:r>
      <w:proofErr w:type="gramStart"/>
      <w:r w:rsidR="0034397D">
        <w:rPr>
          <w:i/>
          <w:iCs/>
        </w:rPr>
        <w:t>despair;</w:t>
      </w:r>
      <w:proofErr w:type="gramEnd"/>
      <w:r w:rsidR="0034397D">
        <w:rPr>
          <w:i/>
          <w:iCs/>
        </w:rPr>
        <w:t xml:space="preserve"> </w:t>
      </w:r>
    </w:p>
    <w:p w14:paraId="71C80C3E" w14:textId="123416F3" w:rsidR="002E0104" w:rsidRDefault="002E0104" w:rsidP="0041405A">
      <w:pPr>
        <w:ind w:firstLine="0"/>
        <w:jc w:val="center"/>
        <w:rPr>
          <w:i/>
          <w:iCs/>
        </w:rPr>
      </w:pPr>
      <w:r>
        <w:rPr>
          <w:i/>
          <w:iCs/>
        </w:rPr>
        <w:t>P</w:t>
      </w:r>
      <w:r w:rsidR="0034397D">
        <w:rPr>
          <w:i/>
          <w:iCs/>
        </w:rPr>
        <w:t xml:space="preserve">ersecuted, but not </w:t>
      </w:r>
      <w:proofErr w:type="gramStart"/>
      <w:r w:rsidR="0034397D">
        <w:rPr>
          <w:i/>
          <w:iCs/>
        </w:rPr>
        <w:t>abandoned;</w:t>
      </w:r>
      <w:proofErr w:type="gramEnd"/>
      <w:r w:rsidR="0034397D">
        <w:rPr>
          <w:i/>
          <w:iCs/>
        </w:rPr>
        <w:t xml:space="preserve"> </w:t>
      </w:r>
    </w:p>
    <w:p w14:paraId="2F2773F7" w14:textId="7235ACF8" w:rsidR="0065138D" w:rsidRPr="004F0D1C" w:rsidRDefault="002E0104" w:rsidP="0041405A">
      <w:pPr>
        <w:ind w:firstLine="0"/>
        <w:jc w:val="center"/>
      </w:pPr>
      <w:r>
        <w:rPr>
          <w:i/>
          <w:iCs/>
        </w:rPr>
        <w:t>S</w:t>
      </w:r>
      <w:r w:rsidR="0034397D">
        <w:rPr>
          <w:i/>
          <w:iCs/>
        </w:rPr>
        <w:t xml:space="preserve">truck </w:t>
      </w:r>
      <w:proofErr w:type="gramStart"/>
      <w:r w:rsidR="0034397D">
        <w:rPr>
          <w:i/>
          <w:iCs/>
        </w:rPr>
        <w:t>down, but</w:t>
      </w:r>
      <w:proofErr w:type="gramEnd"/>
      <w:r w:rsidR="0034397D">
        <w:rPr>
          <w:i/>
          <w:iCs/>
        </w:rPr>
        <w:t xml:space="preserve"> not dest</w:t>
      </w:r>
      <w:r w:rsidR="004F0D1C">
        <w:rPr>
          <w:i/>
          <w:iCs/>
        </w:rPr>
        <w:t>royed.</w:t>
      </w:r>
      <w:r w:rsidR="004F0D1C">
        <w:rPr>
          <w:rStyle w:val="FootnoteReference"/>
          <w:i/>
          <w:iCs/>
        </w:rPr>
        <w:footnoteReference w:id="428"/>
      </w:r>
    </w:p>
    <w:p w14:paraId="56869FDB" w14:textId="77777777" w:rsidR="0065138D" w:rsidRDefault="0065138D" w:rsidP="00AA4BC6">
      <w:pPr>
        <w:ind w:firstLine="720"/>
      </w:pPr>
    </w:p>
    <w:p w14:paraId="29092B9E" w14:textId="77777777" w:rsidR="00B86424" w:rsidRDefault="00B83AB0" w:rsidP="00AA4BC6">
      <w:pPr>
        <w:ind w:firstLine="720"/>
      </w:pPr>
      <w:r>
        <w:t xml:space="preserve">As </w:t>
      </w:r>
      <w:r w:rsidR="004631FE">
        <w:t>I (re)discovered joy in a shotgun house in New Orleans</w:t>
      </w:r>
      <w:r>
        <w:t xml:space="preserve">, C.S. Lewis (re)discovered joy in a zoo in </w:t>
      </w:r>
      <w:r w:rsidR="00802C63">
        <w:t>Bedfordshire.</w:t>
      </w:r>
      <w:r w:rsidR="00802C63">
        <w:rPr>
          <w:rStyle w:val="FootnoteReference"/>
        </w:rPr>
        <w:footnoteReference w:id="429"/>
      </w:r>
      <w:r w:rsidR="00F46FF3">
        <w:t xml:space="preserve"> </w:t>
      </w:r>
      <w:r w:rsidR="00B61D13">
        <w:t>As with me, joy suffused Lewis’s earliest years</w:t>
      </w:r>
      <w:r w:rsidR="003169E4">
        <w:t>.</w:t>
      </w:r>
      <w:r w:rsidR="00B61D13">
        <w:rPr>
          <w:rStyle w:val="FootnoteReference"/>
        </w:rPr>
        <w:footnoteReference w:id="430"/>
      </w:r>
      <w:r w:rsidR="00494E76">
        <w:t xml:space="preserve"> But the </w:t>
      </w:r>
      <w:r w:rsidR="004A72B0">
        <w:t>untimely death of his mother</w:t>
      </w:r>
      <w:r w:rsidR="004A72B0">
        <w:rPr>
          <w:rStyle w:val="FootnoteReference"/>
        </w:rPr>
        <w:footnoteReference w:id="431"/>
      </w:r>
      <w:r w:rsidR="004A72B0">
        <w:t xml:space="preserve"> </w:t>
      </w:r>
      <w:r w:rsidR="00001638">
        <w:t xml:space="preserve">and </w:t>
      </w:r>
      <w:r w:rsidR="004A72B0">
        <w:t>his experiences at school</w:t>
      </w:r>
      <w:r w:rsidR="004A72B0">
        <w:rPr>
          <w:rStyle w:val="FootnoteReference"/>
        </w:rPr>
        <w:footnoteReference w:id="432"/>
      </w:r>
      <w:r w:rsidR="004A72B0">
        <w:t xml:space="preserve"> </w:t>
      </w:r>
      <w:r w:rsidR="000E55DF">
        <w:t>snuffed his spark.</w:t>
      </w:r>
      <w:r w:rsidR="0068593A">
        <w:t xml:space="preserve"> </w:t>
      </w:r>
      <w:r w:rsidR="00FB44BE">
        <w:t xml:space="preserve">By the time Lewis reached adolescence, he had developed </w:t>
      </w:r>
      <w:r w:rsidR="001971B7">
        <w:t>“a deeply ingrained pessimism</w:t>
      </w:r>
      <w:r w:rsidR="0032609F">
        <w:t xml:space="preserve">” according to which “the universe was, in the main, </w:t>
      </w:r>
      <w:r w:rsidR="007A7F51">
        <w:t>a rather regrettable institution.”</w:t>
      </w:r>
      <w:r w:rsidR="007A7F51">
        <w:rPr>
          <w:rStyle w:val="FootnoteReference"/>
        </w:rPr>
        <w:footnoteReference w:id="433"/>
      </w:r>
      <w:r w:rsidR="00FD7B12">
        <w:t xml:space="preserve"> </w:t>
      </w:r>
    </w:p>
    <w:p w14:paraId="7426118A" w14:textId="77777777" w:rsidR="00B86424" w:rsidRDefault="00B86424" w:rsidP="00AA4BC6">
      <w:pPr>
        <w:ind w:firstLine="720"/>
      </w:pPr>
    </w:p>
    <w:p w14:paraId="1684B780" w14:textId="5A128384" w:rsidR="00D24D6B" w:rsidRDefault="00D346AD" w:rsidP="00AA4BC6">
      <w:pPr>
        <w:ind w:firstLine="720"/>
      </w:pPr>
      <w:r>
        <w:t>While trying on a dress for the first time rekindled my spark,</w:t>
      </w:r>
      <w:r w:rsidR="00245148">
        <w:t xml:space="preserve"> </w:t>
      </w:r>
      <w:r w:rsidR="00237E91">
        <w:t>Lewis’s</w:t>
      </w:r>
      <w:r w:rsidR="0068593A">
        <w:t xml:space="preserve"> conversion to Christianity</w:t>
      </w:r>
      <w:r w:rsidR="00237E91">
        <w:t xml:space="preserve"> rekindled his</w:t>
      </w:r>
      <w:r w:rsidR="0068593A">
        <w:t>.</w:t>
      </w:r>
      <w:r w:rsidR="0068593A">
        <w:rPr>
          <w:rStyle w:val="FootnoteReference"/>
        </w:rPr>
        <w:footnoteReference w:id="434"/>
      </w:r>
      <w:r w:rsidR="0068593A">
        <w:t xml:space="preserve"> </w:t>
      </w:r>
      <w:r w:rsidR="008C5B9A">
        <w:t>I began this article by highlighting the differences between religious conversion and gender transition.</w:t>
      </w:r>
      <w:r w:rsidR="008C5B9A">
        <w:rPr>
          <w:rStyle w:val="FootnoteReference"/>
        </w:rPr>
        <w:footnoteReference w:id="435"/>
      </w:r>
      <w:r w:rsidR="00A86284">
        <w:t xml:space="preserve"> I end by suggesting that </w:t>
      </w:r>
      <w:r w:rsidR="005D0486">
        <w:t>the two are vitally similar on another, perhaps much more important, level</w:t>
      </w:r>
      <w:r w:rsidR="00F103F3">
        <w:t>.</w:t>
      </w:r>
      <w:r w:rsidR="005D0486">
        <w:t xml:space="preserve"> </w:t>
      </w:r>
      <w:r w:rsidR="003C3889">
        <w:t xml:space="preserve">The essence of both is </w:t>
      </w:r>
      <w:r w:rsidR="00804850">
        <w:t>a</w:t>
      </w:r>
      <w:r w:rsidR="00354BA2">
        <w:t xml:space="preserve"> courageously </w:t>
      </w:r>
      <w:r w:rsidR="00E26820">
        <w:t>vulnerable</w:t>
      </w:r>
      <w:r w:rsidR="00354BA2">
        <w:t xml:space="preserve"> attempt to </w:t>
      </w:r>
      <w:r w:rsidR="00A97E49">
        <w:t xml:space="preserve">wrest joy </w:t>
      </w:r>
      <w:r w:rsidR="00A44F39">
        <w:t>out of the indifferent chaos of human existence.</w:t>
      </w:r>
    </w:p>
    <w:p w14:paraId="67AEC41F" w14:textId="77777777" w:rsidR="00D24D6B" w:rsidRDefault="00D24D6B" w:rsidP="00AA4BC6">
      <w:pPr>
        <w:ind w:firstLine="720"/>
      </w:pPr>
    </w:p>
    <w:p w14:paraId="7E85783A" w14:textId="77777777" w:rsidR="00624429" w:rsidRDefault="00F7619E" w:rsidP="00A1278E">
      <w:pPr>
        <w:ind w:firstLine="720"/>
      </w:pPr>
      <w:r>
        <w:t xml:space="preserve">People as diverse as </w:t>
      </w:r>
      <w:r w:rsidR="008E3C3A">
        <w:t>English political philosopher Thomas Hobbes</w:t>
      </w:r>
      <w:r w:rsidR="00E60070">
        <w:rPr>
          <w:rStyle w:val="FootnoteReference"/>
        </w:rPr>
        <w:footnoteReference w:id="436"/>
      </w:r>
      <w:r w:rsidR="008E3C3A">
        <w:t xml:space="preserve"> and Buddhist nun Pema Ch</w:t>
      </w:r>
      <w:r w:rsidR="00291CEF">
        <w:rPr>
          <w:rFonts w:ascii="Times New Roman" w:hAnsi="Times New Roman"/>
        </w:rPr>
        <w:t>ö</w:t>
      </w:r>
      <w:r w:rsidR="008E3C3A">
        <w:t>dr</w:t>
      </w:r>
      <w:r w:rsidR="00291CEF">
        <w:rPr>
          <w:rFonts w:ascii="Times New Roman" w:hAnsi="Times New Roman"/>
        </w:rPr>
        <w:t>ö</w:t>
      </w:r>
      <w:r w:rsidR="008E3C3A">
        <w:t>n agree: Life</w:t>
      </w:r>
      <w:r w:rsidR="00F15454">
        <w:t xml:space="preserve"> is hard</w:t>
      </w:r>
      <w:r w:rsidR="008E3C3A">
        <w:t>.</w:t>
      </w:r>
      <w:r w:rsidR="00F15454">
        <w:rPr>
          <w:rStyle w:val="FootnoteReference"/>
        </w:rPr>
        <w:footnoteReference w:id="437"/>
      </w:r>
      <w:r w:rsidR="00BF6865">
        <w:t xml:space="preserve"> To be </w:t>
      </w:r>
      <w:r w:rsidR="00BF6865">
        <w:lastRenderedPageBreak/>
        <w:t>alive is to struggle.</w:t>
      </w:r>
      <w:r w:rsidR="00BF6865">
        <w:rPr>
          <w:rStyle w:val="FootnoteReference"/>
        </w:rPr>
        <w:footnoteReference w:id="438"/>
      </w:r>
      <w:r w:rsidR="00C4449F">
        <w:t xml:space="preserve"> </w:t>
      </w:r>
      <w:r w:rsidR="008B019A">
        <w:t xml:space="preserve">During our comparatively brief lives, each of us strives to make meaning, </w:t>
      </w:r>
      <w:r w:rsidR="00F645BB">
        <w:t>to find purpose, to connect to others, to thrive, in our own ways</w:t>
      </w:r>
      <w:r w:rsidR="00A423A9">
        <w:t xml:space="preserve">. </w:t>
      </w:r>
      <w:r w:rsidR="001F004A">
        <w:t>N</w:t>
      </w:r>
      <w:r w:rsidR="00A561B7">
        <w:t>o matter how it is achieved,</w:t>
      </w:r>
      <w:r w:rsidR="00DF3CBF">
        <w:t xml:space="preserve"> </w:t>
      </w:r>
      <w:r w:rsidR="00A561B7">
        <w:t>t</w:t>
      </w:r>
      <w:r w:rsidR="009F2662">
        <w:t xml:space="preserve">he experience of joy </w:t>
      </w:r>
      <w:proofErr w:type="gramStart"/>
      <w:r w:rsidR="009F2662">
        <w:t>in the midst of</w:t>
      </w:r>
      <w:proofErr w:type="gramEnd"/>
      <w:r w:rsidR="009F2662">
        <w:t xml:space="preserve"> such </w:t>
      </w:r>
      <w:r w:rsidR="00395CE7">
        <w:t>pain</w:t>
      </w:r>
      <w:r w:rsidR="009F2662">
        <w:t xml:space="preserve"> is always a miracle.</w:t>
      </w:r>
      <w:r w:rsidR="00F42F27">
        <w:t xml:space="preserve"> </w:t>
      </w:r>
    </w:p>
    <w:p w14:paraId="13FDA475" w14:textId="77777777" w:rsidR="00624429" w:rsidRDefault="00624429" w:rsidP="00A1278E">
      <w:pPr>
        <w:ind w:firstLine="720"/>
      </w:pPr>
    </w:p>
    <w:p w14:paraId="67EFF96D" w14:textId="026F920E" w:rsidR="00AA4BC6" w:rsidRDefault="00624429" w:rsidP="00A1278E">
      <w:pPr>
        <w:ind w:firstLine="720"/>
      </w:pPr>
      <w:r>
        <w:t xml:space="preserve">To find joy is to live. </w:t>
      </w:r>
      <w:r w:rsidR="002F7BDC">
        <w:t xml:space="preserve">Lewis’s joy produced the magic of </w:t>
      </w:r>
      <w:r w:rsidR="002F7BDC">
        <w:rPr>
          <w:i/>
          <w:iCs/>
        </w:rPr>
        <w:t>The Chronicles of Narnia</w:t>
      </w:r>
      <w:r w:rsidR="002F7BDC">
        <w:t>, which the young Tyler Rose read until the covers literally fell off the books.</w:t>
      </w:r>
      <w:r w:rsidR="00395CE7">
        <w:t xml:space="preserve"> </w:t>
      </w:r>
      <w:r w:rsidR="00043EC7">
        <w:t xml:space="preserve">Trans joy </w:t>
      </w:r>
      <w:r w:rsidR="00A1278E">
        <w:t xml:space="preserve">is just as generative. </w:t>
      </w:r>
      <w:r w:rsidR="00473A53">
        <w:t xml:space="preserve">“To have your heart ripped apart and put back together again,” Angelica Ross </w:t>
      </w:r>
      <w:r w:rsidR="00E54733">
        <w:t>has said</w:t>
      </w:r>
      <w:r w:rsidR="00473A53">
        <w:t>, “</w:t>
      </w:r>
      <w:r w:rsidR="00E54733">
        <w:t xml:space="preserve">is the kind of pain that could only produce </w:t>
      </w:r>
      <w:r w:rsidR="00766D3F">
        <w:t>something as beautiful as trans people.”</w:t>
      </w:r>
      <w:r w:rsidR="00766D3F">
        <w:rPr>
          <w:rStyle w:val="FootnoteReference"/>
        </w:rPr>
        <w:footnoteReference w:id="439"/>
      </w:r>
    </w:p>
    <w:p w14:paraId="253635E8" w14:textId="77777777" w:rsidR="006B4592" w:rsidRDefault="006B4592" w:rsidP="00A1278E">
      <w:pPr>
        <w:ind w:firstLine="720"/>
      </w:pPr>
    </w:p>
    <w:p w14:paraId="5365E6BC" w14:textId="1C7113E0" w:rsidR="006B4592" w:rsidRPr="00AA4BC6" w:rsidRDefault="00316025" w:rsidP="00A1278E">
      <w:pPr>
        <w:ind w:firstLine="720"/>
      </w:pPr>
      <w:r>
        <w:t xml:space="preserve">The role of the law is to protect </w:t>
      </w:r>
      <w:r w:rsidR="00D168F8">
        <w:t>as many of these</w:t>
      </w:r>
      <w:r w:rsidR="00A01CE0">
        <w:t xml:space="preserve"> beautifully diverse paths to human flourishing as possible.</w:t>
      </w:r>
      <w:r w:rsidR="00D02BB5">
        <w:t xml:space="preserve"> </w:t>
      </w:r>
      <w:r w:rsidR="002611A5">
        <w:t>Foreclosing one path for no better reason</w:t>
      </w:r>
      <w:r w:rsidR="000E755A">
        <w:t xml:space="preserve"> than that a legislative majority disagrees with it—or that people hundreds of years ago disagreed with it—is the height of tyranny.</w:t>
      </w:r>
      <w:r w:rsidR="00783811">
        <w:t xml:space="preserve"> </w:t>
      </w:r>
      <w:r w:rsidR="00D50EDF">
        <w:t>A “liberty” which permits such tyranny is no liberty at all.</w:t>
      </w:r>
      <w:r w:rsidR="008B019A">
        <w:t xml:space="preserve"> </w:t>
      </w:r>
    </w:p>
    <w:sectPr w:rsidR="006B4592" w:rsidRPr="00AA4BC6" w:rsidSect="00DE478D">
      <w:headerReference w:type="even" r:id="rId12"/>
      <w:headerReference w:type="default" r:id="rId13"/>
      <w:pgSz w:w="12240" w:h="15840" w:code="1"/>
      <w:pgMar w:top="2016" w:right="2448" w:bottom="2016" w:left="2448" w:header="1512" w:footer="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Tyler Rose Clemons" w:date="2024-08-14T13:29:00Z" w:initials="TRC">
    <w:p w14:paraId="14D2229C" w14:textId="77777777" w:rsidR="00D271A8" w:rsidRDefault="00D271A8" w:rsidP="00D271A8">
      <w:pPr>
        <w:pStyle w:val="CommentText"/>
        <w:ind w:firstLine="0"/>
        <w:jc w:val="left"/>
      </w:pPr>
      <w:r>
        <w:rPr>
          <w:rStyle w:val="CommentReference"/>
        </w:rPr>
        <w:annotationRef/>
      </w:r>
      <w:r>
        <w:t>Include definition here (including subjectivity) once fleshed 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D222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CABD99" w16cex:dateUtc="2024-08-14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D2229C" w16cid:durableId="43CABD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D57CD" w14:textId="77777777" w:rsidR="00FB5CA1" w:rsidRDefault="00FB5CA1">
      <w:r>
        <w:separator/>
      </w:r>
    </w:p>
  </w:endnote>
  <w:endnote w:type="continuationSeparator" w:id="0">
    <w:p w14:paraId="56758708" w14:textId="77777777" w:rsidR="00FB5CA1" w:rsidRDefault="00FB5CA1">
      <w:r>
        <w:continuationSeparator/>
      </w:r>
    </w:p>
  </w:endnote>
  <w:endnote w:type="continuationNotice" w:id="1">
    <w:p w14:paraId="64E6CD17" w14:textId="77777777" w:rsidR="00FB5CA1" w:rsidRDefault="00FB5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0EA2A" w14:textId="77777777" w:rsidR="00FB5CA1" w:rsidRDefault="00FB5CA1">
      <w:r>
        <w:separator/>
      </w:r>
    </w:p>
  </w:footnote>
  <w:footnote w:type="continuationSeparator" w:id="0">
    <w:p w14:paraId="758B7220" w14:textId="77777777" w:rsidR="00FB5CA1" w:rsidRDefault="00FB5CA1">
      <w:r>
        <w:continuationSeparator/>
      </w:r>
    </w:p>
  </w:footnote>
  <w:footnote w:type="continuationNotice" w:id="1">
    <w:p w14:paraId="5DF65402" w14:textId="77777777" w:rsidR="00FB5CA1" w:rsidRDefault="00FB5CA1"/>
  </w:footnote>
  <w:footnote w:id="2">
    <w:p w14:paraId="5421F501" w14:textId="10DF67CB" w:rsidR="00FA45DD" w:rsidRDefault="00FA45DD">
      <w:pPr>
        <w:pStyle w:val="FootnoteText"/>
      </w:pPr>
      <w:r>
        <w:rPr>
          <w:rStyle w:val="FootnoteReference"/>
        </w:rPr>
        <w:t>*</w:t>
      </w:r>
      <w:r>
        <w:t xml:space="preserve"> </w:t>
      </w:r>
      <w:r w:rsidR="007231B4">
        <w:t xml:space="preserve">Assistant Professor, St. John’s University </w:t>
      </w:r>
      <w:r w:rsidR="00465631">
        <w:t xml:space="preserve">School </w:t>
      </w:r>
      <w:r w:rsidR="007231B4">
        <w:t xml:space="preserve">of Law. </w:t>
      </w:r>
      <w:r w:rsidR="00A86CCD">
        <w:t xml:space="preserve">Special thanks to Meghan Boone, Jane </w:t>
      </w:r>
      <w:r w:rsidR="001459CB">
        <w:t xml:space="preserve">Wettach, </w:t>
      </w:r>
      <w:r w:rsidR="00665A76">
        <w:t xml:space="preserve">Noa Ben Asher, </w:t>
      </w:r>
      <w:r w:rsidR="00D1347B">
        <w:t xml:space="preserve">Kristan Brown, </w:t>
      </w:r>
      <w:r w:rsidR="008065B7">
        <w:t>Anna Arons, Ben Sund</w:t>
      </w:r>
      <w:r w:rsidR="00BF6865">
        <w:t>holm, [others]</w:t>
      </w:r>
      <w:r w:rsidR="00665A76">
        <w:t xml:space="preserve">. </w:t>
      </w:r>
    </w:p>
  </w:footnote>
  <w:footnote w:id="3">
    <w:p w14:paraId="6466BCDA" w14:textId="417F2A02" w:rsidR="004339F9" w:rsidRPr="007C35AE" w:rsidRDefault="004339F9">
      <w:pPr>
        <w:pStyle w:val="FootnoteText"/>
        <w:rPr>
          <w:sz w:val="22"/>
          <w:szCs w:val="22"/>
        </w:rPr>
      </w:pPr>
      <w:r>
        <w:rPr>
          <w:rStyle w:val="FootnoteReference"/>
        </w:rPr>
        <w:footnoteRef/>
      </w:r>
      <w:r>
        <w:t xml:space="preserve"> </w:t>
      </w:r>
      <w:r w:rsidR="00423F00" w:rsidRPr="007C35AE">
        <w:t>COVID-19 killed an estimated 337,883 Americans in 2020</w:t>
      </w:r>
      <w:r w:rsidR="00B9590F">
        <w:t>, making it the third</w:t>
      </w:r>
      <w:r w:rsidR="007F10E3">
        <w:t xml:space="preserve"> </w:t>
      </w:r>
      <w:r w:rsidR="00B9590F">
        <w:t>leading cause of death that year</w:t>
      </w:r>
      <w:r w:rsidR="00CB1525" w:rsidRPr="007C35AE">
        <w:t xml:space="preserve">. </w:t>
      </w:r>
      <w:r w:rsidR="00B87664" w:rsidRPr="007C35AE">
        <w:rPr>
          <w:smallCaps/>
        </w:rPr>
        <w:t xml:space="preserve">Farida B. Ahmad et al., </w:t>
      </w:r>
      <w:r w:rsidR="00C86A4C" w:rsidRPr="007C35AE">
        <w:rPr>
          <w:smallCaps/>
        </w:rPr>
        <w:t>Provisional Mortality Data—United States, 2020</w:t>
      </w:r>
      <w:r w:rsidR="00C86A4C" w:rsidRPr="007C35AE">
        <w:t xml:space="preserve"> (</w:t>
      </w:r>
      <w:r w:rsidR="00B87664" w:rsidRPr="007C35AE">
        <w:t xml:space="preserve">U.S. </w:t>
      </w:r>
      <w:proofErr w:type="spellStart"/>
      <w:r w:rsidR="00B87664" w:rsidRPr="007C35AE">
        <w:t>Dep’t</w:t>
      </w:r>
      <w:proofErr w:type="spellEnd"/>
      <w:r w:rsidR="00B87664" w:rsidRPr="007C35AE">
        <w:t xml:space="preserve"> of Health &amp; Human Servs.</w:t>
      </w:r>
      <w:r w:rsidR="00C86A4C" w:rsidRPr="007C35AE">
        <w:t xml:space="preserve"> Mar. 31, 2021),</w:t>
      </w:r>
      <w:r w:rsidR="006D09B7">
        <w:tab/>
      </w:r>
      <w:r w:rsidR="00C86A4C" w:rsidRPr="007C35AE">
        <w:t xml:space="preserve"> </w:t>
      </w:r>
      <w:hyperlink r:id="rId1" w:history="1">
        <w:r w:rsidR="00C86A4C" w:rsidRPr="007C35AE">
          <w:rPr>
            <w:rStyle w:val="Hyperlink"/>
          </w:rPr>
          <w:t>https://www.cdc.gov/mmwr/volumes/70/wr/pdfs/mm7014e1-H.pdf</w:t>
        </w:r>
      </w:hyperlink>
      <w:r w:rsidR="00C86A4C" w:rsidRPr="007C35AE">
        <w:t xml:space="preserve"> </w:t>
      </w:r>
      <w:r w:rsidR="007C35AE" w:rsidRPr="007C35AE">
        <w:t>[https://perma.cc/DE39-UMFR]</w:t>
      </w:r>
      <w:r w:rsidR="006D09B7">
        <w:t>. [</w:t>
      </w:r>
      <w:r w:rsidR="006D09B7" w:rsidRPr="006D09B7">
        <w:rPr>
          <w:highlight w:val="yellow"/>
        </w:rPr>
        <w:t>Additional statistics, article re lingering suffering/effects</w:t>
      </w:r>
      <w:r w:rsidR="006D09B7">
        <w:t>].</w:t>
      </w:r>
    </w:p>
  </w:footnote>
  <w:footnote w:id="4">
    <w:p w14:paraId="161012B8" w14:textId="04CF8F8C" w:rsidR="00A52FD0" w:rsidRPr="00A52FD0" w:rsidRDefault="00A52FD0">
      <w:pPr>
        <w:pStyle w:val="FootnoteText"/>
      </w:pPr>
      <w:r>
        <w:rPr>
          <w:rStyle w:val="FootnoteReference"/>
        </w:rPr>
        <w:footnoteRef/>
      </w:r>
      <w:r>
        <w:t xml:space="preserve"> </w:t>
      </w:r>
      <w:r>
        <w:rPr>
          <w:i/>
          <w:iCs/>
        </w:rPr>
        <w:t>See</w:t>
      </w:r>
      <w:r>
        <w:t xml:space="preserve"> </w:t>
      </w:r>
      <w:r w:rsidR="00D83E2E">
        <w:rPr>
          <w:i/>
          <w:iCs/>
        </w:rPr>
        <w:t>generally</w:t>
      </w:r>
      <w:r w:rsidR="00D83E2E" w:rsidRPr="00D83E2E">
        <w:t xml:space="preserve"> </w:t>
      </w:r>
      <w:r w:rsidR="00CE680B" w:rsidRPr="00D83E2E">
        <w:rPr>
          <w:smallCaps/>
        </w:rPr>
        <w:t>Marie Kondo, The Life-Changing Magic of Tidying Up: The Japanese Art of Decluttering and Organizing</w:t>
      </w:r>
      <w:r w:rsidR="00CE680B">
        <w:t xml:space="preserve"> (</w:t>
      </w:r>
      <w:r w:rsidR="00021640">
        <w:t xml:space="preserve">Cathy Hirano trans., </w:t>
      </w:r>
      <w:r w:rsidR="00D83E2E">
        <w:t>2014).</w:t>
      </w:r>
    </w:p>
  </w:footnote>
  <w:footnote w:id="5">
    <w:p w14:paraId="6F3FECA1" w14:textId="6EFC176E" w:rsidR="00F25A97" w:rsidRPr="00EE698B" w:rsidRDefault="00F25A97">
      <w:pPr>
        <w:pStyle w:val="FootnoteText"/>
      </w:pPr>
      <w:r>
        <w:rPr>
          <w:rStyle w:val="FootnoteReference"/>
        </w:rPr>
        <w:footnoteRef/>
      </w:r>
      <w:r>
        <w:t xml:space="preserve"> </w:t>
      </w:r>
      <w:r w:rsidR="00EE698B">
        <w:rPr>
          <w:i/>
          <w:iCs/>
        </w:rPr>
        <w:t>Id.</w:t>
      </w:r>
      <w:r w:rsidR="00EE698B">
        <w:t xml:space="preserve"> </w:t>
      </w:r>
      <w:r w:rsidR="00F75C2B">
        <w:t>a</w:t>
      </w:r>
      <w:r w:rsidR="00EE698B">
        <w:t>t 39</w:t>
      </w:r>
      <w:r w:rsidR="00F75C2B">
        <w:t>–42.</w:t>
      </w:r>
    </w:p>
  </w:footnote>
  <w:footnote w:id="6">
    <w:p w14:paraId="5C822A0B" w14:textId="792E63C0" w:rsidR="00F25A97" w:rsidRPr="00DD04EB" w:rsidRDefault="00F25A97" w:rsidP="00EB73AE">
      <w:pPr>
        <w:pStyle w:val="FootnoteText"/>
        <w:rPr>
          <w:i/>
          <w:iCs/>
        </w:rPr>
      </w:pPr>
      <w:r>
        <w:rPr>
          <w:rStyle w:val="FootnoteReference"/>
        </w:rPr>
        <w:footnoteRef/>
      </w:r>
      <w:r>
        <w:t xml:space="preserve"> </w:t>
      </w:r>
      <w:r w:rsidR="00DB1E53">
        <w:rPr>
          <w:i/>
          <w:iCs/>
        </w:rPr>
        <w:t>See</w:t>
      </w:r>
      <w:r w:rsidR="00DB1E53">
        <w:t xml:space="preserve"> </w:t>
      </w:r>
      <w:r w:rsidR="00DD04EB">
        <w:t xml:space="preserve">Joanna Gaitens et al., </w:t>
      </w:r>
      <w:r w:rsidR="00DD04EB">
        <w:rPr>
          <w:i/>
          <w:iCs/>
        </w:rPr>
        <w:t>COVID-19 and Essential Workers: A Narrative Review of Health Outcomes and Moral Inquiry</w:t>
      </w:r>
      <w:r w:rsidR="00DD04EB">
        <w:t xml:space="preserve">, </w:t>
      </w:r>
      <w:r w:rsidR="00410643">
        <w:t xml:space="preserve">18 Int’l J. Env’t </w:t>
      </w:r>
      <w:proofErr w:type="spellStart"/>
      <w:r w:rsidR="00381B05">
        <w:t>Rsch</w:t>
      </w:r>
      <w:proofErr w:type="spellEnd"/>
      <w:r w:rsidR="00381B05">
        <w:t xml:space="preserve">. &amp; Pub. Health </w:t>
      </w:r>
      <w:r w:rsidR="00980E08">
        <w:t xml:space="preserve">1446, </w:t>
      </w:r>
      <w:r w:rsidR="00686DF0">
        <w:t>1446 (2021) (“As the COVID-19 pandemic swept across the globe in 2020, nothing became more apparent than the social inequities that exist between different groups of workers</w:t>
      </w:r>
      <w:r w:rsidR="00410643">
        <w:t xml:space="preserve"> </w:t>
      </w:r>
      <w:proofErr w:type="gramStart"/>
      <w:r w:rsidR="00EB73AE">
        <w:t>. . . .</w:t>
      </w:r>
      <w:proofErr w:type="gramEnd"/>
      <w:r w:rsidR="00EB73AE">
        <w:t xml:space="preserve"> For example, some middle- and upper-income workers, such as those working in the technology industry, were able to transition from working in an office to working from home, whereas workers in many so-called essential industries, who often receive lower wages, were not afforded the same work-from-home opportunity, placing them at greater risk for exposure to COVID-19.”).</w:t>
      </w:r>
      <w:r w:rsidR="00DD04EB">
        <w:rPr>
          <w:i/>
          <w:iCs/>
        </w:rPr>
        <w:t xml:space="preserve"> </w:t>
      </w:r>
    </w:p>
  </w:footnote>
  <w:footnote w:id="7">
    <w:p w14:paraId="5E08F2EC" w14:textId="061C2301" w:rsidR="008A3765" w:rsidRDefault="008A3765">
      <w:pPr>
        <w:pStyle w:val="FootnoteText"/>
      </w:pPr>
      <w:r>
        <w:rPr>
          <w:rStyle w:val="FootnoteReference"/>
        </w:rPr>
        <w:footnoteRef/>
      </w:r>
      <w:r>
        <w:t xml:space="preserve"> </w:t>
      </w:r>
      <w:r w:rsidR="00A300DF">
        <w:t xml:space="preserve">By including </w:t>
      </w:r>
      <w:r w:rsidR="002D6AD7">
        <w:t xml:space="preserve">portions of my own story </w:t>
      </w:r>
      <w:r w:rsidR="00F4148A">
        <w:t xml:space="preserve">and those of other trans people </w:t>
      </w:r>
      <w:r w:rsidR="002D6AD7">
        <w:t xml:space="preserve">in this article, I join a </w:t>
      </w:r>
      <w:r w:rsidR="008F6161">
        <w:t xml:space="preserve">by-now </w:t>
      </w:r>
      <w:r w:rsidR="002D6AD7">
        <w:t xml:space="preserve">well-established—if not always </w:t>
      </w:r>
      <w:r w:rsidR="00D94BBA">
        <w:t>well-</w:t>
      </w:r>
      <w:r w:rsidR="002D6AD7">
        <w:t>respected</w:t>
      </w:r>
      <w:r w:rsidR="00D94BBA">
        <w:t>—</w:t>
      </w:r>
      <w:r w:rsidR="008B7F98">
        <w:t>movement</w:t>
      </w:r>
      <w:r w:rsidR="00D94BBA">
        <w:t xml:space="preserve"> of </w:t>
      </w:r>
      <w:r w:rsidR="008F6161">
        <w:t>using narrative</w:t>
      </w:r>
      <w:r w:rsidR="008B7F98">
        <w:t xml:space="preserve"> storytelling</w:t>
      </w:r>
      <w:r w:rsidR="008F6161">
        <w:t xml:space="preserve"> as a tool of legal scholarship. </w:t>
      </w:r>
      <w:r w:rsidR="008F6161">
        <w:rPr>
          <w:i/>
          <w:iCs/>
        </w:rPr>
        <w:t>See</w:t>
      </w:r>
      <w:r w:rsidR="008F6161">
        <w:t xml:space="preserve"> Daniel A. Farber &amp; Suzanna Sherry, </w:t>
      </w:r>
      <w:r w:rsidR="008F6161">
        <w:rPr>
          <w:i/>
          <w:iCs/>
        </w:rPr>
        <w:t xml:space="preserve">Legal Storytelling and </w:t>
      </w:r>
      <w:proofErr w:type="spellStart"/>
      <w:r w:rsidR="008F6161">
        <w:rPr>
          <w:i/>
          <w:iCs/>
        </w:rPr>
        <w:t>Constutitonal</w:t>
      </w:r>
      <w:proofErr w:type="spellEnd"/>
      <w:r w:rsidR="008F6161">
        <w:rPr>
          <w:i/>
          <w:iCs/>
        </w:rPr>
        <w:t xml:space="preserve"> Law: The Medium and the Message</w:t>
      </w:r>
      <w:r w:rsidR="0057611A">
        <w:t xml:space="preserve">, in </w:t>
      </w:r>
      <w:r w:rsidR="0057611A" w:rsidRPr="009C0E98">
        <w:rPr>
          <w:smallCaps/>
        </w:rPr>
        <w:t>Law’s Stories: Narrative and Rhetoric in the Law</w:t>
      </w:r>
      <w:r w:rsidR="0057611A">
        <w:t xml:space="preserve"> (</w:t>
      </w:r>
      <w:r w:rsidR="00816A29">
        <w:t xml:space="preserve">Peter Brooks &amp; Paul Gewirtz, eds.) 37–53, </w:t>
      </w:r>
      <w:r w:rsidR="00A52A18">
        <w:t>37–38 (1996).</w:t>
      </w:r>
      <w:r w:rsidR="00D82F96">
        <w:t xml:space="preserve"> Notable pioneers include </w:t>
      </w:r>
      <w:r w:rsidR="00D82F96" w:rsidRPr="00F305A9">
        <w:rPr>
          <w:smallCaps/>
        </w:rPr>
        <w:t>Peggy Cooper Davis</w:t>
      </w:r>
      <w:r w:rsidR="00F305A9" w:rsidRPr="00F305A9">
        <w:rPr>
          <w:smallCaps/>
        </w:rPr>
        <w:t>, Neglected Stories: The Constitution and Family Values</w:t>
      </w:r>
      <w:r w:rsidR="00F305A9">
        <w:t xml:space="preserve"> (1997); </w:t>
      </w:r>
      <w:r w:rsidR="00F305A9" w:rsidRPr="00E80FFF">
        <w:rPr>
          <w:smallCaps/>
        </w:rPr>
        <w:t xml:space="preserve">Patricia Williams, </w:t>
      </w:r>
      <w:r w:rsidR="00E80FFF" w:rsidRPr="00E80FFF">
        <w:rPr>
          <w:smallCaps/>
        </w:rPr>
        <w:t>The Alchemy of Race and Rights</w:t>
      </w:r>
      <w:r w:rsidR="00E80FFF">
        <w:t xml:space="preserve"> (1991); </w:t>
      </w:r>
      <w:r w:rsidR="00F5099F">
        <w:t xml:space="preserve">Mari Matsuda, </w:t>
      </w:r>
      <w:r w:rsidR="00F5099F">
        <w:rPr>
          <w:i/>
          <w:iCs/>
        </w:rPr>
        <w:t>Public Response to Racist Speech: Considering the Victim’s Story</w:t>
      </w:r>
      <w:r w:rsidR="00351F98">
        <w:t xml:space="preserve">, 87 </w:t>
      </w:r>
      <w:r w:rsidR="00351F98" w:rsidRPr="00351F98">
        <w:rPr>
          <w:smallCaps/>
        </w:rPr>
        <w:t>Mich. L. Rev.</w:t>
      </w:r>
      <w:r w:rsidR="00351F98">
        <w:t xml:space="preserve"> 2320 (1987);</w:t>
      </w:r>
      <w:r w:rsidR="00351F98">
        <w:rPr>
          <w:i/>
          <w:iCs/>
        </w:rPr>
        <w:t xml:space="preserve"> </w:t>
      </w:r>
      <w:r w:rsidR="00E80FFF">
        <w:t xml:space="preserve">and </w:t>
      </w:r>
      <w:r w:rsidR="00E80FFF" w:rsidRPr="00884E77">
        <w:rPr>
          <w:smallCaps/>
        </w:rPr>
        <w:t xml:space="preserve">Derrick Bell, </w:t>
      </w:r>
      <w:r w:rsidR="009F58B4" w:rsidRPr="00884E77">
        <w:rPr>
          <w:smallCaps/>
        </w:rPr>
        <w:t>And We Are Not Saved: The Elusive Quest for Racial Justice</w:t>
      </w:r>
      <w:r w:rsidR="009F58B4">
        <w:t xml:space="preserve"> (</w:t>
      </w:r>
      <w:r w:rsidR="00884E77">
        <w:t xml:space="preserve">1987). </w:t>
      </w:r>
      <w:r w:rsidR="00C62445">
        <w:t>As it was for these pioneers, the medium of storytelling</w:t>
      </w:r>
      <w:r w:rsidR="001509D0" w:rsidRPr="001F57B5">
        <w:t xml:space="preserve"> is </w:t>
      </w:r>
      <w:r w:rsidR="00C62445">
        <w:t xml:space="preserve">part of my </w:t>
      </w:r>
      <w:r w:rsidR="001509D0" w:rsidRPr="001F57B5">
        <w:t xml:space="preserve">message: </w:t>
      </w:r>
      <w:r w:rsidR="00914731">
        <w:t>P</w:t>
      </w:r>
      <w:r w:rsidR="001509D0" w:rsidRPr="001F57B5">
        <w:t>ersonal experiences of joy</w:t>
      </w:r>
      <w:r w:rsidR="00CF704F">
        <w:t>, including my own joy</w:t>
      </w:r>
      <w:r w:rsidR="00B810EC">
        <w:t xml:space="preserve"> as a transgender woman,</w:t>
      </w:r>
      <w:r w:rsidR="001509D0" w:rsidRPr="001F57B5">
        <w:t xml:space="preserve"> are relevant</w:t>
      </w:r>
      <w:r w:rsidR="00C62445">
        <w:t xml:space="preserve"> to</w:t>
      </w:r>
      <w:r w:rsidR="001509D0" w:rsidRPr="001F57B5">
        <w:t xml:space="preserve"> and deserve consideration and space in legal discussions.</w:t>
      </w:r>
      <w:r w:rsidR="00CD1D22">
        <w:t xml:space="preserve"> </w:t>
      </w:r>
      <w:r w:rsidR="00CD1D22">
        <w:rPr>
          <w:i/>
          <w:iCs/>
        </w:rPr>
        <w:t>See</w:t>
      </w:r>
      <w:r w:rsidR="00CD1D22">
        <w:t xml:space="preserve"> Farber &amp; Sherry, </w:t>
      </w:r>
      <w:r w:rsidR="00CD1D22">
        <w:rPr>
          <w:i/>
          <w:iCs/>
        </w:rPr>
        <w:t>supra</w:t>
      </w:r>
      <w:r w:rsidR="00CD1D22">
        <w:t xml:space="preserve">, at </w:t>
      </w:r>
      <w:r w:rsidR="00F742B6">
        <w:t>42–44.</w:t>
      </w:r>
    </w:p>
    <w:p w14:paraId="7F96BFF1" w14:textId="1004471F" w:rsidR="001B7732" w:rsidRPr="00C447F5" w:rsidRDefault="001B7732" w:rsidP="001B7732">
      <w:pPr>
        <w:pStyle w:val="FootnoteText"/>
        <w:ind w:firstLine="540"/>
      </w:pPr>
      <w:r>
        <w:t xml:space="preserve">A final note on methodology: </w:t>
      </w:r>
      <w:r w:rsidR="00B76FD9">
        <w:t xml:space="preserve">Throughout this article, </w:t>
      </w:r>
      <w:r w:rsidR="00A52D04">
        <w:t>I</w:t>
      </w:r>
      <w:r w:rsidR="00A42D22">
        <w:t xml:space="preserve"> develop legal arguments based </w:t>
      </w:r>
      <w:r w:rsidR="00EA00DE">
        <w:t xml:space="preserve">on </w:t>
      </w:r>
      <w:r w:rsidR="00B3340F">
        <w:t xml:space="preserve">theology, </w:t>
      </w:r>
      <w:r w:rsidR="005F3AC0">
        <w:rPr>
          <w:i/>
          <w:iCs/>
        </w:rPr>
        <w:t>see infra</w:t>
      </w:r>
      <w:r w:rsidR="005F3AC0">
        <w:t xml:space="preserve"> notes </w:t>
      </w:r>
      <w:r w:rsidR="00FA485E">
        <w:fldChar w:fldCharType="begin"/>
      </w:r>
      <w:r w:rsidR="00FA485E">
        <w:instrText xml:space="preserve"> NOTEREF _Ref172818201 \h </w:instrText>
      </w:r>
      <w:r w:rsidR="00FA485E">
        <w:fldChar w:fldCharType="separate"/>
      </w:r>
      <w:r w:rsidR="00FA485E">
        <w:t>36</w:t>
      </w:r>
      <w:r w:rsidR="00FA485E">
        <w:fldChar w:fldCharType="end"/>
      </w:r>
      <w:r w:rsidR="00FA485E">
        <w:t>–</w:t>
      </w:r>
      <w:r w:rsidR="00FA485E">
        <w:fldChar w:fldCharType="begin"/>
      </w:r>
      <w:r w:rsidR="00FA485E">
        <w:instrText xml:space="preserve"> NOTEREF _Ref184893456 \h </w:instrText>
      </w:r>
      <w:r w:rsidR="00FA485E">
        <w:fldChar w:fldCharType="separate"/>
      </w:r>
      <w:r w:rsidR="00FA485E">
        <w:t>47</w:t>
      </w:r>
      <w:r w:rsidR="00FA485E">
        <w:fldChar w:fldCharType="end"/>
      </w:r>
      <w:r w:rsidR="00FA485E">
        <w:t>;</w:t>
      </w:r>
      <w:r w:rsidR="005F3AC0">
        <w:rPr>
          <w:i/>
          <w:iCs/>
        </w:rPr>
        <w:t xml:space="preserve"> </w:t>
      </w:r>
      <w:r w:rsidR="0095605E">
        <w:t xml:space="preserve">anthropology, </w:t>
      </w:r>
      <w:r w:rsidR="0095605E">
        <w:rPr>
          <w:i/>
          <w:iCs/>
        </w:rPr>
        <w:t>see infra</w:t>
      </w:r>
      <w:r w:rsidR="0095605E">
        <w:t xml:space="preserve"> notes </w:t>
      </w:r>
      <w:r w:rsidR="00586DF0">
        <w:fldChar w:fldCharType="begin"/>
      </w:r>
      <w:r w:rsidR="00586DF0">
        <w:instrText xml:space="preserve"> NOTEREF _Ref184893341 \h </w:instrText>
      </w:r>
      <w:r w:rsidR="00586DF0">
        <w:fldChar w:fldCharType="separate"/>
      </w:r>
      <w:r w:rsidR="00586DF0">
        <w:t>63</w:t>
      </w:r>
      <w:r w:rsidR="00586DF0">
        <w:fldChar w:fldCharType="end"/>
      </w:r>
      <w:r w:rsidR="00586DF0">
        <w:t>–</w:t>
      </w:r>
      <w:r w:rsidR="00586DF0">
        <w:fldChar w:fldCharType="begin"/>
      </w:r>
      <w:r w:rsidR="00586DF0">
        <w:instrText xml:space="preserve"> NOTEREF _Ref184893355 \h </w:instrText>
      </w:r>
      <w:r w:rsidR="00586DF0">
        <w:fldChar w:fldCharType="separate"/>
      </w:r>
      <w:r w:rsidR="00586DF0">
        <w:t>72</w:t>
      </w:r>
      <w:r w:rsidR="00586DF0">
        <w:fldChar w:fldCharType="end"/>
      </w:r>
      <w:r w:rsidR="00586DF0">
        <w:t>;</w:t>
      </w:r>
      <w:r w:rsidR="00A52D04">
        <w:t xml:space="preserve"> </w:t>
      </w:r>
      <w:r w:rsidR="00FA485E">
        <w:t xml:space="preserve">philosophy, </w:t>
      </w:r>
      <w:r w:rsidR="00FA485E">
        <w:rPr>
          <w:i/>
          <w:iCs/>
        </w:rPr>
        <w:t>see infra</w:t>
      </w:r>
      <w:r w:rsidR="00FA485E">
        <w:t xml:space="preserve"> notes </w:t>
      </w:r>
      <w:r w:rsidR="00F34F02">
        <w:fldChar w:fldCharType="begin"/>
      </w:r>
      <w:r w:rsidR="00F34F02">
        <w:instrText xml:space="preserve"> NOTEREF _Ref175048567 \h </w:instrText>
      </w:r>
      <w:r w:rsidR="00F34F02">
        <w:fldChar w:fldCharType="separate"/>
      </w:r>
      <w:r w:rsidR="00F34F02">
        <w:t>105</w:t>
      </w:r>
      <w:r w:rsidR="00F34F02">
        <w:fldChar w:fldCharType="end"/>
      </w:r>
      <w:r w:rsidR="003956E0">
        <w:t>–</w:t>
      </w:r>
      <w:r w:rsidR="00F34F02">
        <w:fldChar w:fldCharType="begin"/>
      </w:r>
      <w:r w:rsidR="00F34F02">
        <w:instrText xml:space="preserve"> NOTEREF _Ref174702448 \h </w:instrText>
      </w:r>
      <w:r w:rsidR="00F34F02">
        <w:fldChar w:fldCharType="separate"/>
      </w:r>
      <w:r w:rsidR="00F34F02">
        <w:t>114</w:t>
      </w:r>
      <w:r w:rsidR="00F34F02">
        <w:fldChar w:fldCharType="end"/>
      </w:r>
      <w:r w:rsidR="003956E0">
        <w:t xml:space="preserve">, </w:t>
      </w:r>
      <w:r w:rsidR="003956E0">
        <w:fldChar w:fldCharType="begin"/>
      </w:r>
      <w:r w:rsidR="003956E0">
        <w:instrText xml:space="preserve"> NOTEREF _Ref184893536 \h </w:instrText>
      </w:r>
      <w:r w:rsidR="003956E0">
        <w:fldChar w:fldCharType="separate"/>
      </w:r>
      <w:r w:rsidR="003956E0">
        <w:t>133</w:t>
      </w:r>
      <w:r w:rsidR="003956E0">
        <w:fldChar w:fldCharType="end"/>
      </w:r>
      <w:r w:rsidR="003956E0">
        <w:t>–</w:t>
      </w:r>
      <w:r w:rsidR="003956E0">
        <w:fldChar w:fldCharType="begin"/>
      </w:r>
      <w:r w:rsidR="003956E0">
        <w:instrText xml:space="preserve"> NOTEREF _Ref184893551 \h </w:instrText>
      </w:r>
      <w:r w:rsidR="003956E0">
        <w:fldChar w:fldCharType="separate"/>
      </w:r>
      <w:r w:rsidR="003956E0">
        <w:t>153</w:t>
      </w:r>
      <w:r w:rsidR="003956E0">
        <w:fldChar w:fldCharType="end"/>
      </w:r>
      <w:r w:rsidR="003956E0">
        <w:t>;</w:t>
      </w:r>
      <w:r w:rsidR="00FA485E">
        <w:rPr>
          <w:i/>
          <w:iCs/>
        </w:rPr>
        <w:t xml:space="preserve"> </w:t>
      </w:r>
      <w:r w:rsidR="00A52D04">
        <w:t xml:space="preserve">literature, </w:t>
      </w:r>
      <w:r w:rsidR="00A52D04">
        <w:rPr>
          <w:i/>
          <w:iCs/>
        </w:rPr>
        <w:t>see infra</w:t>
      </w:r>
      <w:r w:rsidR="00A52D04">
        <w:t xml:space="preserve"> notes </w:t>
      </w:r>
      <w:r w:rsidR="00B3340F">
        <w:fldChar w:fldCharType="begin"/>
      </w:r>
      <w:r w:rsidR="00B3340F">
        <w:instrText xml:space="preserve"> NOTEREF _Ref174702456 \h </w:instrText>
      </w:r>
      <w:r w:rsidR="00B3340F">
        <w:fldChar w:fldCharType="separate"/>
      </w:r>
      <w:r w:rsidR="00B3340F">
        <w:t>115</w:t>
      </w:r>
      <w:r w:rsidR="00B3340F">
        <w:fldChar w:fldCharType="end"/>
      </w:r>
      <w:r w:rsidR="00B3340F">
        <w:t>–</w:t>
      </w:r>
      <w:r w:rsidR="00B3340F">
        <w:fldChar w:fldCharType="begin"/>
      </w:r>
      <w:r w:rsidR="00B3340F">
        <w:instrText xml:space="preserve"> NOTEREF _Ref174702479 \h </w:instrText>
      </w:r>
      <w:r w:rsidR="00B3340F">
        <w:fldChar w:fldCharType="separate"/>
      </w:r>
      <w:r w:rsidR="00B3340F">
        <w:t>132</w:t>
      </w:r>
      <w:r w:rsidR="00B3340F">
        <w:fldChar w:fldCharType="end"/>
      </w:r>
      <w:r w:rsidR="00B3340F">
        <w:t xml:space="preserve">; </w:t>
      </w:r>
      <w:r w:rsidR="003A5EFD">
        <w:t xml:space="preserve">and psychology, </w:t>
      </w:r>
      <w:r w:rsidR="003A5EFD">
        <w:rPr>
          <w:i/>
          <w:iCs/>
        </w:rPr>
        <w:t>see infra</w:t>
      </w:r>
      <w:r w:rsidR="003A5EFD">
        <w:t xml:space="preserve"> notes </w:t>
      </w:r>
      <w:r w:rsidR="00FD34FD">
        <w:fldChar w:fldCharType="begin"/>
      </w:r>
      <w:r w:rsidR="00FD34FD">
        <w:instrText xml:space="preserve"> NOTEREF _Ref184893617 \h </w:instrText>
      </w:r>
      <w:r w:rsidR="00FD34FD">
        <w:fldChar w:fldCharType="separate"/>
      </w:r>
      <w:r w:rsidR="00FD34FD">
        <w:t>325</w:t>
      </w:r>
      <w:r w:rsidR="00FD34FD">
        <w:fldChar w:fldCharType="end"/>
      </w:r>
      <w:r w:rsidR="00FD34FD">
        <w:t>–</w:t>
      </w:r>
      <w:r w:rsidR="00FD34FD" w:rsidRPr="00FD34FD">
        <w:rPr>
          <w:highlight w:val="yellow"/>
        </w:rPr>
        <w:t>X</w:t>
      </w:r>
      <w:r w:rsidR="00FD34FD">
        <w:t xml:space="preserve">. </w:t>
      </w:r>
      <w:r w:rsidR="00BC76CF">
        <w:t>As with narrative storytelling, my</w:t>
      </w:r>
      <w:r w:rsidR="008836DA">
        <w:t xml:space="preserve"> reliance upon insights from</w:t>
      </w:r>
      <w:r w:rsidR="00BC76CF">
        <w:t xml:space="preserve"> extra-legal </w:t>
      </w:r>
      <w:r w:rsidR="00906047">
        <w:t>disciplines</w:t>
      </w:r>
      <w:r w:rsidR="006F7719">
        <w:t xml:space="preserve"> indicates my belief in</w:t>
      </w:r>
      <w:r w:rsidR="00906047">
        <w:t xml:space="preserve"> the</w:t>
      </w:r>
      <w:r w:rsidR="008836DA">
        <w:t>ir</w:t>
      </w:r>
      <w:r w:rsidR="006F7719">
        <w:t xml:space="preserve"> relevance</w:t>
      </w:r>
      <w:r w:rsidR="00EA00DE">
        <w:t xml:space="preserve"> </w:t>
      </w:r>
      <w:r w:rsidR="006F7719">
        <w:t>to legal scholarship</w:t>
      </w:r>
      <w:r w:rsidR="00E84EE3">
        <w:t xml:space="preserve"> and, more fundamentally,</w:t>
      </w:r>
      <w:r w:rsidR="00581CFB">
        <w:t xml:space="preserve"> my conception of “the law” as</w:t>
      </w:r>
      <w:r w:rsidR="008A5768">
        <w:t xml:space="preserve"> one among many</w:t>
      </w:r>
      <w:r w:rsidR="00105291">
        <w:t xml:space="preserve"> overlapping and</w:t>
      </w:r>
      <w:r w:rsidR="008A5768">
        <w:t xml:space="preserve"> equally valid means of </w:t>
      </w:r>
      <w:r w:rsidR="00666936">
        <w:t>navigating</w:t>
      </w:r>
      <w:r w:rsidR="00055B3C">
        <w:t xml:space="preserve"> and seeking to improve the human experience.</w:t>
      </w:r>
      <w:r w:rsidR="00105291">
        <w:t xml:space="preserve"> </w:t>
      </w:r>
      <w:r w:rsidR="00EC57E5">
        <w:t>[</w:t>
      </w:r>
      <w:r w:rsidR="00EC57E5" w:rsidRPr="00EC57E5">
        <w:rPr>
          <w:highlight w:val="yellow"/>
        </w:rPr>
        <w:t>cite—Marcuse? Cohen? West? Mezey?</w:t>
      </w:r>
      <w:r w:rsidR="00EC57E5">
        <w:t xml:space="preserve">]. </w:t>
      </w:r>
      <w:r w:rsidR="0059765A">
        <w:t xml:space="preserve">That said, </w:t>
      </w:r>
      <w:r w:rsidR="00666936">
        <w:t xml:space="preserve">I claim no expertise in any of these </w:t>
      </w:r>
      <w:r w:rsidR="000F3A01">
        <w:t>disciplines and offer their insights</w:t>
      </w:r>
      <w:r w:rsidR="00F855BE">
        <w:t xml:space="preserve"> </w:t>
      </w:r>
      <w:r w:rsidR="009546F8">
        <w:t>solely to facilitate</w:t>
      </w:r>
      <w:r w:rsidR="00C94272">
        <w:t xml:space="preserve"> </w:t>
      </w:r>
      <w:r w:rsidR="0059765A">
        <w:t>legal scholarship</w:t>
      </w:r>
      <w:r w:rsidR="00C94272">
        <w:t xml:space="preserve">, not as substantive interventions </w:t>
      </w:r>
      <w:r w:rsidR="0059765A">
        <w:t xml:space="preserve">in the respective fields. </w:t>
      </w:r>
      <w:r w:rsidR="00DF6667">
        <w:t xml:space="preserve">While I have done my best to reproduce </w:t>
      </w:r>
      <w:r w:rsidR="00C447F5">
        <w:t xml:space="preserve">these insights accurately from those who </w:t>
      </w:r>
      <w:r w:rsidR="00C447F5">
        <w:rPr>
          <w:i/>
          <w:iCs/>
        </w:rPr>
        <w:t>are</w:t>
      </w:r>
      <w:r w:rsidR="00C447F5">
        <w:t xml:space="preserve"> experts, any errors are of course my own.</w:t>
      </w:r>
    </w:p>
  </w:footnote>
  <w:footnote w:id="8">
    <w:p w14:paraId="3CF7A386" w14:textId="6887DB25" w:rsidR="009F6B26" w:rsidRPr="009F6B26" w:rsidRDefault="009F6B26">
      <w:pPr>
        <w:pStyle w:val="FootnoteText"/>
      </w:pPr>
      <w:r>
        <w:rPr>
          <w:rStyle w:val="FootnoteReference"/>
        </w:rPr>
        <w:footnoteRef/>
      </w:r>
      <w:r>
        <w:t xml:space="preserve"> U.S. Const. </w:t>
      </w:r>
      <w:r w:rsidR="008006EC">
        <w:t xml:space="preserve">Amend. V, XIV. </w:t>
      </w:r>
      <w:r w:rsidR="00E957ED">
        <w:t xml:space="preserve">At least for purposes of substantive due process analysis, which is my focus here, the </w:t>
      </w:r>
      <w:r w:rsidR="006C61AE">
        <w:t xml:space="preserve">Supreme Court </w:t>
      </w:r>
      <w:r w:rsidR="00DB603F">
        <w:t xml:space="preserve">treats the </w:t>
      </w:r>
      <w:r w:rsidR="00D57D21">
        <w:t>C</w:t>
      </w:r>
      <w:r w:rsidR="00DB603F">
        <w:t xml:space="preserve">lauses the same. </w:t>
      </w:r>
      <w:r w:rsidR="00DB603F">
        <w:rPr>
          <w:i/>
          <w:iCs/>
        </w:rPr>
        <w:t>See, e.g.</w:t>
      </w:r>
      <w:r w:rsidR="00DB603F">
        <w:t xml:space="preserve">, </w:t>
      </w:r>
      <w:proofErr w:type="spellStart"/>
      <w:r w:rsidR="00862117">
        <w:t>Dep</w:t>
      </w:r>
      <w:r w:rsidR="004876FD">
        <w:t>’t</w:t>
      </w:r>
      <w:proofErr w:type="spellEnd"/>
      <w:r w:rsidR="00DB603F">
        <w:t xml:space="preserve"> of State v. Mu</w:t>
      </w:r>
      <w:r w:rsidR="00DB603F">
        <w:rPr>
          <w:rFonts w:ascii="Times New Roman" w:hAnsi="Times New Roman"/>
        </w:rPr>
        <w:t xml:space="preserve">ñoz, 144 S. Ct. 1812, 1821–22 (2024) (applying the </w:t>
      </w:r>
      <w:r w:rsidR="00E3787C">
        <w:rPr>
          <w:rFonts w:ascii="Times New Roman" w:hAnsi="Times New Roman"/>
        </w:rPr>
        <w:t>holding</w:t>
      </w:r>
      <w:r w:rsidR="00DB603F">
        <w:rPr>
          <w:rFonts w:ascii="Times New Roman" w:hAnsi="Times New Roman"/>
        </w:rPr>
        <w:t xml:space="preserve"> of </w:t>
      </w:r>
      <w:r w:rsidR="00DB603F">
        <w:rPr>
          <w:rFonts w:ascii="Times New Roman" w:hAnsi="Times New Roman"/>
          <w:i/>
          <w:iCs/>
        </w:rPr>
        <w:t>Washington v. Glucksberg</w:t>
      </w:r>
      <w:r w:rsidR="00DB603F">
        <w:rPr>
          <w:rFonts w:ascii="Times New Roman" w:hAnsi="Times New Roman"/>
        </w:rPr>
        <w:t xml:space="preserve">, 521 U.S. 702, 720–721 (1997), a Fourteenth Amendment substantive due process case, to Fifth Amendment substantive due process claim). </w:t>
      </w:r>
      <w:r w:rsidR="00D57D21">
        <w:rPr>
          <w:rFonts w:ascii="Times New Roman" w:hAnsi="Times New Roman"/>
        </w:rPr>
        <w:t>F</w:t>
      </w:r>
      <w:r w:rsidR="00DB603F">
        <w:rPr>
          <w:rFonts w:ascii="Times New Roman" w:hAnsi="Times New Roman"/>
        </w:rPr>
        <w:t>or the sake of clarity, the singular “Due Process Clause” refer</w:t>
      </w:r>
      <w:r w:rsidR="00086734">
        <w:rPr>
          <w:rFonts w:ascii="Times New Roman" w:hAnsi="Times New Roman"/>
        </w:rPr>
        <w:t>s</w:t>
      </w:r>
      <w:r w:rsidR="00DB603F">
        <w:rPr>
          <w:rFonts w:ascii="Times New Roman" w:hAnsi="Times New Roman"/>
        </w:rPr>
        <w:t xml:space="preserve"> to both Clauses for the remainder of the article unless </w:t>
      </w:r>
      <w:r w:rsidR="000A06B3">
        <w:rPr>
          <w:rFonts w:ascii="Times New Roman" w:hAnsi="Times New Roman"/>
        </w:rPr>
        <w:t xml:space="preserve">I </w:t>
      </w:r>
      <w:r w:rsidR="00086734">
        <w:rPr>
          <w:rFonts w:ascii="Times New Roman" w:hAnsi="Times New Roman"/>
        </w:rPr>
        <w:t xml:space="preserve">explicitly </w:t>
      </w:r>
      <w:r w:rsidR="000A06B3">
        <w:rPr>
          <w:rFonts w:ascii="Times New Roman" w:hAnsi="Times New Roman"/>
        </w:rPr>
        <w:t>indicate otherwise</w:t>
      </w:r>
      <w:r w:rsidR="00DB603F">
        <w:rPr>
          <w:rFonts w:ascii="Times New Roman" w:hAnsi="Times New Roman"/>
        </w:rPr>
        <w:t>.</w:t>
      </w:r>
    </w:p>
  </w:footnote>
  <w:footnote w:id="9">
    <w:p w14:paraId="419885B3" w14:textId="6AD21418" w:rsidR="00D851DC" w:rsidRPr="005B5894" w:rsidRDefault="00D851DC">
      <w:pPr>
        <w:pStyle w:val="FootnoteText"/>
      </w:pPr>
      <w:r>
        <w:rPr>
          <w:rStyle w:val="FootnoteReference"/>
        </w:rPr>
        <w:footnoteRef/>
      </w:r>
      <w:r>
        <w:t xml:space="preserve"> </w:t>
      </w:r>
      <w:r w:rsidR="0033092D">
        <w:t>Throughout this article, I use the singular they/the</w:t>
      </w:r>
      <w:r w:rsidR="00C821BA">
        <w:t>m</w:t>
      </w:r>
      <w:r w:rsidR="0033092D">
        <w:t xml:space="preserve">/theirs as </w:t>
      </w:r>
      <w:r w:rsidR="00C821BA">
        <w:t>the</w:t>
      </w:r>
      <w:r w:rsidR="0033092D">
        <w:t xml:space="preserve"> indefinite pronoun</w:t>
      </w:r>
      <w:r w:rsidR="00A74B52">
        <w:t xml:space="preserve"> to facilitate </w:t>
      </w:r>
      <w:r w:rsidR="008405C2">
        <w:t xml:space="preserve">the </w:t>
      </w:r>
      <w:r w:rsidR="00A74B52">
        <w:t xml:space="preserve">inclusion of people of all </w:t>
      </w:r>
      <w:r w:rsidR="008405C2">
        <w:t>genders, including nonbinary and agender people</w:t>
      </w:r>
      <w:r w:rsidR="00A74B52">
        <w:t>.</w:t>
      </w:r>
      <w:r w:rsidR="008405C2">
        <w:t xml:space="preserve"> </w:t>
      </w:r>
      <w:r w:rsidR="008405C2">
        <w:rPr>
          <w:i/>
          <w:iCs/>
        </w:rPr>
        <w:t>See</w:t>
      </w:r>
      <w:r w:rsidR="008405C2">
        <w:t xml:space="preserve"> </w:t>
      </w:r>
      <w:r w:rsidR="00E62669">
        <w:t xml:space="preserve">Purdue Online Writing Library (OWL), </w:t>
      </w:r>
      <w:r w:rsidR="00E62669">
        <w:rPr>
          <w:i/>
          <w:iCs/>
        </w:rPr>
        <w:t>Gendered Pronouns &amp; Singular “They</w:t>
      </w:r>
      <w:r w:rsidR="00E62669" w:rsidRPr="00E62669">
        <w:t>,</w:t>
      </w:r>
      <w:r w:rsidR="00E62669">
        <w:rPr>
          <w:i/>
          <w:iCs/>
        </w:rPr>
        <w:t>”</w:t>
      </w:r>
      <w:r w:rsidR="00E62669">
        <w:t xml:space="preserve"> </w:t>
      </w:r>
      <w:hyperlink r:id="rId2" w:history="1">
        <w:r w:rsidR="002525FC" w:rsidRPr="00022C1B">
          <w:rPr>
            <w:rStyle w:val="Hyperlink"/>
          </w:rPr>
          <w:t>https://owl.purdue.edu/owl/general_writing/grammar/pronouns/gendered_pronouns_and_singular_they.html</w:t>
        </w:r>
      </w:hyperlink>
      <w:r w:rsidR="002525FC">
        <w:t xml:space="preserve"> [</w:t>
      </w:r>
      <w:r w:rsidR="00F53D19" w:rsidRPr="00F53D19">
        <w:t>https://perma.cc/25Q2-3CD5</w:t>
      </w:r>
      <w:r w:rsidR="00F53D19">
        <w:t>]</w:t>
      </w:r>
      <w:r w:rsidR="002525FC">
        <w:t xml:space="preserve"> (accessed Dec. 10, 2024)</w:t>
      </w:r>
      <w:r w:rsidR="005B5894">
        <w:t xml:space="preserve">; </w:t>
      </w:r>
      <w:r w:rsidR="005B5894">
        <w:rPr>
          <w:i/>
          <w:iCs/>
        </w:rPr>
        <w:t>see also</w:t>
      </w:r>
      <w:r w:rsidR="005B5894">
        <w:t xml:space="preserve"> Jessica A. Clarke, </w:t>
      </w:r>
      <w:r w:rsidR="005B5894">
        <w:rPr>
          <w:i/>
          <w:iCs/>
        </w:rPr>
        <w:t>They, Them, and Theirs</w:t>
      </w:r>
      <w:r w:rsidR="005B5894">
        <w:t xml:space="preserve">, 132 </w:t>
      </w:r>
      <w:r w:rsidR="005B5894" w:rsidRPr="00982159">
        <w:rPr>
          <w:smallCaps/>
        </w:rPr>
        <w:t>Harv. L. Rev.</w:t>
      </w:r>
      <w:r w:rsidR="005B5894">
        <w:t xml:space="preserve"> 894, </w:t>
      </w:r>
      <w:r w:rsidR="00982159">
        <w:t>897–98 (2019).</w:t>
      </w:r>
    </w:p>
  </w:footnote>
  <w:footnote w:id="10">
    <w:p w14:paraId="3584C115" w14:textId="06EB8319" w:rsidR="00C24C0D" w:rsidRPr="00C24C0D" w:rsidRDefault="00C24C0D">
      <w:pPr>
        <w:pStyle w:val="FootnoteText"/>
        <w:rPr>
          <w:i/>
          <w:iCs/>
        </w:rPr>
      </w:pPr>
      <w:r>
        <w:rPr>
          <w:rStyle w:val="FootnoteReference"/>
        </w:rPr>
        <w:footnoteRef/>
      </w:r>
      <w:r>
        <w:t xml:space="preserve"> </w:t>
      </w:r>
      <w:r>
        <w:rPr>
          <w:i/>
          <w:iCs/>
        </w:rPr>
        <w:t>E.g.</w:t>
      </w:r>
      <w:r>
        <w:t xml:space="preserve">, Lawrence v. Texas, </w:t>
      </w:r>
      <w:r w:rsidR="0030767D">
        <w:t xml:space="preserve">539 U.S. 558, </w:t>
      </w:r>
      <w:r w:rsidR="00E54741">
        <w:t>565 (2003) (“</w:t>
      </w:r>
      <w:r w:rsidR="00E3022B">
        <w:t>[T]</w:t>
      </w:r>
      <w:r w:rsidR="00142695" w:rsidRPr="00142695">
        <w:t>he protection of liberty under the Due Process Clause has a substantive dimension of fundamental significance in defining the rights of the person.</w:t>
      </w:r>
      <w:r w:rsidR="00142695">
        <w:t>”).</w:t>
      </w:r>
    </w:p>
  </w:footnote>
  <w:footnote w:id="11">
    <w:p w14:paraId="11DBB6F4" w14:textId="50F961AB" w:rsidR="00E135E8" w:rsidRPr="00745496" w:rsidRDefault="00E135E8">
      <w:pPr>
        <w:pStyle w:val="FootnoteText"/>
      </w:pPr>
      <w:r>
        <w:rPr>
          <w:rStyle w:val="FootnoteReference"/>
        </w:rPr>
        <w:footnoteRef/>
      </w:r>
      <w:r>
        <w:t xml:space="preserve"> </w:t>
      </w:r>
      <w:r w:rsidR="00745496">
        <w:rPr>
          <w:i/>
          <w:iCs/>
        </w:rPr>
        <w:t>See</w:t>
      </w:r>
      <w:r w:rsidR="00745496">
        <w:t xml:space="preserve"> Jamal Greene, </w:t>
      </w:r>
      <w:r w:rsidR="00745496">
        <w:rPr>
          <w:i/>
          <w:iCs/>
        </w:rPr>
        <w:t xml:space="preserve">The </w:t>
      </w:r>
      <w:proofErr w:type="spellStart"/>
      <w:r w:rsidR="00745496">
        <w:rPr>
          <w:i/>
          <w:iCs/>
        </w:rPr>
        <w:t>Meming</w:t>
      </w:r>
      <w:proofErr w:type="spellEnd"/>
      <w:r w:rsidR="00745496">
        <w:rPr>
          <w:i/>
          <w:iCs/>
        </w:rPr>
        <w:t xml:space="preserve"> of Substantive Due Process</w:t>
      </w:r>
      <w:r w:rsidR="00745496">
        <w:t xml:space="preserve">, 31 </w:t>
      </w:r>
      <w:r w:rsidR="00745496" w:rsidRPr="00CD213C">
        <w:rPr>
          <w:smallCaps/>
        </w:rPr>
        <w:t>Const. Comment.</w:t>
      </w:r>
      <w:r w:rsidR="00745496">
        <w:t xml:space="preserve"> 253, </w:t>
      </w:r>
      <w:r w:rsidR="00E912FE">
        <w:t>259–61 (</w:t>
      </w:r>
      <w:r w:rsidR="00412B3B">
        <w:t>2016).</w:t>
      </w:r>
    </w:p>
  </w:footnote>
  <w:footnote w:id="12">
    <w:p w14:paraId="65E4F00C" w14:textId="5DB37C76" w:rsidR="009532CC" w:rsidRDefault="009532CC">
      <w:pPr>
        <w:pStyle w:val="FootnoteText"/>
      </w:pPr>
      <w:r>
        <w:rPr>
          <w:rStyle w:val="FootnoteReference"/>
        </w:rPr>
        <w:footnoteRef/>
      </w:r>
      <w:r>
        <w:t xml:space="preserve"> </w:t>
      </w:r>
      <w:r w:rsidR="00D725A6">
        <w:rPr>
          <w:i/>
          <w:iCs/>
        </w:rPr>
        <w:t xml:space="preserve">See </w:t>
      </w:r>
      <w:r w:rsidR="008C34BA" w:rsidRPr="00D725A6">
        <w:rPr>
          <w:smallCaps/>
        </w:rPr>
        <w:t xml:space="preserve">Madiba Dennie, The Originalism Trap: How Extremists Stole </w:t>
      </w:r>
      <w:r w:rsidR="00D725A6" w:rsidRPr="00D725A6">
        <w:rPr>
          <w:smallCaps/>
        </w:rPr>
        <w:t>the Constitution and How We the People Can Take it Back</w:t>
      </w:r>
      <w:r w:rsidR="00D725A6">
        <w:rPr>
          <w:smallCaps/>
        </w:rPr>
        <w:t xml:space="preserve"> </w:t>
      </w:r>
      <w:r w:rsidR="00E07DCA">
        <w:rPr>
          <w:smallCaps/>
        </w:rPr>
        <w:t>4–5</w:t>
      </w:r>
      <w:r w:rsidR="00D725A6">
        <w:t xml:space="preserve"> (2024).</w:t>
      </w:r>
    </w:p>
  </w:footnote>
  <w:footnote w:id="13">
    <w:p w14:paraId="6538AE54" w14:textId="73C02AF3" w:rsidR="00C20B28" w:rsidRDefault="003C5D56">
      <w:pPr>
        <w:pStyle w:val="FootnoteText"/>
        <w:rPr>
          <w:rFonts w:ascii="Times New Roman" w:hAnsi="Times New Roman"/>
        </w:rPr>
      </w:pPr>
      <w:r>
        <w:rPr>
          <w:rStyle w:val="FootnoteReference"/>
        </w:rPr>
        <w:footnoteRef/>
      </w:r>
      <w:r>
        <w:t xml:space="preserve"> </w:t>
      </w:r>
      <w:r w:rsidR="00877695">
        <w:rPr>
          <w:i/>
          <w:iCs/>
        </w:rPr>
        <w:t>See, e</w:t>
      </w:r>
      <w:r>
        <w:rPr>
          <w:i/>
          <w:iCs/>
        </w:rPr>
        <w:t>.g.</w:t>
      </w:r>
      <w:r>
        <w:t xml:space="preserve">, </w:t>
      </w:r>
      <w:proofErr w:type="spellStart"/>
      <w:r>
        <w:t>Dep’t</w:t>
      </w:r>
      <w:proofErr w:type="spellEnd"/>
      <w:r>
        <w:t xml:space="preserve"> of State v. Mu</w:t>
      </w:r>
      <w:r>
        <w:rPr>
          <w:rFonts w:ascii="Times New Roman" w:hAnsi="Times New Roman"/>
        </w:rPr>
        <w:t xml:space="preserve">ñoz, </w:t>
      </w:r>
      <w:r w:rsidR="00E56794">
        <w:rPr>
          <w:rFonts w:ascii="Times New Roman" w:hAnsi="Times New Roman"/>
        </w:rPr>
        <w:t>602 U.S. 899</w:t>
      </w:r>
      <w:r w:rsidR="00877695">
        <w:rPr>
          <w:rFonts w:ascii="Times New Roman" w:hAnsi="Times New Roman"/>
        </w:rPr>
        <w:t>, 911–12 (2024)</w:t>
      </w:r>
      <w:r w:rsidR="00B67483">
        <w:rPr>
          <w:rFonts w:ascii="Times New Roman" w:hAnsi="Times New Roman"/>
        </w:rPr>
        <w:t xml:space="preserve">. Madiba Dennie’s </w:t>
      </w:r>
      <w:r w:rsidR="002A52B7">
        <w:rPr>
          <w:rFonts w:ascii="Times New Roman" w:hAnsi="Times New Roman"/>
        </w:rPr>
        <w:t>explication</w:t>
      </w:r>
      <w:r w:rsidR="00B67483">
        <w:rPr>
          <w:rFonts w:ascii="Times New Roman" w:hAnsi="Times New Roman"/>
        </w:rPr>
        <w:t xml:space="preserve"> of </w:t>
      </w:r>
      <w:r w:rsidR="00590C2E">
        <w:rPr>
          <w:rFonts w:ascii="Times New Roman" w:hAnsi="Times New Roman"/>
        </w:rPr>
        <w:t xml:space="preserve">the </w:t>
      </w:r>
      <w:r w:rsidR="00C20B28">
        <w:rPr>
          <w:rFonts w:ascii="Times New Roman" w:hAnsi="Times New Roman"/>
        </w:rPr>
        <w:t xml:space="preserve">Court’s </w:t>
      </w:r>
      <w:r w:rsidR="00590C2E">
        <w:rPr>
          <w:rFonts w:ascii="Times New Roman" w:hAnsi="Times New Roman"/>
        </w:rPr>
        <w:t>choice to elevate historical</w:t>
      </w:r>
      <w:r w:rsidR="00C20B28">
        <w:rPr>
          <w:rFonts w:ascii="Times New Roman" w:hAnsi="Times New Roman"/>
        </w:rPr>
        <w:t xml:space="preserve"> over contemporary humans is worth quoting at some length:</w:t>
      </w:r>
    </w:p>
    <w:p w14:paraId="62EDE92E" w14:textId="20BC92D4" w:rsidR="00C20B28" w:rsidRDefault="00C20B28" w:rsidP="00C20B28">
      <w:pPr>
        <w:pStyle w:val="FootnoteText"/>
        <w:ind w:left="720" w:firstLine="0"/>
        <w:rPr>
          <w:rFonts w:ascii="Times New Roman" w:hAnsi="Times New Roman"/>
        </w:rPr>
      </w:pPr>
      <w:r>
        <w:rPr>
          <w:rFonts w:ascii="Times New Roman" w:hAnsi="Times New Roman"/>
        </w:rPr>
        <w:t>Basically, the [</w:t>
      </w:r>
      <w:r>
        <w:rPr>
          <w:rFonts w:ascii="Times New Roman" w:hAnsi="Times New Roman"/>
          <w:i/>
          <w:iCs/>
        </w:rPr>
        <w:t>Dred Scott v. Sandford</w:t>
      </w:r>
      <w:r>
        <w:rPr>
          <w:rFonts w:ascii="Times New Roman" w:hAnsi="Times New Roman"/>
        </w:rPr>
        <w:t>]</w:t>
      </w:r>
      <w:r>
        <w:rPr>
          <w:rFonts w:ascii="Times New Roman" w:hAnsi="Times New Roman"/>
          <w:i/>
          <w:iCs/>
        </w:rPr>
        <w:t xml:space="preserve"> </w:t>
      </w:r>
      <w:r>
        <w:rPr>
          <w:rFonts w:ascii="Times New Roman" w:hAnsi="Times New Roman"/>
        </w:rPr>
        <w:t xml:space="preserve">Court reasoned that it had to pick between protecting the historical choices and reputations of the Framers and protecting the human dignity of Black people. They decided that the reputational injury inflicted by acknowledging and repairing tears in our national fabric outweighed the degradation of Black lives. </w:t>
      </w:r>
      <w:r>
        <w:rPr>
          <w:rFonts w:ascii="Times New Roman" w:hAnsi="Times New Roman"/>
          <w:i/>
          <w:iCs/>
        </w:rPr>
        <w:t>Dobbs</w:t>
      </w:r>
      <w:r>
        <w:rPr>
          <w:rFonts w:ascii="Times New Roman" w:hAnsi="Times New Roman"/>
        </w:rPr>
        <w:t xml:space="preserve"> [</w:t>
      </w:r>
      <w:r>
        <w:rPr>
          <w:rFonts w:ascii="Times New Roman" w:hAnsi="Times New Roman"/>
          <w:i/>
          <w:iCs/>
        </w:rPr>
        <w:t>v. Jackson Whole Women’s Health</w:t>
      </w:r>
      <w:r>
        <w:rPr>
          <w:rFonts w:ascii="Times New Roman" w:hAnsi="Times New Roman"/>
        </w:rPr>
        <w:t>] engages in the same</w:t>
      </w:r>
      <w:r w:rsidR="00EE6F82">
        <w:rPr>
          <w:rFonts w:ascii="Times New Roman" w:hAnsi="Times New Roman"/>
        </w:rPr>
        <w:t xml:space="preserve"> behavior by requiring that we analyze pregnant people’s legal rights through the blatantly bigoted lens of the late-eighteenth and early</w:t>
      </w:r>
      <w:r w:rsidR="00E35C12">
        <w:rPr>
          <w:rFonts w:ascii="Times New Roman" w:hAnsi="Times New Roman"/>
        </w:rPr>
        <w:t>-</w:t>
      </w:r>
      <w:r w:rsidR="00EE6F82">
        <w:rPr>
          <w:rFonts w:ascii="Times New Roman" w:hAnsi="Times New Roman"/>
        </w:rPr>
        <w:t>nineteenth</w:t>
      </w:r>
      <w:r w:rsidR="00E35C12">
        <w:rPr>
          <w:rFonts w:ascii="Times New Roman" w:hAnsi="Times New Roman"/>
        </w:rPr>
        <w:t xml:space="preserve"> </w:t>
      </w:r>
      <w:r w:rsidR="00EE6F82">
        <w:rPr>
          <w:rFonts w:ascii="Times New Roman" w:hAnsi="Times New Roman"/>
        </w:rPr>
        <w:t>centuries</w:t>
      </w:r>
      <w:r w:rsidR="00353420">
        <w:rPr>
          <w:rFonts w:ascii="Times New Roman" w:hAnsi="Times New Roman"/>
        </w:rPr>
        <w:t>[.]</w:t>
      </w:r>
      <w:r w:rsidR="00EE6F82">
        <w:rPr>
          <w:rFonts w:ascii="Times New Roman" w:hAnsi="Times New Roman"/>
        </w:rPr>
        <w:t xml:space="preserve"> </w:t>
      </w:r>
    </w:p>
    <w:p w14:paraId="3E964EFC" w14:textId="28300690" w:rsidR="003C5D56" w:rsidRPr="00D725A6" w:rsidRDefault="00D054DE">
      <w:pPr>
        <w:pStyle w:val="FootnoteText"/>
      </w:pPr>
      <w:r>
        <w:rPr>
          <w:rFonts w:ascii="Times New Roman" w:hAnsi="Times New Roman"/>
        </w:rPr>
        <w:t xml:space="preserve"> </w:t>
      </w:r>
      <w:r w:rsidR="00D725A6" w:rsidRPr="00353420">
        <w:rPr>
          <w:rFonts w:ascii="Times New Roman" w:hAnsi="Times New Roman"/>
          <w:smallCaps/>
        </w:rPr>
        <w:t>Dennie</w:t>
      </w:r>
      <w:r w:rsidR="00D725A6">
        <w:rPr>
          <w:rFonts w:ascii="Times New Roman" w:hAnsi="Times New Roman"/>
        </w:rPr>
        <w:t xml:space="preserve">, </w:t>
      </w:r>
      <w:r w:rsidR="00D725A6">
        <w:rPr>
          <w:rFonts w:ascii="Times New Roman" w:hAnsi="Times New Roman"/>
          <w:i/>
          <w:iCs/>
        </w:rPr>
        <w:t>supra</w:t>
      </w:r>
      <w:r w:rsidR="00D725A6">
        <w:rPr>
          <w:rFonts w:ascii="Times New Roman" w:hAnsi="Times New Roman"/>
        </w:rPr>
        <w:t xml:space="preserve"> note </w:t>
      </w:r>
      <w:r w:rsidR="00D725A6">
        <w:rPr>
          <w:rFonts w:ascii="Times New Roman" w:hAnsi="Times New Roman"/>
        </w:rPr>
        <w:fldChar w:fldCharType="begin"/>
      </w:r>
      <w:r w:rsidR="00D725A6">
        <w:rPr>
          <w:rFonts w:ascii="Times New Roman" w:hAnsi="Times New Roman"/>
        </w:rPr>
        <w:instrText xml:space="preserve"> NOTEREF _Ref184741631 \h </w:instrText>
      </w:r>
      <w:r w:rsidR="00D725A6">
        <w:rPr>
          <w:rFonts w:ascii="Times New Roman" w:hAnsi="Times New Roman"/>
        </w:rPr>
      </w:r>
      <w:r w:rsidR="00D725A6">
        <w:rPr>
          <w:rFonts w:ascii="Times New Roman" w:hAnsi="Times New Roman"/>
        </w:rPr>
        <w:fldChar w:fldCharType="separate"/>
      </w:r>
      <w:r w:rsidR="00D725A6">
        <w:rPr>
          <w:rFonts w:ascii="Times New Roman" w:hAnsi="Times New Roman"/>
        </w:rPr>
        <w:t>10</w:t>
      </w:r>
      <w:r w:rsidR="00D725A6">
        <w:rPr>
          <w:rFonts w:ascii="Times New Roman" w:hAnsi="Times New Roman"/>
        </w:rPr>
        <w:fldChar w:fldCharType="end"/>
      </w:r>
      <w:r w:rsidR="00D725A6">
        <w:rPr>
          <w:rFonts w:ascii="Times New Roman" w:hAnsi="Times New Roman"/>
        </w:rPr>
        <w:t>, at</w:t>
      </w:r>
      <w:r w:rsidR="004F6B11">
        <w:rPr>
          <w:rFonts w:ascii="Times New Roman" w:hAnsi="Times New Roman"/>
        </w:rPr>
        <w:t xml:space="preserve"> </w:t>
      </w:r>
      <w:r w:rsidR="004A543F">
        <w:rPr>
          <w:rFonts w:ascii="Times New Roman" w:hAnsi="Times New Roman"/>
        </w:rPr>
        <w:t>90–92</w:t>
      </w:r>
      <w:r w:rsidR="00353420">
        <w:rPr>
          <w:rFonts w:ascii="Times New Roman" w:hAnsi="Times New Roman"/>
        </w:rPr>
        <w:t>.</w:t>
      </w:r>
    </w:p>
  </w:footnote>
  <w:footnote w:id="14">
    <w:p w14:paraId="3B9C425E" w14:textId="6B9A700B" w:rsidR="00A15723" w:rsidRPr="00A15723" w:rsidRDefault="00A15723">
      <w:pPr>
        <w:pStyle w:val="FootnoteText"/>
      </w:pPr>
      <w:r>
        <w:rPr>
          <w:rStyle w:val="FootnoteReference"/>
        </w:rPr>
        <w:footnoteRef/>
      </w:r>
      <w:r>
        <w:t xml:space="preserve"> </w:t>
      </w:r>
      <w:r>
        <w:rPr>
          <w:i/>
          <w:iCs/>
        </w:rPr>
        <w:t xml:space="preserve">See </w:t>
      </w:r>
      <w:proofErr w:type="gramStart"/>
      <w:r>
        <w:rPr>
          <w:i/>
          <w:iCs/>
        </w:rPr>
        <w:t>infra</w:t>
      </w:r>
      <w:r>
        <w:t xml:space="preserve"> Part</w:t>
      </w:r>
      <w:proofErr w:type="gramEnd"/>
      <w:r>
        <w:t xml:space="preserve"> I.A.</w:t>
      </w:r>
    </w:p>
  </w:footnote>
  <w:footnote w:id="15">
    <w:p w14:paraId="75DB1DA5" w14:textId="48A8A96A" w:rsidR="008E3C38" w:rsidRDefault="007039C6" w:rsidP="00B927C3">
      <w:pPr>
        <w:pStyle w:val="FootnoteText"/>
      </w:pPr>
      <w:r>
        <w:rPr>
          <w:rStyle w:val="FootnoteReference"/>
        </w:rPr>
        <w:footnoteRef/>
      </w:r>
      <w:r>
        <w:t xml:space="preserve"> </w:t>
      </w:r>
      <w:r w:rsidR="00B927C3">
        <w:t xml:space="preserve">Transgender is “[a]n umbrella term for people whose gender identity and/or gender expression differs from what is typically associated with the sex they were assigned at birth.” Clarke, </w:t>
      </w:r>
      <w:r w:rsidR="00B927C3">
        <w:rPr>
          <w:i/>
          <w:iCs/>
        </w:rPr>
        <w:t>supra</w:t>
      </w:r>
      <w:r w:rsidR="00B927C3">
        <w:t xml:space="preserve"> note </w:t>
      </w:r>
      <w:r w:rsidR="00B927C3">
        <w:fldChar w:fldCharType="begin"/>
      </w:r>
      <w:r w:rsidR="00B927C3">
        <w:instrText xml:space="preserve"> NOTEREF _Ref184724873 \h </w:instrText>
      </w:r>
      <w:r w:rsidR="00B927C3">
        <w:fldChar w:fldCharType="separate"/>
      </w:r>
      <w:r w:rsidR="00B927C3">
        <w:t>7</w:t>
      </w:r>
      <w:r w:rsidR="00B927C3">
        <w:fldChar w:fldCharType="end"/>
      </w:r>
      <w:r w:rsidR="00B927C3">
        <w:t xml:space="preserve">, at </w:t>
      </w:r>
      <w:r w:rsidR="00D56332">
        <w:t>897–98 (internal quotation omitted).</w:t>
      </w:r>
      <w:r w:rsidR="000E4713">
        <w:t xml:space="preserve"> I include “gender-nonconforming” here to recognize that not all individuals whose gender identity or expression does not conform with societal expectations </w:t>
      </w:r>
      <w:r w:rsidR="00C9217F">
        <w:t xml:space="preserve">identify as transgender. </w:t>
      </w:r>
      <w:r w:rsidR="00C9217F">
        <w:rPr>
          <w:i/>
          <w:iCs/>
        </w:rPr>
        <w:t>See id.</w:t>
      </w:r>
      <w:r w:rsidR="008E3C38">
        <w:t xml:space="preserve"> </w:t>
      </w:r>
      <w:r w:rsidR="00C9217F">
        <w:t>at 898 &amp; n.13</w:t>
      </w:r>
      <w:r w:rsidR="00D3695C">
        <w:t xml:space="preserve">; </w:t>
      </w:r>
      <w:r w:rsidR="00D3695C">
        <w:rPr>
          <w:i/>
          <w:iCs/>
        </w:rPr>
        <w:t>see also</w:t>
      </w:r>
      <w:r w:rsidR="00D3695C">
        <w:t xml:space="preserve"> Dean Spade, </w:t>
      </w:r>
      <w:r w:rsidR="00D3695C">
        <w:rPr>
          <w:i/>
          <w:iCs/>
        </w:rPr>
        <w:t>Resisting Medicine, Re/modeling Gender</w:t>
      </w:r>
      <w:r w:rsidR="00D3695C">
        <w:t xml:space="preserve">, </w:t>
      </w:r>
      <w:r w:rsidR="00EB4282">
        <w:t xml:space="preserve">18 </w:t>
      </w:r>
      <w:r w:rsidR="00EB4282" w:rsidRPr="00E94FF0">
        <w:rPr>
          <w:smallCaps/>
        </w:rPr>
        <w:t>Berkeley Women’s L.J.</w:t>
      </w:r>
      <w:r w:rsidR="00EB4282">
        <w:t xml:space="preserve"> </w:t>
      </w:r>
      <w:r w:rsidR="00E94FF0">
        <w:t xml:space="preserve">15, </w:t>
      </w:r>
      <w:r w:rsidR="00EB4282">
        <w:t>25–26 (2003)</w:t>
      </w:r>
      <w:r w:rsidR="00E94FF0">
        <w:t xml:space="preserve"> (discussing discursive </w:t>
      </w:r>
      <w:r w:rsidR="00851C72">
        <w:t xml:space="preserve">function of medical diagnostic criteria for “gender identity disorder”—now gender dysphoria—in </w:t>
      </w:r>
      <w:r w:rsidR="00636202">
        <w:t>constructing binary gender</w:t>
      </w:r>
      <w:r w:rsidR="007F4846">
        <w:t xml:space="preserve"> roles</w:t>
      </w:r>
      <w:r w:rsidR="00636202">
        <w:t>)</w:t>
      </w:r>
      <w:r w:rsidR="00C9217F">
        <w:t xml:space="preserve">. </w:t>
      </w:r>
    </w:p>
    <w:p w14:paraId="2C34EE0B" w14:textId="68C37CCE" w:rsidR="007039C6" w:rsidRPr="00C9217F" w:rsidRDefault="008E3C38" w:rsidP="008E3C38">
      <w:pPr>
        <w:pStyle w:val="FootnoteText"/>
        <w:ind w:firstLine="540"/>
      </w:pPr>
      <w:r>
        <w:t>For clarity and conciseness, I use “transgender”</w:t>
      </w:r>
      <w:r w:rsidR="00805136">
        <w:t xml:space="preserve"> or “trans” interchangeably to refer to all gender-nonconforming people unless otherwise indicated</w:t>
      </w:r>
      <w:r w:rsidR="00F46736">
        <w:t xml:space="preserve"> for the remainder of this article</w:t>
      </w:r>
      <w:r w:rsidR="00805136">
        <w:t>.</w:t>
      </w:r>
      <w:r>
        <w:t xml:space="preserve"> </w:t>
      </w:r>
    </w:p>
  </w:footnote>
  <w:footnote w:id="16">
    <w:p w14:paraId="65685EE4" w14:textId="7F322732" w:rsidR="0077791A" w:rsidRDefault="0077791A">
      <w:pPr>
        <w:pStyle w:val="FootnoteText"/>
      </w:pPr>
      <w:r>
        <w:rPr>
          <w:rStyle w:val="FootnoteReference"/>
        </w:rPr>
        <w:footnoteRef/>
      </w:r>
      <w:r>
        <w:t xml:space="preserve"> On gender-affirming healthcare for minors generally, see </w:t>
      </w:r>
      <w:r w:rsidRPr="0041361B">
        <w:rPr>
          <w:smallCaps/>
        </w:rPr>
        <w:t xml:space="preserve">Jack Turban, </w:t>
      </w:r>
      <w:r w:rsidR="0041361B" w:rsidRPr="0041361B">
        <w:rPr>
          <w:smallCaps/>
        </w:rPr>
        <w:t>Free to Be: Understanding Kids &amp; Gender Identity</w:t>
      </w:r>
      <w:r w:rsidR="0041361B">
        <w:t xml:space="preserve"> (2024).</w:t>
      </w:r>
    </w:p>
  </w:footnote>
  <w:footnote w:id="17">
    <w:p w14:paraId="3D2FFCEB" w14:textId="41BEF062" w:rsidR="0001453B" w:rsidRPr="00387117" w:rsidRDefault="0001453B">
      <w:pPr>
        <w:pStyle w:val="FootnoteText"/>
      </w:pPr>
      <w:r>
        <w:rPr>
          <w:rStyle w:val="FootnoteReference"/>
        </w:rPr>
        <w:footnoteRef/>
      </w:r>
      <w:r>
        <w:t xml:space="preserve"> Advocates have </w:t>
      </w:r>
      <w:r w:rsidR="000B268D">
        <w:t>argued</w:t>
      </w:r>
      <w:r>
        <w:t xml:space="preserve"> that </w:t>
      </w:r>
      <w:r>
        <w:rPr>
          <w:i/>
          <w:iCs/>
        </w:rPr>
        <w:t>parents</w:t>
      </w:r>
      <w:r>
        <w:t xml:space="preserve"> have a fundamental due process right to </w:t>
      </w:r>
      <w:r w:rsidR="00387117">
        <w:t>control the medical treatment their children receive</w:t>
      </w:r>
      <w:r w:rsidR="000B268D">
        <w:t>.</w:t>
      </w:r>
      <w:r w:rsidR="00387117">
        <w:t xml:space="preserve"> </w:t>
      </w:r>
      <w:r w:rsidR="00387117">
        <w:rPr>
          <w:i/>
          <w:iCs/>
        </w:rPr>
        <w:t>See</w:t>
      </w:r>
      <w:r w:rsidR="00387117">
        <w:t xml:space="preserve"> </w:t>
      </w:r>
      <w:r w:rsidR="00BB3E2B">
        <w:t>Complaint</w:t>
      </w:r>
      <w:r w:rsidR="009A44BA">
        <w:t xml:space="preserve"> ¶¶ 78–83</w:t>
      </w:r>
      <w:r w:rsidR="00BB3E2B">
        <w:t xml:space="preserve">, </w:t>
      </w:r>
      <w:r w:rsidR="008954F5">
        <w:t xml:space="preserve">Doe v. Thornbury, </w:t>
      </w:r>
      <w:r w:rsidR="008150D7">
        <w:t>679 F. Supp. 3d 576 (W.D. Ky. 2023</w:t>
      </w:r>
      <w:r w:rsidR="0008251D">
        <w:t>), No. 3:23-cv-230</w:t>
      </w:r>
      <w:r w:rsidR="00387117">
        <w:t xml:space="preserve">. </w:t>
      </w:r>
      <w:r w:rsidR="00BE416C">
        <w:t>I address the inadequacy of this argument below in Part III.</w:t>
      </w:r>
    </w:p>
  </w:footnote>
  <w:footnote w:id="18">
    <w:p w14:paraId="192413AD" w14:textId="4613968F" w:rsidR="00387117" w:rsidRDefault="00387117">
      <w:pPr>
        <w:pStyle w:val="FootnoteText"/>
      </w:pPr>
      <w:r>
        <w:rPr>
          <w:rStyle w:val="FootnoteReference"/>
        </w:rPr>
        <w:footnoteRef/>
      </w:r>
      <w:r>
        <w:t xml:space="preserve"> </w:t>
      </w:r>
      <w:r w:rsidR="00C447AB">
        <w:rPr>
          <w:i/>
          <w:iCs/>
        </w:rPr>
        <w:t>See</w:t>
      </w:r>
      <w:r w:rsidR="0043485B">
        <w:t xml:space="preserve"> United States v. </w:t>
      </w:r>
      <w:proofErr w:type="spellStart"/>
      <w:r w:rsidR="0043485B">
        <w:t>Skrmetti</w:t>
      </w:r>
      <w:proofErr w:type="spellEnd"/>
      <w:r w:rsidR="0043485B">
        <w:t xml:space="preserve">, 144 S. Ct. 2679 (2024); </w:t>
      </w:r>
      <w:r w:rsidR="001A4E01">
        <w:t xml:space="preserve">Amy Howe, </w:t>
      </w:r>
      <w:r w:rsidR="001A4E01">
        <w:rPr>
          <w:i/>
          <w:iCs/>
        </w:rPr>
        <w:t xml:space="preserve">Supreme Court </w:t>
      </w:r>
      <w:r w:rsidR="005D52A1">
        <w:rPr>
          <w:i/>
          <w:iCs/>
        </w:rPr>
        <w:t>to Hear Challenge to Ban on Transgender Health Care for Minors</w:t>
      </w:r>
      <w:r w:rsidR="003C65F4">
        <w:t xml:space="preserve"> (</w:t>
      </w:r>
      <w:proofErr w:type="spellStart"/>
      <w:r w:rsidR="003C65F4">
        <w:t>SCOTUSblog</w:t>
      </w:r>
      <w:proofErr w:type="spellEnd"/>
      <w:r w:rsidR="003C65F4">
        <w:t xml:space="preserve"> Dec. 3</w:t>
      </w:r>
      <w:proofErr w:type="gramStart"/>
      <w:r w:rsidR="003C65F4">
        <w:t xml:space="preserve"> 2024</w:t>
      </w:r>
      <w:proofErr w:type="gramEnd"/>
      <w:r w:rsidR="003C65F4">
        <w:t xml:space="preserve">, 3:11 P.M.), </w:t>
      </w:r>
      <w:r w:rsidR="003C65F4" w:rsidRPr="00FB32A7">
        <w:t>https://www.scotusblog.com/2024/12/supreme-court-to-hear-challenge-to-ban-on-transgender-health-care-for-minors/</w:t>
      </w:r>
      <w:r w:rsidR="003C65F4">
        <w:t xml:space="preserve"> </w:t>
      </w:r>
      <w:r w:rsidR="00F25A1A">
        <w:t>[</w:t>
      </w:r>
      <w:r w:rsidR="00F25A1A" w:rsidRPr="00F25A1A">
        <w:t>https://perma.cc/8PCN-RENJ</w:t>
      </w:r>
      <w:r w:rsidR="00F25A1A">
        <w:t>].</w:t>
      </w:r>
    </w:p>
    <w:p w14:paraId="750513F6" w14:textId="3E87C0A8" w:rsidR="00FB32A7" w:rsidRPr="003C65F4" w:rsidRDefault="00467DF5" w:rsidP="00FB32A7">
      <w:pPr>
        <w:pStyle w:val="FootnoteText"/>
        <w:ind w:firstLine="540"/>
      </w:pPr>
      <w:r>
        <w:t xml:space="preserve">Other scholars have </w:t>
      </w:r>
      <w:r w:rsidR="0084350B">
        <w:t>ably evaluated</w:t>
      </w:r>
      <w:r>
        <w:t xml:space="preserve"> the equal protection aspects</w:t>
      </w:r>
      <w:r w:rsidR="00C71EF3">
        <w:t xml:space="preserve"> of gender-affirming care bans</w:t>
      </w:r>
      <w:r w:rsidR="00874173">
        <w:t xml:space="preserve">. </w:t>
      </w:r>
      <w:r w:rsidR="00874173">
        <w:rPr>
          <w:i/>
          <w:iCs/>
        </w:rPr>
        <w:t>See, e.g.</w:t>
      </w:r>
      <w:r w:rsidR="00874173">
        <w:t>, [</w:t>
      </w:r>
      <w:r w:rsidR="00874173" w:rsidRPr="00874173">
        <w:rPr>
          <w:highlight w:val="yellow"/>
        </w:rPr>
        <w:t>Eyer article, others</w:t>
      </w:r>
      <w:r w:rsidR="00874173">
        <w:t>].</w:t>
      </w:r>
      <w:r w:rsidR="00874173">
        <w:rPr>
          <w:i/>
          <w:iCs/>
        </w:rPr>
        <w:t xml:space="preserve"> </w:t>
      </w:r>
      <w:r w:rsidR="002E58F9">
        <w:t>I fully share their conclusion that gender-affirming care bans—whether only for minors or otherwise—violate the Equal Protection Clause as well as the Due Process Clause.</w:t>
      </w:r>
      <w:r w:rsidR="00DE5407">
        <w:t xml:space="preserve"> </w:t>
      </w:r>
    </w:p>
  </w:footnote>
  <w:footnote w:id="19">
    <w:p w14:paraId="3EEFF357" w14:textId="64098C8C" w:rsidR="00174245" w:rsidRPr="0090527E" w:rsidRDefault="00174245">
      <w:pPr>
        <w:pStyle w:val="FootnoteText"/>
      </w:pPr>
      <w:r>
        <w:rPr>
          <w:rStyle w:val="FootnoteReference"/>
        </w:rPr>
        <w:footnoteRef/>
      </w:r>
      <w:r>
        <w:t xml:space="preserve"> </w:t>
      </w:r>
      <w:r>
        <w:rPr>
          <w:i/>
          <w:iCs/>
        </w:rPr>
        <w:t>See, e.g.</w:t>
      </w:r>
      <w:r>
        <w:t xml:space="preserve">, </w:t>
      </w:r>
      <w:r w:rsidR="003140BC">
        <w:t>Robin</w:t>
      </w:r>
      <w:r w:rsidR="007D2876">
        <w:t xml:space="preserve"> L.</w:t>
      </w:r>
      <w:r w:rsidR="003140BC">
        <w:t xml:space="preserve"> West, </w:t>
      </w:r>
      <w:r w:rsidR="003140BC">
        <w:rPr>
          <w:i/>
          <w:iCs/>
        </w:rPr>
        <w:t>The Difference in Women’s Hedonic Lives: A Phenomenological Critique of Feminist Legal Theory</w:t>
      </w:r>
      <w:r w:rsidR="003140BC">
        <w:t xml:space="preserve">, </w:t>
      </w:r>
      <w:r w:rsidR="001258E5">
        <w:t xml:space="preserve">3 </w:t>
      </w:r>
      <w:r w:rsidR="001258E5" w:rsidRPr="000641B9">
        <w:rPr>
          <w:smallCaps/>
        </w:rPr>
        <w:t xml:space="preserve">Wis. </w:t>
      </w:r>
      <w:r w:rsidR="00F135EB" w:rsidRPr="000641B9">
        <w:rPr>
          <w:smallCaps/>
        </w:rPr>
        <w:t>Women’s L.J.</w:t>
      </w:r>
      <w:r w:rsidR="00F135EB">
        <w:t xml:space="preserve"> 81, </w:t>
      </w:r>
      <w:r w:rsidR="00512B3E">
        <w:t>142</w:t>
      </w:r>
      <w:r w:rsidR="001E1E07">
        <w:t>–</w:t>
      </w:r>
      <w:r w:rsidR="00E428BA">
        <w:t>45</w:t>
      </w:r>
      <w:r w:rsidR="00F135EB">
        <w:t xml:space="preserve"> (1987)</w:t>
      </w:r>
      <w:r w:rsidR="00E428BA">
        <w:t xml:space="preserve"> (“We should aim, simply, to increase women’s happines</w:t>
      </w:r>
      <w:r w:rsidR="002B1BA7">
        <w:t>s, joy, and pleasure, and to lessen women’s suffering, misery, and pain. As feminist legal critics we could employ this standard: a law is a good law if it makes our lives happier and less painful and a bad law if it makes us miserable, or stabilizes the conditions that cause our suffering.”)</w:t>
      </w:r>
      <w:r w:rsidR="00F135EB">
        <w:t>;</w:t>
      </w:r>
      <w:r w:rsidR="00A32126">
        <w:t xml:space="preserve"> </w:t>
      </w:r>
      <w:r w:rsidR="00C85000" w:rsidRPr="00D763F7">
        <w:rPr>
          <w:smallCaps/>
        </w:rPr>
        <w:t>Catharine MacKinnon, Feminism Unmodified: Discourses on Life and Law</w:t>
      </w:r>
      <w:r w:rsidR="00C85000">
        <w:t xml:space="preserve"> 9–10 (“</w:t>
      </w:r>
      <w:r w:rsidR="00D53C8E">
        <w:t xml:space="preserve">If it does not track bloody footprints across </w:t>
      </w:r>
      <w:r w:rsidR="00375FDE">
        <w:t>your desk, it is probably not about women. Feminism</w:t>
      </w:r>
      <w:r w:rsidR="00707546">
        <w:t xml:space="preserve">, the discipline of this reality, refuses to abstract itself </w:t>
      </w:r>
      <w:proofErr w:type="gramStart"/>
      <w:r w:rsidR="00707546">
        <w:t>in order to</w:t>
      </w:r>
      <w:proofErr w:type="gramEnd"/>
      <w:r w:rsidR="00707546">
        <w:t xml:space="preserve"> be recognized as a real (that is, axiomatic</w:t>
      </w:r>
      <w:r w:rsidR="002A7888">
        <w:t>)</w:t>
      </w:r>
      <w:r w:rsidR="00707546">
        <w:t xml:space="preserve"> theory</w:t>
      </w:r>
      <w:r w:rsidR="002A7888">
        <w:t>.”).</w:t>
      </w:r>
      <w:r w:rsidR="00C85000">
        <w:t xml:space="preserve"> </w:t>
      </w:r>
      <w:proofErr w:type="spellStart"/>
      <w:r w:rsidR="009E2B3C">
        <w:t>Kimberl</w:t>
      </w:r>
      <w:r w:rsidR="00C86559">
        <w:rPr>
          <w:rFonts w:ascii="Times New Roman" w:hAnsi="Times New Roman"/>
        </w:rPr>
        <w:t>é</w:t>
      </w:r>
      <w:proofErr w:type="spellEnd"/>
      <w:r w:rsidR="00C86559">
        <w:rPr>
          <w:rFonts w:ascii="Times New Roman" w:hAnsi="Times New Roman"/>
        </w:rPr>
        <w:t xml:space="preserve"> Williams</w:t>
      </w:r>
      <w:r w:rsidR="009E2B3C">
        <w:t xml:space="preserve"> Crenshaw, </w:t>
      </w:r>
      <w:r w:rsidR="00C86559">
        <w:rPr>
          <w:i/>
          <w:iCs/>
        </w:rPr>
        <w:t xml:space="preserve">Race, Reform, and </w:t>
      </w:r>
      <w:proofErr w:type="spellStart"/>
      <w:r w:rsidR="00C86559">
        <w:rPr>
          <w:i/>
          <w:iCs/>
        </w:rPr>
        <w:t>Retrentchment</w:t>
      </w:r>
      <w:proofErr w:type="spellEnd"/>
      <w:r w:rsidR="00C86559">
        <w:rPr>
          <w:i/>
          <w:iCs/>
        </w:rPr>
        <w:t xml:space="preserve">: </w:t>
      </w:r>
      <w:r w:rsidR="005237D5">
        <w:rPr>
          <w:i/>
          <w:iCs/>
        </w:rPr>
        <w:t>Transformation and Legitimation in Antidiscrimination Law</w:t>
      </w:r>
      <w:r w:rsidR="005237D5">
        <w:t xml:space="preserve">, 101 </w:t>
      </w:r>
      <w:r w:rsidR="005237D5" w:rsidRPr="005237D5">
        <w:rPr>
          <w:smallCaps/>
        </w:rPr>
        <w:t>Harv. L. Rev.</w:t>
      </w:r>
      <w:r w:rsidR="005237D5">
        <w:t xml:space="preserve"> 1331, </w:t>
      </w:r>
      <w:r w:rsidR="001B7FEC">
        <w:t xml:space="preserve">1369–81 </w:t>
      </w:r>
      <w:r w:rsidR="00BA5626">
        <w:t>(198</w:t>
      </w:r>
      <w:r w:rsidR="000641B9">
        <w:t>8) (critiquing critical legal scholars for failing to account for reality of race consciousness</w:t>
      </w:r>
      <w:r w:rsidR="006C3D89">
        <w:t xml:space="preserve"> in maintaining hegemony); </w:t>
      </w:r>
      <w:r w:rsidR="0090527E" w:rsidRPr="00962732">
        <w:rPr>
          <w:smallCaps/>
        </w:rPr>
        <w:t>Davis</w:t>
      </w:r>
      <w:r w:rsidR="0090527E">
        <w:t xml:space="preserve">, </w:t>
      </w:r>
      <w:r w:rsidR="0090527E">
        <w:rPr>
          <w:i/>
          <w:iCs/>
        </w:rPr>
        <w:t>supra</w:t>
      </w:r>
      <w:r w:rsidR="0090527E">
        <w:t xml:space="preserve"> note </w:t>
      </w:r>
      <w:r w:rsidR="0090527E">
        <w:fldChar w:fldCharType="begin"/>
      </w:r>
      <w:r w:rsidR="0090527E">
        <w:instrText xml:space="preserve"> NOTEREF _Ref184733882 \h </w:instrText>
      </w:r>
      <w:r w:rsidR="0090527E">
        <w:fldChar w:fldCharType="separate"/>
      </w:r>
      <w:r w:rsidR="0090527E">
        <w:t>5</w:t>
      </w:r>
      <w:r w:rsidR="0090527E">
        <w:fldChar w:fldCharType="end"/>
      </w:r>
      <w:r w:rsidR="0090527E">
        <w:t>, at 5 (“</w:t>
      </w:r>
      <w:r w:rsidR="004F6144">
        <w:t>My argument is t</w:t>
      </w:r>
      <w:r w:rsidR="00C32B4E">
        <w:t>hat family rights jurisprudence and the political discourse which it both reflects and shapes are enriched and clarified by Motivating Stories of slavery, antislavery, and Reconstruction.”);</w:t>
      </w:r>
      <w:r w:rsidR="00962732">
        <w:t xml:space="preserve"> </w:t>
      </w:r>
    </w:p>
  </w:footnote>
  <w:footnote w:id="20">
    <w:p w14:paraId="69BCEEAB" w14:textId="37D33624" w:rsidR="009023E1" w:rsidRPr="00B61F2C" w:rsidRDefault="009023E1">
      <w:pPr>
        <w:pStyle w:val="FootnoteText"/>
      </w:pPr>
      <w:r>
        <w:rPr>
          <w:rStyle w:val="FootnoteReference"/>
        </w:rPr>
        <w:footnoteRef/>
      </w:r>
      <w:r>
        <w:t xml:space="preserve"> </w:t>
      </w:r>
      <w:r>
        <w:rPr>
          <w:i/>
          <w:iCs/>
        </w:rPr>
        <w:t>See, e.g.</w:t>
      </w:r>
      <w:r>
        <w:t xml:space="preserve">, </w:t>
      </w:r>
      <w:proofErr w:type="spellStart"/>
      <w:r>
        <w:t>Kimberl</w:t>
      </w:r>
      <w:r>
        <w:rPr>
          <w:rFonts w:ascii="Times New Roman" w:hAnsi="Times New Roman"/>
        </w:rPr>
        <w:t>é</w:t>
      </w:r>
      <w:proofErr w:type="spellEnd"/>
      <w:r>
        <w:rPr>
          <w:rFonts w:ascii="Times New Roman" w:hAnsi="Times New Roman"/>
        </w:rPr>
        <w:t xml:space="preserve"> Williams</w:t>
      </w:r>
      <w:r>
        <w:t xml:space="preserve"> Crenshaw, </w:t>
      </w:r>
      <w:r>
        <w:rPr>
          <w:i/>
          <w:iCs/>
        </w:rPr>
        <w:t xml:space="preserve">Race, Reform, and </w:t>
      </w:r>
      <w:proofErr w:type="spellStart"/>
      <w:r>
        <w:rPr>
          <w:i/>
          <w:iCs/>
        </w:rPr>
        <w:t>Retrentchment</w:t>
      </w:r>
      <w:proofErr w:type="spellEnd"/>
      <w:r>
        <w:rPr>
          <w:i/>
          <w:iCs/>
        </w:rPr>
        <w:t>: Transformation and Legitimation in Antidiscrimination Law</w:t>
      </w:r>
      <w:r>
        <w:t xml:space="preserve">, 101 </w:t>
      </w:r>
      <w:r w:rsidRPr="005237D5">
        <w:rPr>
          <w:smallCaps/>
        </w:rPr>
        <w:t>Harv. L. Rev.</w:t>
      </w:r>
      <w:r>
        <w:t xml:space="preserve"> 1331, 1369–81 (1988) (critiquing critical legal scholars for failing to account for reality of race consciousness in maintaining hegemony); </w:t>
      </w:r>
      <w:r w:rsidRPr="00962732">
        <w:rPr>
          <w:smallCaps/>
        </w:rPr>
        <w:t>Davis</w:t>
      </w:r>
      <w:r>
        <w:t xml:space="preserve">, </w:t>
      </w:r>
      <w:r>
        <w:rPr>
          <w:i/>
          <w:iCs/>
        </w:rPr>
        <w:t>supra</w:t>
      </w:r>
      <w:r>
        <w:t xml:space="preserve"> note </w:t>
      </w:r>
      <w:r>
        <w:fldChar w:fldCharType="begin"/>
      </w:r>
      <w:r>
        <w:instrText xml:space="preserve"> NOTEREF _Ref184733882 \h </w:instrText>
      </w:r>
      <w:r>
        <w:fldChar w:fldCharType="separate"/>
      </w:r>
      <w:r>
        <w:t>5</w:t>
      </w:r>
      <w:r>
        <w:fldChar w:fldCharType="end"/>
      </w:r>
      <w:r>
        <w:t xml:space="preserve">, at 5 (“My argument is that family rights jurisprudence and the political discourse which it both reflects and shapes are enriched and clarified by Motivating Stories of slavery, antislavery, and Reconstruction.”); </w:t>
      </w:r>
      <w:r w:rsidR="00B61F2C">
        <w:t xml:space="preserve">Matsuda, </w:t>
      </w:r>
      <w:r w:rsidR="00B61F2C">
        <w:rPr>
          <w:i/>
          <w:iCs/>
        </w:rPr>
        <w:t>supra</w:t>
      </w:r>
      <w:r w:rsidR="00B61F2C">
        <w:t xml:space="preserve"> note </w:t>
      </w:r>
      <w:r w:rsidR="00B61F2C">
        <w:fldChar w:fldCharType="begin"/>
      </w:r>
      <w:r w:rsidR="00B61F2C">
        <w:instrText xml:space="preserve"> NOTEREF _Ref184733882 \h </w:instrText>
      </w:r>
      <w:r w:rsidR="00B61F2C">
        <w:fldChar w:fldCharType="separate"/>
      </w:r>
      <w:r w:rsidR="00B61F2C">
        <w:t>5</w:t>
      </w:r>
      <w:r w:rsidR="00B61F2C">
        <w:fldChar w:fldCharType="end"/>
      </w:r>
      <w:r w:rsidR="00B61F2C">
        <w:t>, at 2323–26 (labeling</w:t>
      </w:r>
      <w:r w:rsidR="00714A0B">
        <w:t xml:space="preserve"> attention to lived experiences “outsider jurisprudence”)</w:t>
      </w:r>
      <w:r w:rsidR="000C10F4">
        <w:t xml:space="preserve">; </w:t>
      </w:r>
      <w:r w:rsidR="000C10F4">
        <w:rPr>
          <w:i/>
          <w:iCs/>
        </w:rPr>
        <w:t>see also id.</w:t>
      </w:r>
      <w:r w:rsidR="000C10F4">
        <w:t xml:space="preserve"> 2323 n.17 (collecting similar sources)</w:t>
      </w:r>
      <w:r w:rsidR="00714A0B">
        <w:t>.</w:t>
      </w:r>
      <w:r w:rsidR="00B61F2C">
        <w:t xml:space="preserve"> </w:t>
      </w:r>
    </w:p>
  </w:footnote>
  <w:footnote w:id="21">
    <w:p w14:paraId="2BAC00DF" w14:textId="7CA99017" w:rsidR="007B44D5" w:rsidRPr="007B44D5" w:rsidRDefault="007B44D5">
      <w:pPr>
        <w:pStyle w:val="FootnoteText"/>
      </w:pPr>
      <w:r>
        <w:rPr>
          <w:rStyle w:val="FootnoteReference"/>
        </w:rPr>
        <w:footnoteRef/>
      </w:r>
      <w:r>
        <w:t xml:space="preserve"> </w:t>
      </w:r>
      <w:r>
        <w:rPr>
          <w:i/>
          <w:iCs/>
        </w:rPr>
        <w:t xml:space="preserve">See </w:t>
      </w:r>
      <w:proofErr w:type="gramStart"/>
      <w:r>
        <w:rPr>
          <w:i/>
          <w:iCs/>
        </w:rPr>
        <w:t>infra</w:t>
      </w:r>
      <w:r>
        <w:t xml:space="preserve"> Part II</w:t>
      </w:r>
      <w:proofErr w:type="gramEnd"/>
      <w:r>
        <w:t>.A.</w:t>
      </w:r>
    </w:p>
  </w:footnote>
  <w:footnote w:id="22">
    <w:p w14:paraId="617DC02E" w14:textId="640DDE64" w:rsidR="002170E2" w:rsidRPr="00C47FF5" w:rsidRDefault="002170E2">
      <w:pPr>
        <w:pStyle w:val="FootnoteText"/>
      </w:pPr>
      <w:r>
        <w:rPr>
          <w:rStyle w:val="FootnoteReference"/>
        </w:rPr>
        <w:footnoteRef/>
      </w:r>
      <w:r>
        <w:t xml:space="preserve"> </w:t>
      </w:r>
      <w:r w:rsidR="001B50C4">
        <w:rPr>
          <w:i/>
          <w:iCs/>
        </w:rPr>
        <w:t>See</w:t>
      </w:r>
      <w:r w:rsidR="001B50C4">
        <w:t xml:space="preserve"> </w:t>
      </w:r>
      <w:r w:rsidR="001B50C4" w:rsidRPr="00044E44">
        <w:rPr>
          <w:smallCaps/>
        </w:rPr>
        <w:t>Robin West</w:t>
      </w:r>
      <w:r w:rsidR="00044E44" w:rsidRPr="00044E44">
        <w:rPr>
          <w:smallCaps/>
        </w:rPr>
        <w:t>,</w:t>
      </w:r>
      <w:r w:rsidR="001B50C4" w:rsidRPr="00044E44">
        <w:rPr>
          <w:smallCaps/>
        </w:rPr>
        <w:t xml:space="preserve"> Normative Jurisprudence: An Introduction</w:t>
      </w:r>
      <w:r w:rsidR="001B50C4">
        <w:t xml:space="preserve"> </w:t>
      </w:r>
      <w:r w:rsidR="00044E44">
        <w:t>13–14</w:t>
      </w:r>
      <w:r w:rsidR="00D87414">
        <w:t>, 31–</w:t>
      </w:r>
      <w:r w:rsidR="00953F13">
        <w:t>3</w:t>
      </w:r>
      <w:r w:rsidR="00C47FF5">
        <w:t>4</w:t>
      </w:r>
      <w:r w:rsidR="00044E44">
        <w:t xml:space="preserve"> (2011) </w:t>
      </w:r>
      <w:r w:rsidR="00D15C63">
        <w:t xml:space="preserve">(tracing </w:t>
      </w:r>
      <w:r w:rsidR="00A944DD">
        <w:t xml:space="preserve">the tradition to Thomas Aquinas’s </w:t>
      </w:r>
      <w:r w:rsidR="00A944DD">
        <w:rPr>
          <w:i/>
          <w:iCs/>
        </w:rPr>
        <w:t>Summa Theological</w:t>
      </w:r>
      <w:r w:rsidR="00A944DD">
        <w:t xml:space="preserve"> </w:t>
      </w:r>
      <w:r w:rsidR="00352911">
        <w:t xml:space="preserve">in the thirteenth century). </w:t>
      </w:r>
      <w:r w:rsidR="00A91708">
        <w:t>This article is in part a response to Robin West’s call for</w:t>
      </w:r>
      <w:r w:rsidR="009B4E49">
        <w:t xml:space="preserve"> </w:t>
      </w:r>
      <w:r w:rsidR="00A91708">
        <w:t xml:space="preserve">a </w:t>
      </w:r>
      <w:r w:rsidR="0080520F">
        <w:t xml:space="preserve">progressive natural law jurisprudence that seeks to </w:t>
      </w:r>
      <w:r w:rsidR="009B4E49">
        <w:t xml:space="preserve">answer the </w:t>
      </w:r>
      <w:r w:rsidR="00AA53A5">
        <w:t>question</w:t>
      </w:r>
      <w:r w:rsidR="002F2C87">
        <w:t xml:space="preserve">, “What is the common good that law ought to promote, or that it must promote </w:t>
      </w:r>
      <w:r w:rsidR="00650597">
        <w:t>for it to be just?”</w:t>
      </w:r>
      <w:r w:rsidR="00C47FF5">
        <w:t xml:space="preserve"> </w:t>
      </w:r>
      <w:r w:rsidR="00C47FF5">
        <w:rPr>
          <w:i/>
          <w:iCs/>
        </w:rPr>
        <w:t>Id.</w:t>
      </w:r>
      <w:r w:rsidR="00C47FF5">
        <w:t xml:space="preserve"> at 34.</w:t>
      </w:r>
    </w:p>
  </w:footnote>
  <w:footnote w:id="23">
    <w:p w14:paraId="467E5B08" w14:textId="2B079D47" w:rsidR="0027494A" w:rsidRPr="00B8305D" w:rsidRDefault="0027494A" w:rsidP="0027494A">
      <w:pPr>
        <w:pStyle w:val="FootnoteText"/>
      </w:pPr>
      <w:r>
        <w:rPr>
          <w:rStyle w:val="FootnoteReference"/>
        </w:rPr>
        <w:footnoteRef/>
      </w:r>
      <w:r>
        <w:t xml:space="preserve"> This is a reference to </w:t>
      </w:r>
      <w:r w:rsidRPr="00BD70E9">
        <w:rPr>
          <w:smallCaps/>
        </w:rPr>
        <w:t>Inside Out</w:t>
      </w:r>
      <w:r w:rsidR="00BD70E9">
        <w:t xml:space="preserve"> (Pixar Animation Studios 2015)</w:t>
      </w:r>
      <w:r>
        <w:t xml:space="preserve"> and </w:t>
      </w:r>
      <w:r w:rsidRPr="00116DB3">
        <w:rPr>
          <w:smallCaps/>
        </w:rPr>
        <w:t xml:space="preserve">Inside Out </w:t>
      </w:r>
      <w:r w:rsidRPr="00BD70E9">
        <w:t>2</w:t>
      </w:r>
      <w:r w:rsidR="00BD70E9">
        <w:t xml:space="preserve"> (Pixar Animation Studios </w:t>
      </w:r>
      <w:r w:rsidR="00116DB3">
        <w:t>2024)</w:t>
      </w:r>
      <w:r>
        <w:t xml:space="preserve">, which </w:t>
      </w:r>
      <w:r w:rsidR="00065EA5">
        <w:t xml:space="preserve">inspired and clarified many of my </w:t>
      </w:r>
      <w:r>
        <w:t>ideas in this Part.</w:t>
      </w:r>
    </w:p>
  </w:footnote>
  <w:footnote w:id="24">
    <w:p w14:paraId="7F0143B3" w14:textId="2AA701E3" w:rsidR="001A339B" w:rsidRDefault="001A339B" w:rsidP="002E08D3">
      <w:pPr>
        <w:pStyle w:val="FootnoteText"/>
      </w:pPr>
      <w:r>
        <w:rPr>
          <w:rStyle w:val="FootnoteReference"/>
        </w:rPr>
        <w:footnoteRef/>
      </w:r>
      <w:r>
        <w:t xml:space="preserve"> </w:t>
      </w:r>
      <w:r w:rsidR="00837428" w:rsidRPr="00162B2A">
        <w:rPr>
          <w:smallCaps/>
        </w:rPr>
        <w:t xml:space="preserve">Fam. </w:t>
      </w:r>
      <w:proofErr w:type="spellStart"/>
      <w:r w:rsidR="00837428" w:rsidRPr="00162B2A">
        <w:rPr>
          <w:smallCaps/>
        </w:rPr>
        <w:t>Pol’y</w:t>
      </w:r>
      <w:proofErr w:type="spellEnd"/>
      <w:r w:rsidR="00837428" w:rsidRPr="00162B2A">
        <w:rPr>
          <w:smallCaps/>
        </w:rPr>
        <w:t xml:space="preserve"> All.</w:t>
      </w:r>
      <w:r w:rsidR="00837428">
        <w:t xml:space="preserve">, </w:t>
      </w:r>
      <w:r w:rsidR="002E08D3">
        <w:rPr>
          <w:i/>
          <w:iCs/>
        </w:rPr>
        <w:t>Help Not Harm</w:t>
      </w:r>
      <w:r w:rsidR="002E08D3">
        <w:t xml:space="preserve">, </w:t>
      </w:r>
      <w:hyperlink r:id="rId3" w:history="1">
        <w:r w:rsidR="002E08D3" w:rsidRPr="007E59DE">
          <w:rPr>
            <w:rStyle w:val="Hyperlink"/>
          </w:rPr>
          <w:t>https://familypolicyalliance.com/help-not-harm/</w:t>
        </w:r>
      </w:hyperlink>
      <w:r w:rsidR="002E08D3">
        <w:t xml:space="preserve"> [</w:t>
      </w:r>
      <w:r w:rsidR="002E08D3" w:rsidRPr="00AF1E7F">
        <w:t>https://perma.cc/6FT3-4HP7</w:t>
      </w:r>
      <w:r w:rsidR="002E08D3">
        <w:t>] (last visited July 22, 2024)</w:t>
      </w:r>
      <w:r w:rsidR="00C64C2A">
        <w:t>. The emphasis is original</w:t>
      </w:r>
      <w:r w:rsidR="009317AA">
        <w:t xml:space="preserve">—in set-apart, bright red, all-capital letters. </w:t>
      </w:r>
      <w:r w:rsidR="009317AA">
        <w:rPr>
          <w:i/>
          <w:iCs/>
        </w:rPr>
        <w:t>Id.</w:t>
      </w:r>
    </w:p>
    <w:p w14:paraId="3E52E621" w14:textId="44E036F7" w:rsidR="00527A41" w:rsidRPr="00134B0F" w:rsidRDefault="00527A41" w:rsidP="0005306D">
      <w:pPr>
        <w:pStyle w:val="FootnoteText"/>
        <w:ind w:firstLine="450"/>
      </w:pPr>
      <w:r>
        <w:t>FPA, which claims to be a Christian ministry, was founded in 2004 by Focus on the Family</w:t>
      </w:r>
      <w:r w:rsidR="00134B0F">
        <w:t xml:space="preserve">. </w:t>
      </w:r>
      <w:r w:rsidR="00134B0F">
        <w:rPr>
          <w:i/>
          <w:iCs/>
        </w:rPr>
        <w:t>See</w:t>
      </w:r>
      <w:r w:rsidR="00134B0F">
        <w:t xml:space="preserve"> </w:t>
      </w:r>
      <w:r w:rsidR="00134B0F" w:rsidRPr="00B81E05">
        <w:rPr>
          <w:smallCaps/>
        </w:rPr>
        <w:t xml:space="preserve">Fam. </w:t>
      </w:r>
      <w:proofErr w:type="spellStart"/>
      <w:r w:rsidR="00134B0F" w:rsidRPr="00B81E05">
        <w:rPr>
          <w:smallCaps/>
        </w:rPr>
        <w:t>Pol’y</w:t>
      </w:r>
      <w:proofErr w:type="spellEnd"/>
      <w:r w:rsidR="00134B0F" w:rsidRPr="00B81E05">
        <w:rPr>
          <w:smallCaps/>
        </w:rPr>
        <w:t xml:space="preserve"> All.</w:t>
      </w:r>
      <w:r w:rsidR="00134B0F">
        <w:t xml:space="preserve">, </w:t>
      </w:r>
      <w:r w:rsidR="00134B0F">
        <w:rPr>
          <w:i/>
          <w:iCs/>
        </w:rPr>
        <w:t>About Us</w:t>
      </w:r>
      <w:r w:rsidR="00134B0F">
        <w:t xml:space="preserve">, </w:t>
      </w:r>
      <w:hyperlink r:id="rId4" w:history="1">
        <w:r w:rsidR="00134B0F" w:rsidRPr="007E59DE">
          <w:rPr>
            <w:rStyle w:val="Hyperlink"/>
          </w:rPr>
          <w:t>https://familypolicyalliance.com/about-us/</w:t>
        </w:r>
      </w:hyperlink>
      <w:r w:rsidR="00134B0F">
        <w:t xml:space="preserve"> [</w:t>
      </w:r>
      <w:r w:rsidR="00134B0F" w:rsidRPr="00343D93">
        <w:t>https://perma.cc/L9B5-QXRM</w:t>
      </w:r>
      <w:r w:rsidR="00134B0F">
        <w:t>] (last visited July 22, 2024).</w:t>
      </w:r>
      <w:r w:rsidR="0000108C">
        <w:t xml:space="preserve"> Focus on the Family is a Christian fundamentalist organization known for its virulent opposition to LGBTQ rights. </w:t>
      </w:r>
      <w:r w:rsidR="00E020AD">
        <w:t xml:space="preserve">While the Southern Poverty Law Center has stopped short of labeling Focus on the Family as an anti-LGBTQ hate group, SPLC listed the group as one of the twelve groups most responsible for anti-gay politics in America in 2005. </w:t>
      </w:r>
      <w:r w:rsidR="00E020AD">
        <w:rPr>
          <w:i/>
          <w:iCs/>
        </w:rPr>
        <w:t>See</w:t>
      </w:r>
      <w:r w:rsidR="00E020AD">
        <w:t xml:space="preserve"> </w:t>
      </w:r>
      <w:r w:rsidR="00E020AD" w:rsidRPr="00220AAB">
        <w:rPr>
          <w:smallCaps/>
        </w:rPr>
        <w:t>Southern Poverty Law Center</w:t>
      </w:r>
      <w:r w:rsidR="00E020AD">
        <w:t xml:space="preserve">, </w:t>
      </w:r>
      <w:r w:rsidR="00E020AD">
        <w:rPr>
          <w:i/>
          <w:iCs/>
        </w:rPr>
        <w:t>A Dozen Major Groups Help Drive the Religious Right’s Anti-Gay Crusade</w:t>
      </w:r>
      <w:r w:rsidR="00E020AD">
        <w:t xml:space="preserve"> (Apr. 28, 2005), </w:t>
      </w:r>
      <w:hyperlink r:id="rId5" w:anchor="10" w:history="1">
        <w:r w:rsidR="00E020AD" w:rsidRPr="007E59DE">
          <w:rPr>
            <w:rStyle w:val="Hyperlink"/>
          </w:rPr>
          <w:t>https://www.splcenter.org/fighting-hate/intelligence-report/2005/dozen-major-groups-help-drive-religious-right%E2%80%99s-anti-gay-crusade?page=0%2C0#10</w:t>
        </w:r>
      </w:hyperlink>
      <w:r w:rsidR="00E020AD">
        <w:t xml:space="preserve"> [</w:t>
      </w:r>
      <w:r w:rsidR="00E020AD" w:rsidRPr="00ED065B">
        <w:t>https://perma.cc/VXY3-V2XV</w:t>
      </w:r>
      <w:r w:rsidR="00E020AD">
        <w:t>] (“</w:t>
      </w:r>
      <w:r w:rsidR="00E020AD" w:rsidRPr="00D26EA7">
        <w:t>No one has spread the anti-gay gospel as widely, or with as much political impact, as James Dobson, the former child development professor and spanking enthusiast who founded Focus on the Family (FOF) in 1977.</w:t>
      </w:r>
      <w:r w:rsidR="00E020AD">
        <w:t>”).</w:t>
      </w:r>
    </w:p>
  </w:footnote>
  <w:footnote w:id="25">
    <w:p w14:paraId="2BE3789F" w14:textId="684548C5" w:rsidR="0054228C" w:rsidRPr="0054228C" w:rsidRDefault="0054228C">
      <w:pPr>
        <w:pStyle w:val="FootnoteText"/>
      </w:pPr>
      <w:r>
        <w:rPr>
          <w:rStyle w:val="FootnoteReference"/>
        </w:rPr>
        <w:footnoteRef/>
      </w:r>
      <w:r>
        <w:t xml:space="preserve"> </w:t>
      </w:r>
      <w:r>
        <w:rPr>
          <w:i/>
          <w:iCs/>
        </w:rPr>
        <w:t>Id.</w:t>
      </w:r>
    </w:p>
  </w:footnote>
  <w:footnote w:id="26">
    <w:p w14:paraId="65514B81" w14:textId="67448B6E" w:rsidR="00BF2778" w:rsidRPr="000B6450" w:rsidRDefault="00BF2778" w:rsidP="007A2C71">
      <w:pPr>
        <w:pStyle w:val="FootnoteText"/>
      </w:pPr>
      <w:r>
        <w:rPr>
          <w:rStyle w:val="FootnoteReference"/>
        </w:rPr>
        <w:footnoteRef/>
      </w:r>
      <w:r>
        <w:t xml:space="preserve"> </w:t>
      </w:r>
      <w:r>
        <w:rPr>
          <w:i/>
        </w:rPr>
        <w:t>Id.</w:t>
      </w:r>
    </w:p>
  </w:footnote>
  <w:footnote w:id="27">
    <w:p w14:paraId="45836F4E" w14:textId="22002577" w:rsidR="00B72AE6" w:rsidRDefault="00C956E7">
      <w:pPr>
        <w:pStyle w:val="FootnoteText"/>
      </w:pPr>
      <w:r>
        <w:rPr>
          <w:rStyle w:val="FootnoteReference"/>
        </w:rPr>
        <w:footnoteRef/>
      </w:r>
      <w:r>
        <w:t xml:space="preserve"> </w:t>
      </w:r>
      <w:r w:rsidR="009569D2">
        <w:rPr>
          <w:i/>
          <w:iCs/>
        </w:rPr>
        <w:t>E.g.</w:t>
      </w:r>
      <w:r w:rsidR="009569D2">
        <w:t>,</w:t>
      </w:r>
      <w:r w:rsidR="009569D2">
        <w:rPr>
          <w:i/>
          <w:iCs/>
        </w:rPr>
        <w:t xml:space="preserve"> </w:t>
      </w:r>
      <w:r w:rsidR="00897BA0">
        <w:t>H</w:t>
      </w:r>
      <w:r w:rsidR="00995E4F">
        <w:t>.</w:t>
      </w:r>
      <w:r w:rsidR="00B318DF">
        <w:t>B.</w:t>
      </w:r>
      <w:r w:rsidR="00995E4F">
        <w:t xml:space="preserve"> 4619, 125th Leg. (S.C. 2024) (</w:t>
      </w:r>
      <w:r w:rsidR="004E4FD2">
        <w:t>“South Carolina’s Children Deserve Help Not Harm Act”);</w:t>
      </w:r>
      <w:r w:rsidR="004F02D8">
        <w:t xml:space="preserve"> </w:t>
      </w:r>
      <w:r w:rsidR="00A96EA1">
        <w:t>S.</w:t>
      </w:r>
      <w:r w:rsidR="00B318DF">
        <w:t>B.</w:t>
      </w:r>
      <w:r w:rsidR="00A96EA1">
        <w:t xml:space="preserve"> 1138, 55th Leg. (Ariz. 2022) (“Arizona</w:t>
      </w:r>
      <w:r w:rsidR="00042C90">
        <w:t xml:space="preserve">’s Children Deserve Help Not Harm Act”); </w:t>
      </w:r>
      <w:r w:rsidR="00EE14AC">
        <w:rPr>
          <w:i/>
          <w:iCs/>
        </w:rPr>
        <w:t>see also</w:t>
      </w:r>
      <w:r w:rsidR="00EE14AC">
        <w:t xml:space="preserve"> </w:t>
      </w:r>
      <w:r w:rsidR="00FD3EE9">
        <w:t>H.B. 648, 2023 Sess. (La.) (“</w:t>
      </w:r>
      <w:r w:rsidR="00B32C50">
        <w:t>Stop Harming Our Kids Act”)</w:t>
      </w:r>
      <w:r w:rsidR="005204BE">
        <w:t>.</w:t>
      </w:r>
    </w:p>
    <w:p w14:paraId="04B482C9" w14:textId="1C1A9553" w:rsidR="00C956E7" w:rsidRPr="00BD2C55" w:rsidRDefault="006E6B00" w:rsidP="00B72AE6">
      <w:pPr>
        <w:pStyle w:val="FootnoteText"/>
        <w:ind w:firstLine="450"/>
      </w:pPr>
      <w:r>
        <w:t>Three other states labeled their</w:t>
      </w:r>
      <w:r w:rsidR="00E86670">
        <w:t xml:space="preserve"> gender-affirming care</w:t>
      </w:r>
      <w:r>
        <w:t xml:space="preserve"> bans as “Save Adolescents </w:t>
      </w:r>
      <w:proofErr w:type="gramStart"/>
      <w:r>
        <w:t>From</w:t>
      </w:r>
      <w:proofErr w:type="gramEnd"/>
      <w:r>
        <w:t xml:space="preserve"> Experimentation (SAFE)</w:t>
      </w:r>
      <w:r w:rsidR="00BD2C55">
        <w:t xml:space="preserve">” acts. </w:t>
      </w:r>
      <w:r w:rsidR="00BD2C55">
        <w:rPr>
          <w:i/>
          <w:iCs/>
        </w:rPr>
        <w:t>See</w:t>
      </w:r>
      <w:r w:rsidR="00BD2C55">
        <w:t xml:space="preserve"> H.B. 1570, </w:t>
      </w:r>
      <w:r w:rsidR="00785AFE">
        <w:t xml:space="preserve">93rd Leg. </w:t>
      </w:r>
      <w:r w:rsidR="007755E8">
        <w:t xml:space="preserve">(Ark. 2021); S.B. 49, 2023 Sess. (Mo.); H.B. 68, 135th Leg. (Ohio 2023). </w:t>
      </w:r>
      <w:r w:rsidR="00867D62">
        <w:t xml:space="preserve">“SAFE” is an earlier version of “Help Not Harm,” as shown by the holdover “Introducing the SAFE Act” heading on FPA’s “Help Not Harm” website as I accessed (and archived) it in late July 2024. </w:t>
      </w:r>
      <w:r w:rsidR="00867D62">
        <w:rPr>
          <w:i/>
          <w:iCs/>
        </w:rPr>
        <w:t>See</w:t>
      </w:r>
      <w:r w:rsidR="00867D62">
        <w:t xml:space="preserve"> </w:t>
      </w:r>
      <w:r w:rsidR="00867D62" w:rsidRPr="00A27F0C">
        <w:rPr>
          <w:smallCaps/>
        </w:rPr>
        <w:t xml:space="preserve">Fam. </w:t>
      </w:r>
      <w:proofErr w:type="spellStart"/>
      <w:r w:rsidR="00867D62" w:rsidRPr="00A27F0C">
        <w:rPr>
          <w:smallCaps/>
        </w:rPr>
        <w:t>Pol’y</w:t>
      </w:r>
      <w:proofErr w:type="spellEnd"/>
      <w:r w:rsidR="00867D62" w:rsidRPr="00A27F0C">
        <w:rPr>
          <w:smallCaps/>
        </w:rPr>
        <w:t xml:space="preserve"> All.</w:t>
      </w:r>
      <w:r w:rsidR="00867D62">
        <w:t xml:space="preserve">, </w:t>
      </w:r>
      <w:r w:rsidR="00867D62">
        <w:rPr>
          <w:i/>
          <w:iCs/>
        </w:rPr>
        <w:t>supra</w:t>
      </w:r>
      <w:r w:rsidR="00867D62">
        <w:t xml:space="preserve"> note </w:t>
      </w:r>
      <w:r w:rsidR="00867D62">
        <w:fldChar w:fldCharType="begin"/>
      </w:r>
      <w:r w:rsidR="00867D62">
        <w:instrText xml:space="preserve"> NOTEREF _Ref172630327 \h </w:instrText>
      </w:r>
      <w:r w:rsidR="00867D62">
        <w:fldChar w:fldCharType="separate"/>
      </w:r>
      <w:r w:rsidR="00B3355A">
        <w:t>6</w:t>
      </w:r>
      <w:r w:rsidR="00867D62">
        <w:fldChar w:fldCharType="end"/>
      </w:r>
      <w:r w:rsidR="00867D62">
        <w:t>.</w:t>
      </w:r>
    </w:p>
  </w:footnote>
  <w:footnote w:id="28">
    <w:p w14:paraId="3A345C55" w14:textId="0A10C966" w:rsidR="0077731D" w:rsidRPr="00C474D0" w:rsidRDefault="0077731D">
      <w:pPr>
        <w:pStyle w:val="FootnoteText"/>
        <w:rPr>
          <w:u w:val="single"/>
        </w:rPr>
      </w:pPr>
      <w:r>
        <w:rPr>
          <w:rStyle w:val="FootnoteReference"/>
        </w:rPr>
        <w:footnoteRef/>
      </w:r>
      <w:r w:rsidR="00BE1B38">
        <w:t xml:space="preserve"> </w:t>
      </w:r>
      <w:r w:rsidR="00934BF7" w:rsidRPr="00934BF7">
        <w:rPr>
          <w:i/>
          <w:iCs/>
        </w:rPr>
        <w:t>See</w:t>
      </w:r>
      <w:r w:rsidR="00934BF7">
        <w:t xml:space="preserve"> </w:t>
      </w:r>
      <w:r w:rsidR="00F9465E" w:rsidRPr="00375CB9">
        <w:rPr>
          <w:smallCaps/>
        </w:rPr>
        <w:t xml:space="preserve">Fam. </w:t>
      </w:r>
      <w:proofErr w:type="spellStart"/>
      <w:r w:rsidR="00F9465E" w:rsidRPr="00375CB9">
        <w:rPr>
          <w:smallCaps/>
        </w:rPr>
        <w:t>Pol’y</w:t>
      </w:r>
      <w:proofErr w:type="spellEnd"/>
      <w:r w:rsidR="00F9465E" w:rsidRPr="00375CB9">
        <w:rPr>
          <w:smallCaps/>
        </w:rPr>
        <w:t xml:space="preserve"> All.</w:t>
      </w:r>
      <w:r w:rsidR="00F9465E">
        <w:t xml:space="preserve">, </w:t>
      </w:r>
      <w:r w:rsidR="00F9465E">
        <w:rPr>
          <w:i/>
          <w:iCs/>
        </w:rPr>
        <w:t>supra</w:t>
      </w:r>
      <w:r w:rsidR="00F9465E">
        <w:t xml:space="preserve"> note </w:t>
      </w:r>
      <w:r w:rsidR="00F9465E">
        <w:fldChar w:fldCharType="begin"/>
      </w:r>
      <w:r w:rsidR="00F9465E">
        <w:instrText xml:space="preserve"> NOTEREF _Ref172630327 \h </w:instrText>
      </w:r>
      <w:r w:rsidR="00F9465E">
        <w:fldChar w:fldCharType="separate"/>
      </w:r>
      <w:r w:rsidR="00B3355A">
        <w:t>6</w:t>
      </w:r>
      <w:r w:rsidR="00F9465E">
        <w:fldChar w:fldCharType="end"/>
      </w:r>
      <w:r w:rsidR="00F9465E">
        <w:t xml:space="preserve">; </w:t>
      </w:r>
      <w:r w:rsidR="000A2636" w:rsidRPr="00230163">
        <w:t xml:space="preserve">L.W. ex rel. Williams v. </w:t>
      </w:r>
      <w:proofErr w:type="spellStart"/>
      <w:r w:rsidR="000A2636" w:rsidRPr="00230163">
        <w:t>Skrmetti</w:t>
      </w:r>
      <w:proofErr w:type="spellEnd"/>
      <w:r w:rsidR="000A2636">
        <w:t xml:space="preserve">, 83 F.4th 460, 480 (6th Cir. 2023), </w:t>
      </w:r>
      <w:r w:rsidR="000A2636">
        <w:rPr>
          <w:i/>
          <w:iCs/>
        </w:rPr>
        <w:t>cert. granted sub nom</w:t>
      </w:r>
      <w:r w:rsidR="000A2636">
        <w:t xml:space="preserve">, United States v. </w:t>
      </w:r>
      <w:proofErr w:type="spellStart"/>
      <w:r w:rsidR="000A2636">
        <w:t>Skrmetti</w:t>
      </w:r>
      <w:proofErr w:type="spellEnd"/>
      <w:r w:rsidR="000A2636">
        <w:t xml:space="preserve">, </w:t>
      </w:r>
      <w:r w:rsidR="000A2636" w:rsidRPr="00230163">
        <w:t>2024 WL 3089532</w:t>
      </w:r>
      <w:r w:rsidR="000A2636">
        <w:t xml:space="preserve"> (June 24, 2024); </w:t>
      </w:r>
      <w:r w:rsidR="001B0D82" w:rsidRPr="00934BF7">
        <w:t>Brandt</w:t>
      </w:r>
      <w:r w:rsidR="001B0D82">
        <w:t xml:space="preserve"> v. Rutledge, </w:t>
      </w:r>
      <w:r w:rsidR="00E75C48">
        <w:t xml:space="preserve">677 F. Supp. 3d 877, 918 (E.D. Ark. 2023), </w:t>
      </w:r>
      <w:r w:rsidR="00E75C48" w:rsidRPr="00E75C48">
        <w:rPr>
          <w:i/>
          <w:iCs/>
        </w:rPr>
        <w:t>appeal docketed</w:t>
      </w:r>
      <w:r w:rsidR="00E75C48" w:rsidRPr="00E75C48">
        <w:t>, 8th Cir. July 21, 2023</w:t>
      </w:r>
      <w:r w:rsidR="00E75C48">
        <w:t xml:space="preserve"> (</w:t>
      </w:r>
      <w:r w:rsidR="00F74C65">
        <w:t xml:space="preserve">striking down Arkansas’s ban over the state’s objections that </w:t>
      </w:r>
      <w:r w:rsidR="0013353C">
        <w:t>“many patients will desist in their gender incongruence” or “later come to regret having received irreversible treatments” for gender dysphoria”)</w:t>
      </w:r>
      <w:r w:rsidR="00C5759D">
        <w:t>;</w:t>
      </w:r>
      <w:r w:rsidR="00817AD2">
        <w:t xml:space="preserve"> Eknes-Tucker v. Alabama, </w:t>
      </w:r>
      <w:r w:rsidR="00455213">
        <w:t xml:space="preserve">80 F.4th 1205, </w:t>
      </w:r>
      <w:r w:rsidR="00735A09">
        <w:t>1230–41 (11th Cir. 2023)</w:t>
      </w:r>
      <w:r w:rsidR="00455213">
        <w:t xml:space="preserve"> (“[M]</w:t>
      </w:r>
      <w:r w:rsidR="00455213" w:rsidRPr="00455213">
        <w:t>any minors may not be finished forming their identities and may not fully appreciate the associated risks. Moreover, Alabama's decision to draw the line at the age of nineteen sufficiently approximates the divide between individuals who warrant government protection and individuals who are better able to make decisions for themselves</w:t>
      </w:r>
      <w:r w:rsidR="00455213">
        <w:t>”)</w:t>
      </w:r>
      <w:r w:rsidR="00A72B88">
        <w:t xml:space="preserve">; </w:t>
      </w:r>
      <w:r w:rsidR="00A72B88">
        <w:rPr>
          <w:i/>
          <w:iCs/>
        </w:rPr>
        <w:t>Poe ex rel. Poe v. Labrador</w:t>
      </w:r>
      <w:r w:rsidR="00A72B88">
        <w:t xml:space="preserve">, </w:t>
      </w:r>
      <w:r w:rsidR="00CF5EF9">
        <w:t xml:space="preserve">--- F. Supp. 3d ---, </w:t>
      </w:r>
      <w:r w:rsidR="00EC7863">
        <w:t>No. 1:23-cv-</w:t>
      </w:r>
      <w:r w:rsidR="005208D2">
        <w:t xml:space="preserve">269, </w:t>
      </w:r>
      <w:r w:rsidR="00CF5EF9" w:rsidRPr="00CF5EF9">
        <w:t>2023 WL 8935065</w:t>
      </w:r>
      <w:r w:rsidR="00CF5EF9">
        <w:t xml:space="preserve">, at </w:t>
      </w:r>
      <w:r w:rsidR="00C474D0">
        <w:t>*14 (</w:t>
      </w:r>
      <w:r w:rsidR="00916DAA">
        <w:t xml:space="preserve">D. </w:t>
      </w:r>
      <w:r w:rsidR="00761140">
        <w:t xml:space="preserve">Idaho </w:t>
      </w:r>
      <w:r w:rsidR="00C474D0">
        <w:t xml:space="preserve">Dec. 26, 2023), </w:t>
      </w:r>
      <w:r w:rsidR="00C474D0">
        <w:rPr>
          <w:i/>
          <w:iCs/>
        </w:rPr>
        <w:t>appeal docketed</w:t>
      </w:r>
      <w:r w:rsidR="00C474D0">
        <w:t xml:space="preserve">, 9th Cir. </w:t>
      </w:r>
      <w:r w:rsidR="00EC7863">
        <w:t>Jan. 9, 2024</w:t>
      </w:r>
      <w:r w:rsidR="00761140">
        <w:t xml:space="preserve">; </w:t>
      </w:r>
      <w:r w:rsidR="00761316">
        <w:t xml:space="preserve">Doe v. </w:t>
      </w:r>
      <w:proofErr w:type="spellStart"/>
      <w:r w:rsidR="00761316">
        <w:t>Ladapo</w:t>
      </w:r>
      <w:proofErr w:type="spellEnd"/>
      <w:r w:rsidR="00761316">
        <w:t xml:space="preserve">, </w:t>
      </w:r>
      <w:r w:rsidR="002B20CE">
        <w:t xml:space="preserve">--- F. Supp. 3d ---, No. 4:23-cv-114, </w:t>
      </w:r>
      <w:r w:rsidR="002B20CE" w:rsidRPr="002B20CE">
        <w:t>2024 WL 2947123</w:t>
      </w:r>
      <w:r w:rsidR="002B20CE">
        <w:t xml:space="preserve">, at </w:t>
      </w:r>
      <w:r w:rsidR="008D478A">
        <w:t>*28 (N.D. Fla. June 11, 2024)</w:t>
      </w:r>
      <w:r w:rsidR="00EC7863">
        <w:t>.</w:t>
      </w:r>
    </w:p>
    <w:p w14:paraId="078ABED0" w14:textId="0ADD4DB0" w:rsidR="00934BF7" w:rsidRPr="00D34569" w:rsidRDefault="00934BF7" w:rsidP="00934BF7">
      <w:pPr>
        <w:pStyle w:val="FootnoteText"/>
        <w:ind w:firstLine="540"/>
      </w:pPr>
      <w:r>
        <w:t>Similarly, when Senator Tom Cotton and Representative Jim Banks introduced federal legislation to subject medical providers to civil liability for providing gender-affirming care to minors</w:t>
      </w:r>
      <w:r w:rsidR="00D34569">
        <w:t xml:space="preserve">, both emphasized age-related incompetence concerns. </w:t>
      </w:r>
      <w:r w:rsidR="00D34569">
        <w:rPr>
          <w:i/>
          <w:iCs/>
        </w:rPr>
        <w:t>See</w:t>
      </w:r>
      <w:r w:rsidR="00D34569">
        <w:t xml:space="preserve"> </w:t>
      </w:r>
      <w:r w:rsidR="00D34569">
        <w:rPr>
          <w:i/>
          <w:iCs/>
        </w:rPr>
        <w:t>Cotton, Colleagues Introduce Legislation to Protect Children from “Gender-Transition Surgery</w:t>
      </w:r>
      <w:r w:rsidR="00D34569">
        <w:t xml:space="preserve">” (Mar. 2, 2023), </w:t>
      </w:r>
      <w:hyperlink r:id="rId6" w:history="1">
        <w:r w:rsidR="00D34569" w:rsidRPr="0095787C">
          <w:rPr>
            <w:rStyle w:val="Hyperlink"/>
          </w:rPr>
          <w:t>https://www.cotton.senate.gov/news/press-releases/cotton-colleagues-introduce-legislation-to-protect-children-from-gender-transition-surgery</w:t>
        </w:r>
      </w:hyperlink>
      <w:r w:rsidR="00D34569">
        <w:t xml:space="preserve"> [</w:t>
      </w:r>
      <w:r w:rsidR="00D34569" w:rsidRPr="004941F3">
        <w:t>https://perma.cc/J5XV-472C</w:t>
      </w:r>
      <w:r w:rsidR="00D34569">
        <w:t>] (referencing “young kids, who cannot even provide informed consent” and “a child too young to drive a car or get a tattoo</w:t>
      </w:r>
      <w:r w:rsidR="00D357E3">
        <w:t>”).</w:t>
      </w:r>
    </w:p>
  </w:footnote>
  <w:footnote w:id="29">
    <w:p w14:paraId="0F4A8B93" w14:textId="3DD69440" w:rsidR="00A91F88" w:rsidRPr="00F4314D" w:rsidRDefault="00A91F88" w:rsidP="00BA7201">
      <w:pPr>
        <w:pStyle w:val="FootnoteText"/>
      </w:pPr>
      <w:r>
        <w:rPr>
          <w:rStyle w:val="FootnoteReference"/>
        </w:rPr>
        <w:footnoteRef/>
      </w:r>
      <w:r>
        <w:t xml:space="preserve"> </w:t>
      </w:r>
      <w:r w:rsidR="00F4314D">
        <w:rPr>
          <w:i/>
          <w:iCs/>
        </w:rPr>
        <w:t>E.g.</w:t>
      </w:r>
      <w:r w:rsidR="00F4314D">
        <w:t xml:space="preserve">, </w:t>
      </w:r>
      <w:r w:rsidR="00751933">
        <w:t xml:space="preserve">Parham v. J.R., 442 U.S. 584, </w:t>
      </w:r>
      <w:r w:rsidR="00282011">
        <w:t>603–04 (1979) (</w:t>
      </w:r>
      <w:r w:rsidR="00485018">
        <w:t>“</w:t>
      </w:r>
      <w:r w:rsidR="00485018" w:rsidRPr="00485018">
        <w:t>Most children, even in adolescence, simply are not able to make sound judgments concerning many decisions, including their need for medical care or treatment.</w:t>
      </w:r>
      <w:r w:rsidR="00485018">
        <w:t>”)</w:t>
      </w:r>
      <w:r w:rsidR="00422967">
        <w:t xml:space="preserve">; </w:t>
      </w:r>
      <w:r w:rsidR="009D61E9">
        <w:t xml:space="preserve">Annette Ruth Appell, </w:t>
      </w:r>
      <w:r w:rsidR="009D61E9">
        <w:rPr>
          <w:i/>
          <w:iCs/>
        </w:rPr>
        <w:t>Accommodating Childhood</w:t>
      </w:r>
      <w:r w:rsidR="009D61E9">
        <w:t xml:space="preserve">, </w:t>
      </w:r>
      <w:r w:rsidR="00495A8D">
        <w:t xml:space="preserve">19 </w:t>
      </w:r>
      <w:r w:rsidR="00495A8D" w:rsidRPr="009D61E9">
        <w:rPr>
          <w:smallCaps/>
        </w:rPr>
        <w:t>Ca</w:t>
      </w:r>
      <w:r w:rsidR="00A52047" w:rsidRPr="009D61E9">
        <w:rPr>
          <w:smallCaps/>
        </w:rPr>
        <w:t>rdozo J. L. &amp; Gender</w:t>
      </w:r>
      <w:r w:rsidR="00A52047">
        <w:t xml:space="preserve"> 715, </w:t>
      </w:r>
      <w:r w:rsidR="00495A8D">
        <w:t>730 (2013)</w:t>
      </w:r>
      <w:r w:rsidR="00AB320D">
        <w:t xml:space="preserve"> (“</w:t>
      </w:r>
      <w:r w:rsidR="00BA7201">
        <w:t>As vulnerable works-in-progress, children are largely subordinate under the law, cast as objects of parental liberty, future citizens, and as unwise, unreliable, and vulnerable.”).</w:t>
      </w:r>
    </w:p>
  </w:footnote>
  <w:footnote w:id="30">
    <w:p w14:paraId="47F318DD" w14:textId="3B7F0CCD" w:rsidR="007500A1" w:rsidRPr="004B13DB" w:rsidRDefault="007500A1">
      <w:pPr>
        <w:pStyle w:val="FootnoteText"/>
      </w:pPr>
      <w:r>
        <w:rPr>
          <w:rStyle w:val="FootnoteReference"/>
        </w:rPr>
        <w:footnoteRef/>
      </w:r>
      <w:r>
        <w:t xml:space="preserve"> </w:t>
      </w:r>
      <w:r w:rsidR="004B13DB">
        <w:rPr>
          <w:i/>
          <w:iCs/>
        </w:rPr>
        <w:t>See, e.g.</w:t>
      </w:r>
      <w:r w:rsidR="004B13DB">
        <w:t xml:space="preserve">, Am. Physiological </w:t>
      </w:r>
      <w:proofErr w:type="spellStart"/>
      <w:r w:rsidR="004B13DB">
        <w:t>Ass’n</w:t>
      </w:r>
      <w:proofErr w:type="spellEnd"/>
      <w:r w:rsidR="004B13DB">
        <w:t xml:space="preserve">, </w:t>
      </w:r>
      <w:r w:rsidR="004B13DB">
        <w:rPr>
          <w:i/>
          <w:iCs/>
        </w:rPr>
        <w:t>Study Bolsters Evidence that Effects of Puberty Blockers Are Reversible</w:t>
      </w:r>
      <w:r w:rsidR="004B13DB">
        <w:t xml:space="preserve"> (Apr. 5, 2024),</w:t>
      </w:r>
      <w:r w:rsidR="00165291">
        <w:tab/>
      </w:r>
      <w:r w:rsidR="004B13DB">
        <w:t xml:space="preserve"> </w:t>
      </w:r>
      <w:hyperlink r:id="rId7" w:history="1">
        <w:r w:rsidR="004B13DB" w:rsidRPr="001E12B1">
          <w:rPr>
            <w:rStyle w:val="Hyperlink"/>
          </w:rPr>
          <w:t>https://www.physiology.org/detail/news/2024/04/05/study-bolsters-evidence-that-effects-of-puberty-blockers-are-reversible?SSO=Y</w:t>
        </w:r>
      </w:hyperlink>
      <w:r w:rsidR="004B13DB">
        <w:t xml:space="preserve"> [</w:t>
      </w:r>
      <w:r w:rsidR="008A4F22" w:rsidRPr="008A4F22">
        <w:t>https://perma.cc/AFU9-EEW9</w:t>
      </w:r>
      <w:r w:rsidR="008A4F22">
        <w:t>].</w:t>
      </w:r>
    </w:p>
  </w:footnote>
  <w:footnote w:id="31">
    <w:p w14:paraId="78C852A5" w14:textId="77777777" w:rsidR="00B97359" w:rsidRPr="007A7CBE" w:rsidRDefault="00B97359" w:rsidP="00B97359">
      <w:pPr>
        <w:pStyle w:val="FootnoteText"/>
      </w:pPr>
      <w:r>
        <w:rPr>
          <w:rStyle w:val="FootnoteReference"/>
        </w:rPr>
        <w:footnoteRef/>
      </w:r>
      <w:r>
        <w:t xml:space="preserve"> </w:t>
      </w:r>
      <w:r>
        <w:rPr>
          <w:i/>
          <w:iCs/>
        </w:rPr>
        <w:t>See, e.g.</w:t>
      </w:r>
      <w:r>
        <w:t xml:space="preserve">, </w:t>
      </w:r>
      <w:r w:rsidRPr="00B15554">
        <w:rPr>
          <w:smallCaps/>
        </w:rPr>
        <w:t>Merriam-Webster.com</w:t>
      </w:r>
      <w:r>
        <w:t xml:space="preserve">, </w:t>
      </w:r>
      <w:r>
        <w:rPr>
          <w:i/>
          <w:iCs/>
        </w:rPr>
        <w:t>Transition</w:t>
      </w:r>
      <w:r>
        <w:t xml:space="preserve">, </w:t>
      </w:r>
      <w:hyperlink r:id="rId8" w:anchor="dictionary-entry-2" w:history="1">
        <w:r w:rsidRPr="00E52758">
          <w:rPr>
            <w:rStyle w:val="Hyperlink"/>
          </w:rPr>
          <w:t>https://www.merriam-webster.com/dictionary/transition#dictionary-entry-2</w:t>
        </w:r>
      </w:hyperlink>
      <w:r>
        <w:t xml:space="preserve"> [</w:t>
      </w:r>
      <w:r w:rsidRPr="00E33B09">
        <w:t>https://perma.cc/MV3P-9PH</w:t>
      </w:r>
      <w:r>
        <w:t>] (“</w:t>
      </w:r>
      <w:r w:rsidRPr="00B15554">
        <w:t>to make a change or shift from one state, subject, place, etc. to another</w:t>
      </w:r>
      <w:r>
        <w:t>”).</w:t>
      </w:r>
    </w:p>
  </w:footnote>
  <w:footnote w:id="32">
    <w:p w14:paraId="79970CCA" w14:textId="77777777" w:rsidR="00B97359" w:rsidRPr="0074392A" w:rsidRDefault="00B97359" w:rsidP="00B97359">
      <w:pPr>
        <w:pStyle w:val="FootnoteText"/>
      </w:pPr>
      <w:r>
        <w:rPr>
          <w:rStyle w:val="FootnoteReference"/>
        </w:rPr>
        <w:footnoteRef/>
      </w:r>
      <w:r>
        <w:t xml:space="preserve"> </w:t>
      </w:r>
      <w:r>
        <w:rPr>
          <w:i/>
          <w:iCs/>
        </w:rPr>
        <w:t>See</w:t>
      </w:r>
      <w:r>
        <w:t xml:space="preserve"> Natalie Reed, </w:t>
      </w:r>
      <w:r>
        <w:rPr>
          <w:i/>
          <w:iCs/>
        </w:rPr>
        <w:t xml:space="preserve">The Null </w:t>
      </w:r>
      <w:proofErr w:type="spellStart"/>
      <w:r>
        <w:rPr>
          <w:i/>
          <w:iCs/>
        </w:rPr>
        <w:t>HypotheCis</w:t>
      </w:r>
      <w:proofErr w:type="spellEnd"/>
      <w:r>
        <w:t xml:space="preserve">, </w:t>
      </w:r>
      <w:r w:rsidRPr="00164DCA">
        <w:rPr>
          <w:smallCaps/>
        </w:rPr>
        <w:t>Sincerely, Natalie Reed</w:t>
      </w:r>
      <w:r>
        <w:t xml:space="preserve"> (Apr. 17, 2012), </w:t>
      </w:r>
      <w:hyperlink r:id="rId9" w:history="1">
        <w:r w:rsidRPr="00DA58E2">
          <w:rPr>
            <w:rStyle w:val="Hyperlink"/>
          </w:rPr>
          <w:t>https://freethoughtblogs.com/nataliereed/2012/04/17/the-null-hypothecis/</w:t>
        </w:r>
      </w:hyperlink>
      <w:r>
        <w:t xml:space="preserve"> [</w:t>
      </w:r>
      <w:r w:rsidRPr="008D63DA">
        <w:t>https://perma.cc/ZR62-VKPL</w:t>
      </w:r>
      <w:r>
        <w:t>] (discussing the logical fallacy of treating cisgender identity as the null hypothesis).</w:t>
      </w:r>
    </w:p>
  </w:footnote>
  <w:footnote w:id="33">
    <w:p w14:paraId="16DBED2A" w14:textId="09E25BD0" w:rsidR="00AA1BC1" w:rsidRDefault="00AB6E0F" w:rsidP="00D348EE">
      <w:pPr>
        <w:pStyle w:val="FootnoteText"/>
      </w:pPr>
      <w:r>
        <w:rPr>
          <w:rStyle w:val="FootnoteReference"/>
        </w:rPr>
        <w:footnoteRef/>
      </w:r>
      <w:r>
        <w:t xml:space="preserve"> </w:t>
      </w:r>
      <w:r w:rsidR="00AA1BC1">
        <w:t>I use “religion” and “faith” interchangeably throughout this essay.</w:t>
      </w:r>
    </w:p>
  </w:footnote>
  <w:footnote w:id="34">
    <w:p w14:paraId="722BA53B" w14:textId="7B11BAB4" w:rsidR="00870722" w:rsidRDefault="00870722">
      <w:pPr>
        <w:pStyle w:val="FootnoteText"/>
      </w:pPr>
      <w:r>
        <w:rPr>
          <w:rStyle w:val="FootnoteReference"/>
        </w:rPr>
        <w:footnoteRef/>
      </w:r>
      <w:r>
        <w:t xml:space="preserve"> </w:t>
      </w:r>
      <w:r w:rsidR="004C63D5">
        <w:rPr>
          <w:i/>
          <w:iCs/>
        </w:rPr>
        <w:t>See, e.g.</w:t>
      </w:r>
      <w:r w:rsidR="004C63D5">
        <w:t xml:space="preserve">, </w:t>
      </w:r>
      <w:r w:rsidR="00F3312D">
        <w:t xml:space="preserve">Mark </w:t>
      </w:r>
      <w:r w:rsidR="00F21D63">
        <w:t>12:29–31 (quoting Deuteronomy 6:</w:t>
      </w:r>
      <w:r w:rsidR="00217876">
        <w:t xml:space="preserve">4–5) </w:t>
      </w:r>
      <w:r w:rsidR="00084532">
        <w:t xml:space="preserve">(New International Version) </w:t>
      </w:r>
      <w:r w:rsidR="00217876">
        <w:t>(</w:t>
      </w:r>
      <w:r w:rsidR="00CD74D5">
        <w:t xml:space="preserve">“‘The most important [commandment],’ answered Jesus, </w:t>
      </w:r>
      <w:r w:rsidR="007B48EC">
        <w:t xml:space="preserve">‘is </w:t>
      </w:r>
      <w:proofErr w:type="gramStart"/>
      <w:r w:rsidR="007B48EC">
        <w:t>. . . .</w:t>
      </w:r>
      <w:proofErr w:type="gramEnd"/>
      <w:r w:rsidR="007B48EC">
        <w:t xml:space="preserve"> Love the Lord your God with all your </w:t>
      </w:r>
      <w:r w:rsidR="00991E1C">
        <w:t xml:space="preserve">heart and with all your soul and with all your mind and with all your strength. The second is this: </w:t>
      </w:r>
      <w:r w:rsidR="00F2679E">
        <w:t>Love your neighbor as yourself.’”)</w:t>
      </w:r>
      <w:r w:rsidR="00084532">
        <w:t>;</w:t>
      </w:r>
      <w:r w:rsidR="00CD74D5">
        <w:t xml:space="preserve"> </w:t>
      </w:r>
      <w:r w:rsidR="004C63D5">
        <w:t xml:space="preserve">Matthew 5:27–28 (New International Version) (“You have heard </w:t>
      </w:r>
      <w:r w:rsidR="00D54148">
        <w:t xml:space="preserve">that it was said, ‘You shall not commit adultery.’ But I tell you that anyone who looks at a woman lustfully has already committed </w:t>
      </w:r>
      <w:r w:rsidR="00EB5C9E">
        <w:t>adultery with her in his heart.”).</w:t>
      </w:r>
    </w:p>
    <w:p w14:paraId="6A88A1C6" w14:textId="5C6685AD" w:rsidR="00C16983" w:rsidRPr="004C63D5" w:rsidRDefault="00C422B1" w:rsidP="00C16983">
      <w:pPr>
        <w:pStyle w:val="FootnoteText"/>
        <w:ind w:firstLine="540"/>
      </w:pPr>
      <w:r>
        <w:t>I use</w:t>
      </w:r>
      <w:r w:rsidR="00C16983">
        <w:t xml:space="preserve"> Christianity </w:t>
      </w:r>
      <w:r w:rsidR="002D5E70">
        <w:t xml:space="preserve">as my primary example in this section </w:t>
      </w:r>
      <w:r w:rsidR="00C16983">
        <w:t>for two reasons</w:t>
      </w:r>
      <w:r w:rsidR="00B27C10">
        <w:t>. First</w:t>
      </w:r>
      <w:r w:rsidR="00623FE1">
        <w:t xml:space="preserve"> it is the faith tradition in which I was raised</w:t>
      </w:r>
      <w:r w:rsidR="00E0068C" w:rsidRPr="00E0068C">
        <w:t xml:space="preserve">, and thus I am most familiar with it, and it is the ostensible faith of many of the </w:t>
      </w:r>
      <w:r w:rsidR="00062295">
        <w:t xml:space="preserve">most ardent </w:t>
      </w:r>
      <w:r w:rsidR="00E0068C" w:rsidRPr="00E0068C">
        <w:t>proponents of the bans on gender-affirming care that is</w:t>
      </w:r>
      <w:r w:rsidR="00623FE1">
        <w:t xml:space="preserve"> the topic of this essay. </w:t>
      </w:r>
      <w:r w:rsidR="00062295">
        <w:rPr>
          <w:i/>
          <w:iCs/>
        </w:rPr>
        <w:t xml:space="preserve">See supra </w:t>
      </w:r>
      <w:r w:rsidR="00062295">
        <w:t xml:space="preserve">note </w:t>
      </w:r>
      <w:r w:rsidR="00E956D4">
        <w:fldChar w:fldCharType="begin"/>
      </w:r>
      <w:r w:rsidR="00E956D4">
        <w:instrText xml:space="preserve"> NOTEREF _Ref172630327 \h </w:instrText>
      </w:r>
      <w:r w:rsidR="00E956D4">
        <w:fldChar w:fldCharType="separate"/>
      </w:r>
      <w:r w:rsidR="00B3355A">
        <w:t>6</w:t>
      </w:r>
      <w:r w:rsidR="00E956D4">
        <w:fldChar w:fldCharType="end"/>
      </w:r>
      <w:r w:rsidR="00E956D4">
        <w:t xml:space="preserve"> </w:t>
      </w:r>
      <w:r w:rsidR="00D06DF5">
        <w:t xml:space="preserve">and accompanying text </w:t>
      </w:r>
      <w:r w:rsidR="00E956D4">
        <w:t>(</w:t>
      </w:r>
      <w:r w:rsidR="00D06DF5">
        <w:t>noting that</w:t>
      </w:r>
      <w:r w:rsidR="00E956D4">
        <w:t xml:space="preserve"> the FPA, the author of the model legislation for gender-affirming care bans</w:t>
      </w:r>
      <w:r w:rsidR="00A063AE">
        <w:t xml:space="preserve">, as an offshoot of Christian fundamentalist organization Focus on the Family). </w:t>
      </w:r>
      <w:r w:rsidR="00604731">
        <w:t xml:space="preserve">My doing so </w:t>
      </w:r>
      <w:r w:rsidR="00E70557">
        <w:t>does not</w:t>
      </w:r>
      <w:r w:rsidR="00604731">
        <w:t xml:space="preserve"> imply that other religions do not contain similar imperatives.</w:t>
      </w:r>
    </w:p>
  </w:footnote>
  <w:footnote w:id="35">
    <w:p w14:paraId="269666D9" w14:textId="77777777" w:rsidR="00D4311D" w:rsidRPr="001F6500" w:rsidRDefault="00D4311D" w:rsidP="00D4311D">
      <w:pPr>
        <w:pStyle w:val="FootnoteText"/>
      </w:pPr>
      <w:r>
        <w:rPr>
          <w:rStyle w:val="FootnoteReference"/>
        </w:rPr>
        <w:footnoteRef/>
      </w:r>
      <w:r>
        <w:t xml:space="preserve"> </w:t>
      </w:r>
      <w:r>
        <w:rPr>
          <w:i/>
          <w:iCs/>
        </w:rPr>
        <w:t>See</w:t>
      </w:r>
      <w:r>
        <w:t xml:space="preserve"> </w:t>
      </w:r>
      <w:r w:rsidRPr="00C93E64">
        <w:rPr>
          <w:smallCaps/>
        </w:rPr>
        <w:t>Martha Nussbaum, Liberty of Conscience: In Defense of America’s Tradition of Religious Equality</w:t>
      </w:r>
      <w:r>
        <w:t>, 19–20 (2008).</w:t>
      </w:r>
    </w:p>
  </w:footnote>
  <w:footnote w:id="36">
    <w:p w14:paraId="39E6C944" w14:textId="5D6BA701" w:rsidR="00B27C10" w:rsidRPr="00867418" w:rsidRDefault="00B27C10" w:rsidP="00B27C10">
      <w:pPr>
        <w:pStyle w:val="FootnoteText"/>
      </w:pPr>
      <w:r>
        <w:rPr>
          <w:rStyle w:val="FootnoteReference"/>
        </w:rPr>
        <w:footnoteRef/>
      </w:r>
      <w:r>
        <w:t xml:space="preserve"> </w:t>
      </w:r>
      <w:r>
        <w:rPr>
          <w:i/>
          <w:iCs/>
        </w:rPr>
        <w:t>E.g.</w:t>
      </w:r>
      <w:r>
        <w:t xml:space="preserve">, </w:t>
      </w:r>
      <w:r w:rsidR="00B36B70" w:rsidRPr="00B36B70">
        <w:rPr>
          <w:smallCaps/>
        </w:rPr>
        <w:t>Dictionary.com</w:t>
      </w:r>
      <w:r w:rsidR="00B36B70">
        <w:t xml:space="preserve">, </w:t>
      </w:r>
      <w:r>
        <w:rPr>
          <w:i/>
          <w:iCs/>
        </w:rPr>
        <w:t>Exogenous</w:t>
      </w:r>
      <w:r>
        <w:t xml:space="preserve">, </w:t>
      </w:r>
      <w:hyperlink r:id="rId10" w:history="1">
        <w:r w:rsidRPr="00DA58E2">
          <w:rPr>
            <w:rStyle w:val="Hyperlink"/>
          </w:rPr>
          <w:t>https://www.dictionary.com/browse/exogenous</w:t>
        </w:r>
      </w:hyperlink>
      <w:r>
        <w:t xml:space="preserve"> [</w:t>
      </w:r>
      <w:r w:rsidRPr="009856D4">
        <w:t>https://perma.cc/D4CC-N9AM</w:t>
      </w:r>
      <w:r>
        <w:t xml:space="preserve">] (defining </w:t>
      </w:r>
      <w:r>
        <w:rPr>
          <w:i/>
          <w:iCs/>
        </w:rPr>
        <w:t>exogenous</w:t>
      </w:r>
      <w:r>
        <w:t xml:space="preserve"> as “</w:t>
      </w:r>
      <w:r w:rsidRPr="00026BD9">
        <w:t>originating from outside; derived externally</w:t>
      </w:r>
      <w:r>
        <w:t xml:space="preserve">”). </w:t>
      </w:r>
      <w:r>
        <w:rPr>
          <w:i/>
          <w:iCs/>
        </w:rPr>
        <w:t>Cf.</w:t>
      </w:r>
      <w:r>
        <w:t xml:space="preserve"> Patrick L. Mason, </w:t>
      </w:r>
      <w:r>
        <w:rPr>
          <w:i/>
          <w:iCs/>
        </w:rPr>
        <w:t>Identity, Markets, and Persistent Racial Inequality</w:t>
      </w:r>
      <w:r>
        <w:t xml:space="preserve">, 32 </w:t>
      </w:r>
      <w:r w:rsidRPr="00082662">
        <w:rPr>
          <w:smallCaps/>
        </w:rPr>
        <w:t>Rev. Black Pol. Econ.</w:t>
      </w:r>
      <w:r>
        <w:t xml:space="preserve"> 13,</w:t>
      </w:r>
      <w:r>
        <w:rPr>
          <w:i/>
          <w:iCs/>
        </w:rPr>
        <w:t xml:space="preserve"> </w:t>
      </w:r>
      <w:r>
        <w:t xml:space="preserve">25 (adapting the terms </w:t>
      </w:r>
      <w:r>
        <w:rPr>
          <w:i/>
          <w:iCs/>
        </w:rPr>
        <w:t>exogenous</w:t>
      </w:r>
      <w:r>
        <w:t xml:space="preserve"> and </w:t>
      </w:r>
      <w:r>
        <w:rPr>
          <w:i/>
          <w:iCs/>
        </w:rPr>
        <w:t>endogenous</w:t>
      </w:r>
      <w:r>
        <w:t xml:space="preserve"> to refer to a person’s externally perceived race versus their internally felt race, respectively).</w:t>
      </w:r>
    </w:p>
  </w:footnote>
  <w:footnote w:id="37">
    <w:p w14:paraId="5D66439B" w14:textId="77777777" w:rsidR="00B32E7B" w:rsidRDefault="00B32E7B" w:rsidP="00B32E7B">
      <w:pPr>
        <w:pStyle w:val="FootnoteText"/>
      </w:pPr>
      <w:r>
        <w:rPr>
          <w:rStyle w:val="FootnoteReference"/>
        </w:rPr>
        <w:footnoteRef/>
      </w:r>
      <w:r>
        <w:t xml:space="preserve"> Romans 7:14–25 (New International Version).</w:t>
      </w:r>
    </w:p>
  </w:footnote>
  <w:footnote w:id="38">
    <w:p w14:paraId="6FC529E6" w14:textId="25282BD3" w:rsidR="0001419B" w:rsidRPr="0006621A" w:rsidRDefault="0001419B" w:rsidP="0001419B">
      <w:pPr>
        <w:pStyle w:val="FootnoteText"/>
      </w:pPr>
      <w:r>
        <w:rPr>
          <w:rStyle w:val="FootnoteReference"/>
        </w:rPr>
        <w:footnoteRef/>
      </w:r>
      <w:r>
        <w:t xml:space="preserve"> </w:t>
      </w:r>
      <w:r>
        <w:rPr>
          <w:i/>
          <w:iCs/>
        </w:rPr>
        <w:t>See</w:t>
      </w:r>
      <w:r>
        <w:t xml:space="preserve"> </w:t>
      </w:r>
      <w:r>
        <w:rPr>
          <w:i/>
          <w:iCs/>
        </w:rPr>
        <w:t>generally</w:t>
      </w:r>
      <w:r>
        <w:t xml:space="preserve"> </w:t>
      </w:r>
      <w:r w:rsidRPr="003D59BF">
        <w:rPr>
          <w:smallCaps/>
        </w:rPr>
        <w:t>Richard J. Foster, Celebration of Discipline: The Path to Spiritual Growth</w:t>
      </w:r>
      <w:r>
        <w:t xml:space="preserve"> xvi (20</w:t>
      </w:r>
      <w:r w:rsidRPr="004424EC">
        <w:t>th</w:t>
      </w:r>
      <w:r>
        <w:t xml:space="preserve"> </w:t>
      </w:r>
      <w:proofErr w:type="spellStart"/>
      <w:r>
        <w:t>anniv</w:t>
      </w:r>
      <w:proofErr w:type="spellEnd"/>
      <w:r>
        <w:t>. ed. 2018) (“</w:t>
      </w:r>
      <w:r w:rsidR="00824946">
        <w:t>[T]</w:t>
      </w:r>
      <w:r>
        <w:t xml:space="preserve">he Spiritual Disciplines are actions of body and heart and mind and soul that we </w:t>
      </w:r>
      <w:proofErr w:type="gramStart"/>
      <w:r>
        <w:t xml:space="preserve">actually </w:t>
      </w:r>
      <w:r>
        <w:rPr>
          <w:i/>
          <w:iCs/>
        </w:rPr>
        <w:t>do</w:t>
      </w:r>
      <w:proofErr w:type="gramEnd"/>
      <w:r>
        <w:t xml:space="preserve">. Not just admire. Not just study. Not just debate. But </w:t>
      </w:r>
      <w:r>
        <w:rPr>
          <w:i/>
          <w:iCs/>
        </w:rPr>
        <w:t>practice</w:t>
      </w:r>
      <w:r>
        <w:t xml:space="preserve">.” (emphasis original)). </w:t>
      </w:r>
    </w:p>
  </w:footnote>
  <w:footnote w:id="39">
    <w:p w14:paraId="79E56106" w14:textId="2B5EDC5C" w:rsidR="0001419B" w:rsidRPr="00AE4AC1" w:rsidRDefault="0001419B" w:rsidP="0001419B">
      <w:pPr>
        <w:pStyle w:val="FootnoteText"/>
      </w:pPr>
      <w:r>
        <w:rPr>
          <w:rStyle w:val="FootnoteReference"/>
        </w:rPr>
        <w:footnoteRef/>
      </w:r>
      <w:r>
        <w:t xml:space="preserve"> Foster </w:t>
      </w:r>
      <w:r w:rsidR="00697CB2">
        <w:t>calls</w:t>
      </w:r>
      <w:r>
        <w:t xml:space="preserve"> this “the discipline of study.” </w:t>
      </w:r>
      <w:r>
        <w:rPr>
          <w:i/>
          <w:iCs/>
        </w:rPr>
        <w:t>Id.</w:t>
      </w:r>
      <w:r>
        <w:t xml:space="preserve"> at 62–</w:t>
      </w:r>
      <w:r w:rsidR="00FD1C45">
        <w:t>76</w:t>
      </w:r>
      <w:r>
        <w:t>.</w:t>
      </w:r>
    </w:p>
  </w:footnote>
  <w:footnote w:id="40">
    <w:p w14:paraId="6FC828C6" w14:textId="2591BE83" w:rsidR="0001419B" w:rsidRPr="0073330B" w:rsidRDefault="0001419B" w:rsidP="0001419B">
      <w:pPr>
        <w:pStyle w:val="FootnoteText"/>
      </w:pPr>
      <w:r>
        <w:rPr>
          <w:rStyle w:val="FootnoteReference"/>
        </w:rPr>
        <w:footnoteRef/>
      </w:r>
      <w:r>
        <w:t xml:space="preserve"> Foster </w:t>
      </w:r>
      <w:r w:rsidR="00697CB2">
        <w:t>calls</w:t>
      </w:r>
      <w:r>
        <w:t xml:space="preserve"> this “the discipline of guidance.” </w:t>
      </w:r>
      <w:r>
        <w:rPr>
          <w:i/>
          <w:iCs/>
        </w:rPr>
        <w:t>Id.</w:t>
      </w:r>
      <w:r>
        <w:t xml:space="preserve"> at 185–87.</w:t>
      </w:r>
    </w:p>
  </w:footnote>
  <w:footnote w:id="41">
    <w:p w14:paraId="6CD12F09" w14:textId="4084687F" w:rsidR="0001419B" w:rsidRPr="00CC500C" w:rsidRDefault="0001419B" w:rsidP="0001419B">
      <w:pPr>
        <w:pStyle w:val="FootnoteText"/>
      </w:pPr>
      <w:r>
        <w:rPr>
          <w:rStyle w:val="FootnoteReference"/>
        </w:rPr>
        <w:footnoteRef/>
      </w:r>
      <w:r>
        <w:t xml:space="preserve"> Foster </w:t>
      </w:r>
      <w:r w:rsidR="00697CB2">
        <w:t xml:space="preserve">calls </w:t>
      </w:r>
      <w:r>
        <w:t xml:space="preserve">this “the discipline of confession.” </w:t>
      </w:r>
      <w:r>
        <w:rPr>
          <w:i/>
          <w:iCs/>
        </w:rPr>
        <w:t>Id.</w:t>
      </w:r>
      <w:r>
        <w:t xml:space="preserve"> at 143–57.</w:t>
      </w:r>
    </w:p>
  </w:footnote>
  <w:footnote w:id="42">
    <w:p w14:paraId="5FF2E4A9" w14:textId="2C02F54C" w:rsidR="00EE203E" w:rsidRPr="005B4E84" w:rsidRDefault="00EE203E" w:rsidP="00EE203E">
      <w:pPr>
        <w:pStyle w:val="FootnoteText"/>
      </w:pPr>
      <w:r>
        <w:rPr>
          <w:rStyle w:val="FootnoteReference"/>
        </w:rPr>
        <w:footnoteRef/>
      </w:r>
      <w:r>
        <w:t xml:space="preserve"> </w:t>
      </w:r>
      <w:r w:rsidR="00B36B70">
        <w:rPr>
          <w:i/>
          <w:iCs/>
        </w:rPr>
        <w:t>See</w:t>
      </w:r>
      <w:r w:rsidR="00B36B70">
        <w:t xml:space="preserve"> </w:t>
      </w:r>
      <w:r w:rsidR="00B36B70" w:rsidRPr="00D667F6">
        <w:rPr>
          <w:smallCaps/>
        </w:rPr>
        <w:t>Merriam-Wesbter.com</w:t>
      </w:r>
      <w:r w:rsidR="00B36B70">
        <w:t xml:space="preserve">, </w:t>
      </w:r>
      <w:r w:rsidR="00B36B70">
        <w:rPr>
          <w:i/>
          <w:iCs/>
        </w:rPr>
        <w:t>Discipline</w:t>
      </w:r>
      <w:r w:rsidR="00B36B70">
        <w:t xml:space="preserve">, </w:t>
      </w:r>
      <w:hyperlink r:id="rId11" w:anchor="dictionary-entry-1" w:history="1">
        <w:r w:rsidR="005B4E84" w:rsidRPr="00817432">
          <w:rPr>
            <w:rStyle w:val="Hyperlink"/>
          </w:rPr>
          <w:t>https://www.merriam-webster.com/dictionary/discipline#dictionary-entry-1</w:t>
        </w:r>
      </w:hyperlink>
      <w:r w:rsidR="005B4E84">
        <w:t xml:space="preserve"> [</w:t>
      </w:r>
      <w:r w:rsidR="005B4E84" w:rsidRPr="005B4E84">
        <w:t>https://perma.cc/N4CZ-5RE3</w:t>
      </w:r>
      <w:r w:rsidR="005B4E84">
        <w:t xml:space="preserve">] (defining </w:t>
      </w:r>
      <w:r w:rsidR="005B4E84">
        <w:rPr>
          <w:i/>
          <w:iCs/>
        </w:rPr>
        <w:t>discipline</w:t>
      </w:r>
      <w:r w:rsidR="005B4E84">
        <w:t xml:space="preserve"> both as “</w:t>
      </w:r>
      <w:r w:rsidR="00BA4006">
        <w:t>a rule or system of rules governing conduct or activity” and “to impose order upon”).</w:t>
      </w:r>
    </w:p>
  </w:footnote>
  <w:footnote w:id="43">
    <w:p w14:paraId="26E74DA5" w14:textId="30E63165" w:rsidR="00F053AC" w:rsidRPr="000462DC" w:rsidRDefault="00B36B70" w:rsidP="00D75E14">
      <w:pPr>
        <w:pStyle w:val="FootnoteText"/>
      </w:pPr>
      <w:r>
        <w:rPr>
          <w:rStyle w:val="FootnoteReference"/>
        </w:rPr>
        <w:footnoteRef/>
      </w:r>
      <w:r>
        <w:t xml:space="preserve"> </w:t>
      </w:r>
      <w:r w:rsidR="000462DC" w:rsidRPr="000462DC">
        <w:rPr>
          <w:smallCaps/>
        </w:rPr>
        <w:t>Foster</w:t>
      </w:r>
      <w:r w:rsidR="000462DC">
        <w:t xml:space="preserve">, </w:t>
      </w:r>
      <w:r w:rsidR="000462DC">
        <w:rPr>
          <w:i/>
          <w:iCs/>
        </w:rPr>
        <w:t>supra</w:t>
      </w:r>
      <w:r w:rsidR="000462DC">
        <w:t xml:space="preserve"> note </w:t>
      </w:r>
      <w:r w:rsidR="000462DC">
        <w:fldChar w:fldCharType="begin"/>
      </w:r>
      <w:r w:rsidR="000462DC">
        <w:instrText xml:space="preserve"> NOTEREF _Ref172818201 \h </w:instrText>
      </w:r>
      <w:r w:rsidR="000462DC">
        <w:fldChar w:fldCharType="separate"/>
      </w:r>
      <w:r w:rsidR="00B3355A">
        <w:t>22</w:t>
      </w:r>
      <w:r w:rsidR="000462DC">
        <w:fldChar w:fldCharType="end"/>
      </w:r>
      <w:r w:rsidR="000462DC">
        <w:t xml:space="preserve">, at </w:t>
      </w:r>
      <w:r w:rsidR="0069565E">
        <w:t>62</w:t>
      </w:r>
      <w:r w:rsidR="00D75E14">
        <w:t xml:space="preserve">; </w:t>
      </w:r>
      <w:r w:rsidR="00D75E14">
        <w:rPr>
          <w:i/>
          <w:iCs/>
        </w:rPr>
        <w:t>cf.</w:t>
      </w:r>
      <w:r w:rsidR="00D75E14">
        <w:t xml:space="preserve"> Judges 17:6; 21:25 (New International Version) (attributing</w:t>
      </w:r>
      <w:r w:rsidR="006B1983">
        <w:t xml:space="preserve"> the violence and chaos plaguing </w:t>
      </w:r>
      <w:r w:rsidR="0079302C">
        <w:t>the nascent nation of Israel to the fact that “everyone did as they saw fit”</w:t>
      </w:r>
      <w:r w:rsidR="00743AF2">
        <w:t>).</w:t>
      </w:r>
    </w:p>
  </w:footnote>
  <w:footnote w:id="44">
    <w:p w14:paraId="468ECEE5" w14:textId="4AAF7A83" w:rsidR="00252203" w:rsidRPr="00BA6353" w:rsidRDefault="00252203">
      <w:pPr>
        <w:pStyle w:val="FootnoteText"/>
      </w:pPr>
      <w:r>
        <w:rPr>
          <w:rStyle w:val="FootnoteReference"/>
        </w:rPr>
        <w:footnoteRef/>
      </w:r>
      <w:r>
        <w:t xml:space="preserve"> </w:t>
      </w:r>
      <w:r w:rsidR="00F92BCF">
        <w:t xml:space="preserve">Sacrificing animals to </w:t>
      </w:r>
      <w:r w:rsidR="005505EF">
        <w:t xml:space="preserve">various deities </w:t>
      </w:r>
      <w:r w:rsidR="00A364C3">
        <w:t>was</w:t>
      </w:r>
      <w:r w:rsidR="005505EF">
        <w:t xml:space="preserve"> a common practice in first-century C.E. Corinth, </w:t>
      </w:r>
      <w:r w:rsidR="003A0253">
        <w:t xml:space="preserve">whose location made it a </w:t>
      </w:r>
      <w:r w:rsidR="00EB6EE8">
        <w:t xml:space="preserve">vital, </w:t>
      </w:r>
      <w:r w:rsidR="003A0253">
        <w:t xml:space="preserve">cosmopolitan trading </w:t>
      </w:r>
      <w:r w:rsidR="00EB6EE8">
        <w:t>port</w:t>
      </w:r>
      <w:r w:rsidR="00747814">
        <w:t xml:space="preserve"> within</w:t>
      </w:r>
      <w:r w:rsidR="003A0253">
        <w:t xml:space="preserve"> the </w:t>
      </w:r>
      <w:r w:rsidR="00747814">
        <w:t>Roman Empire.</w:t>
      </w:r>
      <w:r w:rsidR="00FE22F1">
        <w:t xml:space="preserve"> </w:t>
      </w:r>
      <w:r w:rsidR="00FE22F1">
        <w:rPr>
          <w:i/>
          <w:iCs/>
        </w:rPr>
        <w:t>See</w:t>
      </w:r>
      <w:r w:rsidR="00FE22F1">
        <w:t xml:space="preserve"> </w:t>
      </w:r>
      <w:r w:rsidR="00707DD2" w:rsidRPr="003A3D20">
        <w:rPr>
          <w:smallCaps/>
        </w:rPr>
        <w:t xml:space="preserve">Trent A. Rogers, God and the Idols: </w:t>
      </w:r>
      <w:r w:rsidR="003A3D20" w:rsidRPr="003A3D20">
        <w:rPr>
          <w:smallCaps/>
        </w:rPr>
        <w:t>Representations of God in I Corinthians 8–10</w:t>
      </w:r>
      <w:r w:rsidR="003A3D20">
        <w:t xml:space="preserve"> </w:t>
      </w:r>
      <w:r w:rsidR="00707DD2">
        <w:t>158 (</w:t>
      </w:r>
      <w:r w:rsidR="003A3D20">
        <w:t>2016).</w:t>
      </w:r>
      <w:r w:rsidR="000C2145">
        <w:t xml:space="preserve"> </w:t>
      </w:r>
      <w:r w:rsidR="00F01489">
        <w:t xml:space="preserve">Leftover meat from </w:t>
      </w:r>
      <w:r w:rsidR="00222B9F">
        <w:t xml:space="preserve">such </w:t>
      </w:r>
      <w:r w:rsidR="00F01489">
        <w:t xml:space="preserve">sacrifices was commonly sold to generate revenue for temples or </w:t>
      </w:r>
      <w:r w:rsidR="00BA6353">
        <w:t xml:space="preserve">served at community festivals. </w:t>
      </w:r>
      <w:r w:rsidR="00BA6353">
        <w:rPr>
          <w:i/>
          <w:iCs/>
        </w:rPr>
        <w:t>Id.</w:t>
      </w:r>
      <w:r w:rsidR="00BA6353">
        <w:t xml:space="preserve"> (</w:t>
      </w:r>
      <w:r w:rsidR="00967445">
        <w:t xml:space="preserve">discussing </w:t>
      </w:r>
      <w:r w:rsidR="00967445" w:rsidRPr="0072495B">
        <w:rPr>
          <w:smallCaps/>
        </w:rPr>
        <w:t xml:space="preserve">Wendell Lee Willis, </w:t>
      </w:r>
      <w:r w:rsidR="0072495B" w:rsidRPr="0072495B">
        <w:rPr>
          <w:smallCaps/>
        </w:rPr>
        <w:t>Idol Meat in Corinth: The Pauline Argument in I Corinthians 8 and 10</w:t>
      </w:r>
      <w:r w:rsidR="0072495B">
        <w:t xml:space="preserve"> (1985)).</w:t>
      </w:r>
    </w:p>
  </w:footnote>
  <w:footnote w:id="45">
    <w:p w14:paraId="08B29F84" w14:textId="6BA42F40" w:rsidR="006B01F7" w:rsidRPr="0018581F" w:rsidRDefault="006B01F7" w:rsidP="006B01F7">
      <w:pPr>
        <w:pStyle w:val="FootnoteText"/>
      </w:pPr>
      <w:r>
        <w:rPr>
          <w:rStyle w:val="FootnoteReference"/>
        </w:rPr>
        <w:footnoteRef/>
      </w:r>
      <w:r>
        <w:t xml:space="preserve"> </w:t>
      </w:r>
      <w:r w:rsidR="0018581F">
        <w:rPr>
          <w:i/>
          <w:iCs/>
        </w:rPr>
        <w:t>See generally</w:t>
      </w:r>
      <w:r w:rsidR="0018581F">
        <w:t xml:space="preserve"> I Corinthians 8</w:t>
      </w:r>
      <w:r w:rsidR="00EE167D">
        <w:t>–10</w:t>
      </w:r>
      <w:r w:rsidR="0018581F">
        <w:t xml:space="preserve"> (New International Version).</w:t>
      </w:r>
    </w:p>
  </w:footnote>
  <w:footnote w:id="46">
    <w:p w14:paraId="20DB266D" w14:textId="01669A8A" w:rsidR="00B85736" w:rsidRPr="00E73210" w:rsidRDefault="00B85736" w:rsidP="008A5007">
      <w:pPr>
        <w:pStyle w:val="FootnoteText"/>
      </w:pPr>
      <w:r>
        <w:rPr>
          <w:rStyle w:val="FootnoteReference"/>
        </w:rPr>
        <w:footnoteRef/>
      </w:r>
      <w:r>
        <w:t xml:space="preserve"> </w:t>
      </w:r>
      <w:r>
        <w:rPr>
          <w:i/>
          <w:iCs/>
        </w:rPr>
        <w:t>See</w:t>
      </w:r>
      <w:r>
        <w:t xml:space="preserve"> I Corinthians 8:</w:t>
      </w:r>
      <w:r w:rsidR="00777A0F">
        <w:t>2 (New International Version) (“</w:t>
      </w:r>
      <w:r w:rsidR="00777A0F" w:rsidRPr="00777A0F">
        <w:t>Those who think they know something do not yet know as they ought to know.</w:t>
      </w:r>
      <w:r w:rsidR="00777A0F">
        <w:t>”</w:t>
      </w:r>
      <w:r w:rsidR="00CF18E9">
        <w:t xml:space="preserve">); </w:t>
      </w:r>
      <w:r w:rsidR="00E73210" w:rsidRPr="00D860AA">
        <w:rPr>
          <w:smallCaps/>
        </w:rPr>
        <w:t>Rogers</w:t>
      </w:r>
      <w:r w:rsidR="00E73210">
        <w:t xml:space="preserve">, </w:t>
      </w:r>
      <w:r w:rsidR="00E73210">
        <w:rPr>
          <w:i/>
          <w:iCs/>
        </w:rPr>
        <w:t>supra</w:t>
      </w:r>
      <w:r w:rsidR="00E73210">
        <w:t xml:space="preserve"> note </w:t>
      </w:r>
      <w:r w:rsidR="00E73210">
        <w:fldChar w:fldCharType="begin"/>
      </w:r>
      <w:r w:rsidR="00E73210">
        <w:instrText xml:space="preserve"> NOTEREF _Ref172820809 \h </w:instrText>
      </w:r>
      <w:r w:rsidR="00E73210">
        <w:fldChar w:fldCharType="separate"/>
      </w:r>
      <w:r w:rsidR="00B3355A">
        <w:t>28</w:t>
      </w:r>
      <w:r w:rsidR="00E73210">
        <w:fldChar w:fldCharType="end"/>
      </w:r>
      <w:r w:rsidR="00E73210">
        <w:t xml:space="preserve">, at </w:t>
      </w:r>
      <w:r w:rsidR="0050594F">
        <w:t>156–57 (“</w:t>
      </w:r>
      <w:r w:rsidR="008A5007">
        <w:t>When a particular author (or community) designated something as idolatrous, he forbad the practice and also defined the faithful within the community as those who did not engage in that particular action.”).</w:t>
      </w:r>
    </w:p>
  </w:footnote>
  <w:footnote w:id="47">
    <w:p w14:paraId="784C24FC" w14:textId="2A167768" w:rsidR="00DE7BB5" w:rsidRPr="009E362B" w:rsidRDefault="00535BD2" w:rsidP="009464DE">
      <w:pPr>
        <w:pStyle w:val="FootnoteText"/>
      </w:pPr>
      <w:r>
        <w:rPr>
          <w:rStyle w:val="FootnoteReference"/>
        </w:rPr>
        <w:footnoteRef/>
      </w:r>
      <w:r>
        <w:t xml:space="preserve"> </w:t>
      </w:r>
      <w:r w:rsidR="00DC66CA">
        <w:rPr>
          <w:i/>
          <w:iCs/>
        </w:rPr>
        <w:t>See</w:t>
      </w:r>
      <w:r w:rsidR="00DC66CA">
        <w:t xml:space="preserve"> </w:t>
      </w:r>
      <w:r w:rsidR="00DC66CA" w:rsidRPr="00316332">
        <w:rPr>
          <w:smallCaps/>
        </w:rPr>
        <w:t>Rogers</w:t>
      </w:r>
      <w:r w:rsidR="00DC66CA">
        <w:t xml:space="preserve">, </w:t>
      </w:r>
      <w:r w:rsidR="00DC66CA">
        <w:rPr>
          <w:i/>
          <w:iCs/>
        </w:rPr>
        <w:t>supra</w:t>
      </w:r>
      <w:r w:rsidR="00DC66CA">
        <w:t xml:space="preserve"> note </w:t>
      </w:r>
      <w:r w:rsidR="000D662C">
        <w:fldChar w:fldCharType="begin"/>
      </w:r>
      <w:r w:rsidR="000D662C">
        <w:instrText xml:space="preserve"> NOTEREF _Ref172820809 \h </w:instrText>
      </w:r>
      <w:r w:rsidR="000D662C">
        <w:fldChar w:fldCharType="separate"/>
      </w:r>
      <w:r w:rsidR="00B3355A">
        <w:t>28</w:t>
      </w:r>
      <w:r w:rsidR="000D662C">
        <w:fldChar w:fldCharType="end"/>
      </w:r>
      <w:r w:rsidR="000D662C">
        <w:t>, at 4</w:t>
      </w:r>
      <w:r w:rsidR="00DC639D">
        <w:t>2</w:t>
      </w:r>
      <w:r w:rsidR="000D662C">
        <w:t>–44 (</w:t>
      </w:r>
      <w:r w:rsidR="005345AB">
        <w:t>“Questions about idolatry were questions of what a person could and could not do.”)</w:t>
      </w:r>
      <w:r w:rsidR="00316332">
        <w:t>.</w:t>
      </w:r>
      <w:r w:rsidR="009B0CD0">
        <w:t xml:space="preserve"> </w:t>
      </w:r>
      <w:r w:rsidR="00646653">
        <w:t>A</w:t>
      </w:r>
      <w:r w:rsidR="009464DE">
        <w:t>s</w:t>
      </w:r>
      <w:r w:rsidR="00646653">
        <w:t xml:space="preserve"> the sacrificial meat controversy itself demonstrate</w:t>
      </w:r>
      <w:r w:rsidR="004A7DDF">
        <w:t xml:space="preserve">s, </w:t>
      </w:r>
      <w:r w:rsidR="007409AC">
        <w:t>both the</w:t>
      </w:r>
      <w:r w:rsidR="00FF6CDD">
        <w:t xml:space="preserve"> </w:t>
      </w:r>
      <w:r w:rsidR="0076251B">
        <w:t xml:space="preserve">definitions </w:t>
      </w:r>
      <w:r w:rsidR="00FF6CDD">
        <w:t xml:space="preserve">of permissible activity and the </w:t>
      </w:r>
      <w:r w:rsidR="007225C9">
        <w:t xml:space="preserve">degree to which </w:t>
      </w:r>
      <w:r w:rsidR="005D7B97">
        <w:t>the faithful</w:t>
      </w:r>
      <w:r w:rsidR="007225C9">
        <w:t xml:space="preserve"> must</w:t>
      </w:r>
      <w:r w:rsidR="0076251B">
        <w:t xml:space="preserve"> adhere to</w:t>
      </w:r>
      <w:r w:rsidR="007225C9">
        <w:t xml:space="preserve"> them</w:t>
      </w:r>
      <w:r w:rsidR="005D7B97">
        <w:t xml:space="preserve"> are hotly debated within religious communities</w:t>
      </w:r>
      <w:r w:rsidR="001D1B2B">
        <w:t xml:space="preserve">. </w:t>
      </w:r>
      <w:r w:rsidR="001D1B2B">
        <w:rPr>
          <w:i/>
          <w:iCs/>
        </w:rPr>
        <w:t>See</w:t>
      </w:r>
      <w:r w:rsidR="00B1008B">
        <w:rPr>
          <w:i/>
          <w:iCs/>
        </w:rPr>
        <w:t xml:space="preserve"> id.</w:t>
      </w:r>
      <w:r w:rsidR="009E362B">
        <w:t xml:space="preserve">; </w:t>
      </w:r>
      <w:r w:rsidR="009E362B">
        <w:rPr>
          <w:i/>
          <w:iCs/>
        </w:rPr>
        <w:t>id.</w:t>
      </w:r>
      <w:r w:rsidR="009E362B">
        <w:t xml:space="preserve"> at 156–57.</w:t>
      </w:r>
    </w:p>
    <w:p w14:paraId="62460F21" w14:textId="28B5D16D" w:rsidR="00535BD2" w:rsidRPr="0037662F" w:rsidRDefault="00EE167D" w:rsidP="00316332">
      <w:pPr>
        <w:pStyle w:val="FootnoteText"/>
        <w:ind w:firstLine="540"/>
      </w:pPr>
      <w:r>
        <w:t xml:space="preserve">Paul’s </w:t>
      </w:r>
      <w:r w:rsidR="00870AED">
        <w:t xml:space="preserve">own </w:t>
      </w:r>
      <w:r>
        <w:t xml:space="preserve">answer to the </w:t>
      </w:r>
      <w:r w:rsidR="0084336E">
        <w:t>sacrificial meat question</w:t>
      </w:r>
      <w:r w:rsidR="00F8000F">
        <w:t xml:space="preserve"> </w:t>
      </w:r>
      <w:r w:rsidR="005838B7">
        <w:t>was</w:t>
      </w:r>
      <w:r w:rsidR="00F8000F">
        <w:t xml:space="preserve"> </w:t>
      </w:r>
      <w:r w:rsidR="00E738DE">
        <w:t xml:space="preserve">so confusing and complex that </w:t>
      </w:r>
      <w:r w:rsidR="006C42A2">
        <w:t xml:space="preserve">some scholars have </w:t>
      </w:r>
      <w:r w:rsidR="005D5337">
        <w:t>suggested that the relevant portion</w:t>
      </w:r>
      <w:r w:rsidR="0037662F">
        <w:t>s</w:t>
      </w:r>
      <w:r w:rsidR="005D5337">
        <w:t xml:space="preserve"> of I Corinthians </w:t>
      </w:r>
      <w:r w:rsidR="0037662F">
        <w:t xml:space="preserve">must </w:t>
      </w:r>
      <w:proofErr w:type="gramStart"/>
      <w:r w:rsidR="0037662F">
        <w:t>actually consist</w:t>
      </w:r>
      <w:proofErr w:type="gramEnd"/>
      <w:r w:rsidR="0037662F">
        <w:t xml:space="preserve"> of passages from multiple separate letters. </w:t>
      </w:r>
      <w:r w:rsidR="0037662F">
        <w:rPr>
          <w:i/>
          <w:iCs/>
        </w:rPr>
        <w:t>See, e.g.</w:t>
      </w:r>
      <w:r w:rsidR="00B60A7B">
        <w:t>,</w:t>
      </w:r>
      <w:r w:rsidR="0037662F">
        <w:t xml:space="preserve"> </w:t>
      </w:r>
      <w:r w:rsidR="0037662F">
        <w:rPr>
          <w:i/>
          <w:iCs/>
        </w:rPr>
        <w:t>id.</w:t>
      </w:r>
      <w:r w:rsidR="0037662F">
        <w:t xml:space="preserve"> at 2–</w:t>
      </w:r>
      <w:r w:rsidR="00D860AA">
        <w:t>7 (summarizing such “partition” theories).</w:t>
      </w:r>
    </w:p>
  </w:footnote>
  <w:footnote w:id="48">
    <w:p w14:paraId="370AA523" w14:textId="19EE0423" w:rsidR="002B4E47" w:rsidRDefault="002B4E47">
      <w:pPr>
        <w:pStyle w:val="FootnoteText"/>
      </w:pPr>
      <w:r>
        <w:rPr>
          <w:rStyle w:val="FootnoteReference"/>
        </w:rPr>
        <w:footnoteRef/>
      </w:r>
      <w:r>
        <w:t xml:space="preserve"> </w:t>
      </w:r>
      <w:r w:rsidR="00771EA8">
        <w:t>Aphrodite (Romanized as Venus) was the patron deity of Corinth</w:t>
      </w:r>
      <w:r w:rsidR="00AA5BBF">
        <w:t xml:space="preserve">. A massive temple to her dominated </w:t>
      </w:r>
      <w:r w:rsidR="00CB1937">
        <w:t xml:space="preserve">the city’s acropolis. </w:t>
      </w:r>
      <w:r w:rsidR="001606E4">
        <w:rPr>
          <w:i/>
          <w:iCs/>
        </w:rPr>
        <w:t>E.g.</w:t>
      </w:r>
      <w:r w:rsidR="001606E4">
        <w:t xml:space="preserve">, </w:t>
      </w:r>
      <w:r w:rsidR="007019EE" w:rsidRPr="00162250">
        <w:rPr>
          <w:smallCaps/>
        </w:rPr>
        <w:t>Pausanias,</w:t>
      </w:r>
      <w:r w:rsidR="00D02E31" w:rsidRPr="00162250">
        <w:rPr>
          <w:smallCaps/>
        </w:rPr>
        <w:t xml:space="preserve"> Description of Greece</w:t>
      </w:r>
      <w:r w:rsidR="007019EE">
        <w:t xml:space="preserve"> 2.5.1 (</w:t>
      </w:r>
      <w:r w:rsidR="004D2BCA">
        <w:t xml:space="preserve">W.H.S. Jones, trans. </w:t>
      </w:r>
      <w:r w:rsidR="00161FDC">
        <w:t xml:space="preserve">1918), </w:t>
      </w:r>
      <w:hyperlink r:id="rId12" w:anchor="1" w:history="1">
        <w:r w:rsidR="00161FDC" w:rsidRPr="00817432">
          <w:rPr>
            <w:rStyle w:val="Hyperlink"/>
          </w:rPr>
          <w:t>https://www.theoi.com/Text/Pausanias2A.html#1</w:t>
        </w:r>
      </w:hyperlink>
      <w:r w:rsidR="00161FDC">
        <w:t xml:space="preserve"> </w:t>
      </w:r>
      <w:r w:rsidR="00D02E31">
        <w:t>[</w:t>
      </w:r>
      <w:r w:rsidR="00D02E31" w:rsidRPr="00D02E31">
        <w:t>https://perma.cc/TZZ8-QJCU</w:t>
      </w:r>
      <w:r w:rsidR="00D02E31">
        <w:t>].</w:t>
      </w:r>
      <w:r w:rsidR="00CB1937">
        <w:t xml:space="preserve"> </w:t>
      </w:r>
    </w:p>
  </w:footnote>
  <w:footnote w:id="49">
    <w:p w14:paraId="647F8B49" w14:textId="69E9F03D" w:rsidR="00DE3C19" w:rsidRPr="00A60E65" w:rsidRDefault="00DE3C19">
      <w:pPr>
        <w:pStyle w:val="FootnoteText"/>
      </w:pPr>
      <w:r>
        <w:rPr>
          <w:rStyle w:val="FootnoteReference"/>
        </w:rPr>
        <w:footnoteRef/>
      </w:r>
      <w:r>
        <w:t xml:space="preserve"> </w:t>
      </w:r>
      <w:r w:rsidR="00A60E65">
        <w:rPr>
          <w:i/>
          <w:iCs/>
        </w:rPr>
        <w:t>See generally</w:t>
      </w:r>
      <w:r w:rsidR="00A60E65">
        <w:t xml:space="preserve"> </w:t>
      </w:r>
      <w:r w:rsidR="00A60E65" w:rsidRPr="00EE4AA5">
        <w:rPr>
          <w:smallCaps/>
        </w:rPr>
        <w:t xml:space="preserve">Mark A. Yarhouse &amp; </w:t>
      </w:r>
      <w:r w:rsidR="00DD0548" w:rsidRPr="00EE4AA5">
        <w:rPr>
          <w:smallCaps/>
        </w:rPr>
        <w:t>Olya Zaporozhets, Costly Obedience: What We Can Learn from the Celibate Gay Christian Community</w:t>
      </w:r>
      <w:r w:rsidR="00DD0548">
        <w:t xml:space="preserve"> (</w:t>
      </w:r>
      <w:r w:rsidR="00EE4AA5">
        <w:t>2019).</w:t>
      </w:r>
    </w:p>
  </w:footnote>
  <w:footnote w:id="50">
    <w:p w14:paraId="47BE3088" w14:textId="15943CE8" w:rsidR="008204B2" w:rsidRPr="008204B2" w:rsidRDefault="008204B2">
      <w:pPr>
        <w:pStyle w:val="FootnoteText"/>
      </w:pPr>
      <w:r>
        <w:rPr>
          <w:rStyle w:val="FootnoteReference"/>
        </w:rPr>
        <w:footnoteRef/>
      </w:r>
      <w:r>
        <w:t xml:space="preserve"> </w:t>
      </w:r>
      <w:r>
        <w:rPr>
          <w:i/>
          <w:iCs/>
        </w:rPr>
        <w:t>See supra</w:t>
      </w:r>
      <w:r>
        <w:t xml:space="preserve"> note </w:t>
      </w:r>
      <w:r w:rsidR="006162DD">
        <w:fldChar w:fldCharType="begin"/>
      </w:r>
      <w:r w:rsidR="006162DD">
        <w:instrText xml:space="preserve"> NOTEREF _Ref174201469 \h </w:instrText>
      </w:r>
      <w:r w:rsidR="006162DD">
        <w:fldChar w:fldCharType="separate"/>
      </w:r>
      <w:r w:rsidR="00B3355A">
        <w:t>20</w:t>
      </w:r>
      <w:r w:rsidR="006162DD">
        <w:fldChar w:fldCharType="end"/>
      </w:r>
      <w:r w:rsidR="006162DD">
        <w:t>.</w:t>
      </w:r>
    </w:p>
  </w:footnote>
  <w:footnote w:id="51">
    <w:p w14:paraId="6538B15D" w14:textId="2AFDE392" w:rsidR="00834EE8" w:rsidRPr="00082662" w:rsidRDefault="00834EE8" w:rsidP="00834EE8">
      <w:pPr>
        <w:pStyle w:val="FootnoteText"/>
      </w:pPr>
      <w:r>
        <w:rPr>
          <w:rStyle w:val="FootnoteReference"/>
        </w:rPr>
        <w:footnoteRef/>
      </w:r>
      <w:r>
        <w:t xml:space="preserve"> </w:t>
      </w:r>
      <w:r>
        <w:rPr>
          <w:i/>
          <w:iCs/>
        </w:rPr>
        <w:t>E.g.</w:t>
      </w:r>
      <w:r>
        <w:t>,</w:t>
      </w:r>
      <w:r>
        <w:rPr>
          <w:i/>
          <w:iCs/>
        </w:rPr>
        <w:t xml:space="preserve"> Endogenous</w:t>
      </w:r>
      <w:r>
        <w:t xml:space="preserve">, Dictionary.com, </w:t>
      </w:r>
      <w:hyperlink r:id="rId13" w:history="1">
        <w:r w:rsidRPr="00DA58E2">
          <w:rPr>
            <w:rStyle w:val="Hyperlink"/>
          </w:rPr>
          <w:t>https://www.dictionary.com/browse/endogenous</w:t>
        </w:r>
      </w:hyperlink>
      <w:r>
        <w:t xml:space="preserve"> [</w:t>
      </w:r>
      <w:r w:rsidRPr="00AD070A">
        <w:t>https://perma.cc/Z498-UV8D</w:t>
      </w:r>
      <w:r>
        <w:t xml:space="preserve">] (defining </w:t>
      </w:r>
      <w:r>
        <w:rPr>
          <w:i/>
          <w:iCs/>
        </w:rPr>
        <w:t>endogenous</w:t>
      </w:r>
      <w:r>
        <w:t xml:space="preserve"> as “</w:t>
      </w:r>
      <w:r w:rsidRPr="00A51834">
        <w:t>proceeding from within; derived internally</w:t>
      </w:r>
      <w:r>
        <w:t xml:space="preserve">”). </w:t>
      </w:r>
      <w:r>
        <w:rPr>
          <w:i/>
          <w:iCs/>
        </w:rPr>
        <w:t>Cf.</w:t>
      </w:r>
      <w:r>
        <w:t xml:space="preserve"> Mason, </w:t>
      </w:r>
      <w:r>
        <w:rPr>
          <w:i/>
          <w:iCs/>
        </w:rPr>
        <w:t>supra</w:t>
      </w:r>
      <w:r>
        <w:t xml:space="preserve"> note</w:t>
      </w:r>
      <w:r w:rsidR="00EF4172">
        <w:t xml:space="preserve"> </w:t>
      </w:r>
      <w:r w:rsidR="00EF4172">
        <w:fldChar w:fldCharType="begin"/>
      </w:r>
      <w:r w:rsidR="00EF4172">
        <w:instrText xml:space="preserve"> NOTEREF _Ref174201469 \h </w:instrText>
      </w:r>
      <w:r w:rsidR="00EF4172">
        <w:fldChar w:fldCharType="separate"/>
      </w:r>
      <w:r w:rsidR="00EF4172">
        <w:t>34</w:t>
      </w:r>
      <w:r w:rsidR="00EF4172">
        <w:fldChar w:fldCharType="end"/>
      </w:r>
      <w:r>
        <w:t>, at 25.</w:t>
      </w:r>
    </w:p>
  </w:footnote>
  <w:footnote w:id="52">
    <w:p w14:paraId="1011C5FE" w14:textId="61862C5B" w:rsidR="003B5CCE" w:rsidRDefault="00301438" w:rsidP="00C8059B">
      <w:pPr>
        <w:pStyle w:val="FootnoteText"/>
      </w:pPr>
      <w:r>
        <w:rPr>
          <w:rStyle w:val="FootnoteReference"/>
        </w:rPr>
        <w:footnoteRef/>
      </w:r>
      <w:r w:rsidR="00673C03">
        <w:t xml:space="preserve"> </w:t>
      </w:r>
      <w:r w:rsidR="0047615B">
        <w:t xml:space="preserve">Dr. </w:t>
      </w:r>
      <w:r w:rsidR="00673C03">
        <w:t xml:space="preserve">Jack Turban, the </w:t>
      </w:r>
      <w:r w:rsidR="00011D80">
        <w:t xml:space="preserve">director of the Gender Psychiatry Program at the University of California, San Francisco, calls </w:t>
      </w:r>
      <w:r w:rsidR="00DA33B8">
        <w:t>this subjective sense “</w:t>
      </w:r>
      <w:r w:rsidR="00D8550B">
        <w:t xml:space="preserve">one’s </w:t>
      </w:r>
      <w:r w:rsidR="00D8550B">
        <w:rPr>
          <w:i/>
          <w:iCs/>
        </w:rPr>
        <w:t>transcendent</w:t>
      </w:r>
      <w:r w:rsidR="00D8550B">
        <w:t xml:space="preserve"> state of gender.” </w:t>
      </w:r>
      <w:r w:rsidR="00D8550B" w:rsidRPr="00D8550B">
        <w:rPr>
          <w:smallCaps/>
        </w:rPr>
        <w:t>Turban</w:t>
      </w:r>
      <w:r w:rsidR="00D8550B">
        <w:t xml:space="preserve">, </w:t>
      </w:r>
      <w:r w:rsidR="00D8550B">
        <w:rPr>
          <w:i/>
          <w:iCs/>
        </w:rPr>
        <w:t>supra</w:t>
      </w:r>
      <w:r w:rsidR="00D8550B">
        <w:t xml:space="preserve"> note</w:t>
      </w:r>
      <w:r w:rsidR="00EF4172">
        <w:t xml:space="preserve"> </w:t>
      </w:r>
      <w:r w:rsidR="00EF4172">
        <w:rPr>
          <w:highlight w:val="yellow"/>
        </w:rPr>
        <w:fldChar w:fldCharType="begin"/>
      </w:r>
      <w:r w:rsidR="00EF4172">
        <w:instrText xml:space="preserve"> NOTEREF _Ref184739380 \h </w:instrText>
      </w:r>
      <w:r w:rsidR="00EF4172">
        <w:rPr>
          <w:highlight w:val="yellow"/>
        </w:rPr>
      </w:r>
      <w:r w:rsidR="00EF4172">
        <w:rPr>
          <w:highlight w:val="yellow"/>
        </w:rPr>
        <w:fldChar w:fldCharType="separate"/>
      </w:r>
      <w:r w:rsidR="00EF4172">
        <w:t>14</w:t>
      </w:r>
      <w:r w:rsidR="00EF4172">
        <w:rPr>
          <w:highlight w:val="yellow"/>
        </w:rPr>
        <w:fldChar w:fldCharType="end"/>
      </w:r>
      <w:r w:rsidR="00D8550B">
        <w:t>, at 38–39 (emphasis original).</w:t>
      </w:r>
      <w:r>
        <w:t xml:space="preserve"> </w:t>
      </w:r>
      <w:r w:rsidR="0047615B">
        <w:t>T</w:t>
      </w:r>
      <w:r w:rsidR="00E476E3">
        <w:t>ransgender feminist</w:t>
      </w:r>
      <w:r w:rsidR="0047615B">
        <w:t xml:space="preserve"> and biologist</w:t>
      </w:r>
      <w:r w:rsidR="00BA35B3">
        <w:t xml:space="preserve"> Dr.</w:t>
      </w:r>
      <w:r w:rsidR="00E476E3">
        <w:t xml:space="preserve"> Julia Serano describes a similar phenomenon, which she calls “subconscious sex.” </w:t>
      </w:r>
      <w:r w:rsidR="00BA35B3" w:rsidRPr="007B7372">
        <w:rPr>
          <w:smallCaps/>
        </w:rPr>
        <w:t>Julia Serano</w:t>
      </w:r>
      <w:r w:rsidR="00BA35B3">
        <w:t xml:space="preserve">, </w:t>
      </w:r>
      <w:r w:rsidR="00BA35B3" w:rsidRPr="0095120B">
        <w:rPr>
          <w:smallCaps/>
        </w:rPr>
        <w:t xml:space="preserve">Whipping Girl: </w:t>
      </w:r>
      <w:r w:rsidR="00A323E1" w:rsidRPr="0095120B">
        <w:rPr>
          <w:smallCaps/>
        </w:rPr>
        <w:t>A Trans</w:t>
      </w:r>
      <w:r w:rsidR="007B7372" w:rsidRPr="0095120B">
        <w:rPr>
          <w:smallCaps/>
        </w:rPr>
        <w:t>sexual Woman on Sexism and the Scapegoating of Femininity</w:t>
      </w:r>
      <w:r w:rsidR="007B7372">
        <w:t xml:space="preserve"> 86–90 (2007).</w:t>
      </w:r>
      <w:r w:rsidR="007143ED">
        <w:t xml:space="preserve"> </w:t>
      </w:r>
    </w:p>
    <w:p w14:paraId="25702C93" w14:textId="10BFBF9A" w:rsidR="00F820D8" w:rsidRPr="007B5705" w:rsidRDefault="00FD59CF" w:rsidP="003B5CCE">
      <w:pPr>
        <w:pStyle w:val="FootnoteText"/>
        <w:ind w:firstLine="540"/>
      </w:pPr>
      <w:r>
        <w:t xml:space="preserve">I use “internal gender sense” to refer to this subjective sense of gender. </w:t>
      </w:r>
      <w:r w:rsidR="00F820D8">
        <w:t>Importantly,</w:t>
      </w:r>
      <w:r w:rsidR="00717200">
        <w:t xml:space="preserve"> internal gender sense</w:t>
      </w:r>
      <w:r w:rsidR="00F820D8">
        <w:t xml:space="preserve"> </w:t>
      </w:r>
      <w:r w:rsidR="00E3749F">
        <w:t>is not inherently binary (male/female)</w:t>
      </w:r>
      <w:r w:rsidR="00765EC2">
        <w:t>.</w:t>
      </w:r>
      <w:r w:rsidR="00075A5B">
        <w:t xml:space="preserve"> </w:t>
      </w:r>
      <w:r w:rsidR="00D0000D">
        <w:rPr>
          <w:i/>
          <w:iCs/>
        </w:rPr>
        <w:t xml:space="preserve">See </w:t>
      </w:r>
      <w:r w:rsidR="00D0000D">
        <w:t xml:space="preserve">Clarke, </w:t>
      </w:r>
      <w:r w:rsidR="00D0000D">
        <w:rPr>
          <w:i/>
          <w:iCs/>
        </w:rPr>
        <w:t>supra</w:t>
      </w:r>
      <w:r w:rsidR="00D0000D">
        <w:t xml:space="preserve"> note </w:t>
      </w:r>
      <w:r w:rsidR="00362BE3">
        <w:fldChar w:fldCharType="begin"/>
      </w:r>
      <w:r w:rsidR="00362BE3">
        <w:instrText xml:space="preserve"> NOTEREF _Ref184724873 \h </w:instrText>
      </w:r>
      <w:r w:rsidR="00362BE3">
        <w:fldChar w:fldCharType="separate"/>
      </w:r>
      <w:r w:rsidR="00362BE3">
        <w:t>7</w:t>
      </w:r>
      <w:r w:rsidR="00362BE3">
        <w:fldChar w:fldCharType="end"/>
      </w:r>
      <w:r w:rsidR="00362BE3">
        <w:t xml:space="preserve">, at </w:t>
      </w:r>
      <w:r w:rsidR="00FC5BFA">
        <w:t xml:space="preserve">897–98; Am. Psych. </w:t>
      </w:r>
      <w:proofErr w:type="spellStart"/>
      <w:r w:rsidR="00FC5BFA">
        <w:t>Ass’n</w:t>
      </w:r>
      <w:proofErr w:type="spellEnd"/>
      <w:r w:rsidR="00FC5BFA">
        <w:t xml:space="preserve">, </w:t>
      </w:r>
      <w:r w:rsidR="00FC5BFA">
        <w:rPr>
          <w:i/>
          <w:iCs/>
        </w:rPr>
        <w:t>Guidelines for</w:t>
      </w:r>
      <w:r w:rsidR="008F4123">
        <w:rPr>
          <w:i/>
          <w:iCs/>
        </w:rPr>
        <w:t xml:space="preserve"> Psychological Practice with Transgender and Gender Nonconforming People</w:t>
      </w:r>
      <w:r w:rsidR="008F4123">
        <w:t xml:space="preserve">, </w:t>
      </w:r>
      <w:r w:rsidR="00921AA5">
        <w:t xml:space="preserve">70 </w:t>
      </w:r>
      <w:r w:rsidR="00921AA5" w:rsidRPr="00032E1B">
        <w:rPr>
          <w:smallCaps/>
        </w:rPr>
        <w:t>Am. Psych.</w:t>
      </w:r>
      <w:r w:rsidR="00921AA5">
        <w:t xml:space="preserve"> 832, </w:t>
      </w:r>
      <w:r w:rsidR="00032E1B">
        <w:t>834</w:t>
      </w:r>
      <w:r w:rsidR="00676017">
        <w:t>–35</w:t>
      </w:r>
      <w:r w:rsidR="00032E1B">
        <w:t xml:space="preserve"> (2015)</w:t>
      </w:r>
      <w:r w:rsidR="00075A5B">
        <w:t>.</w:t>
      </w:r>
      <w:r w:rsidR="00765EC2">
        <w:t xml:space="preserve"> S</w:t>
      </w:r>
      <w:r w:rsidR="00E3749F">
        <w:t>ome</w:t>
      </w:r>
      <w:r w:rsidR="00CF1583">
        <w:t xml:space="preserve"> people</w:t>
      </w:r>
      <w:r w:rsidR="00765EC2">
        <w:t xml:space="preserve">’s internal gender sense is not static, </w:t>
      </w:r>
      <w:r w:rsidR="0066148B">
        <w:t xml:space="preserve">Turban, </w:t>
      </w:r>
      <w:r w:rsidR="0066148B">
        <w:rPr>
          <w:i/>
          <w:iCs/>
        </w:rPr>
        <w:t>supra</w:t>
      </w:r>
      <w:r w:rsidR="0066148B">
        <w:t xml:space="preserve"> note </w:t>
      </w:r>
      <w:r w:rsidR="0066148B">
        <w:fldChar w:fldCharType="begin"/>
      </w:r>
      <w:r w:rsidR="0066148B">
        <w:instrText xml:space="preserve"> NOTEREF _Ref184739380 \h </w:instrText>
      </w:r>
      <w:r w:rsidR="0066148B">
        <w:fldChar w:fldCharType="separate"/>
      </w:r>
      <w:r w:rsidR="0066148B">
        <w:t>14</w:t>
      </w:r>
      <w:r w:rsidR="0066148B">
        <w:fldChar w:fldCharType="end"/>
      </w:r>
      <w:r w:rsidR="0066148B">
        <w:t>, at 168</w:t>
      </w:r>
      <w:r w:rsidR="00765EC2">
        <w:t>, and some</w:t>
      </w:r>
      <w:r w:rsidR="00CF1583">
        <w:t xml:space="preserve"> have no internal gender sense at all. </w:t>
      </w:r>
      <w:r w:rsidR="007230C7">
        <w:rPr>
          <w:i/>
          <w:iCs/>
        </w:rPr>
        <w:t>See</w:t>
      </w:r>
      <w:r w:rsidR="007230C7">
        <w:t xml:space="preserve"> </w:t>
      </w:r>
      <w:proofErr w:type="spellStart"/>
      <w:r w:rsidR="007C3D43">
        <w:rPr>
          <w:i/>
          <w:iCs/>
        </w:rPr>
        <w:t>Inqueery</w:t>
      </w:r>
      <w:proofErr w:type="spellEnd"/>
      <w:r w:rsidR="007C3D43">
        <w:rPr>
          <w:i/>
          <w:iCs/>
        </w:rPr>
        <w:t xml:space="preserve">: What Does It Mean to Be </w:t>
      </w:r>
      <w:proofErr w:type="gramStart"/>
      <w:r w:rsidR="007C3D43">
        <w:rPr>
          <w:i/>
          <w:iCs/>
        </w:rPr>
        <w:t>Agender?</w:t>
      </w:r>
      <w:r w:rsidR="007C3D43">
        <w:t>,</w:t>
      </w:r>
      <w:proofErr w:type="gramEnd"/>
      <w:r w:rsidR="007C3D43">
        <w:t xml:space="preserve"> (</w:t>
      </w:r>
      <w:r w:rsidR="007C3D43" w:rsidRPr="005842B7">
        <w:rPr>
          <w:smallCaps/>
        </w:rPr>
        <w:t>them</w:t>
      </w:r>
      <w:r w:rsidR="005842B7">
        <w:t xml:space="preserve"> Aug. 7, 2018) </w:t>
      </w:r>
      <w:hyperlink r:id="rId14" w:history="1">
        <w:r w:rsidR="005842B7" w:rsidRPr="000D5669">
          <w:rPr>
            <w:rStyle w:val="Hyperlink"/>
          </w:rPr>
          <w:t>https://www.them.us/story/inqueery-agender</w:t>
        </w:r>
      </w:hyperlink>
      <w:r w:rsidR="005842B7">
        <w:t xml:space="preserve"> [</w:t>
      </w:r>
      <w:r w:rsidR="005842B7" w:rsidRPr="005842B7">
        <w:t>https://perma.cc/YR3V-B767</w:t>
      </w:r>
      <w:r w:rsidR="005842B7">
        <w:t>]</w:t>
      </w:r>
      <w:r w:rsidR="00CF1583">
        <w:t xml:space="preserve">. </w:t>
      </w:r>
      <w:r w:rsidR="003D796D">
        <w:t xml:space="preserve">My argument does not ultimately depend upon the existence of this internal gender sense, </w:t>
      </w:r>
      <w:r w:rsidR="007A5E5D">
        <w:t xml:space="preserve">since my points </w:t>
      </w:r>
      <w:r w:rsidR="007B5705">
        <w:t xml:space="preserve">would apply equally to a collection of unaffiliated subjective preferences that society codes as gendered. </w:t>
      </w:r>
      <w:r w:rsidR="007B5705">
        <w:rPr>
          <w:i/>
          <w:iCs/>
        </w:rPr>
        <w:t>See infra</w:t>
      </w:r>
      <w:r w:rsidR="007B5705">
        <w:t xml:space="preserve"> note </w:t>
      </w:r>
      <w:r w:rsidR="007B5705">
        <w:fldChar w:fldCharType="begin"/>
      </w:r>
      <w:r w:rsidR="007B5705">
        <w:instrText xml:space="preserve"> NOTEREF _Ref174440204 \h </w:instrText>
      </w:r>
      <w:r w:rsidR="007B5705">
        <w:fldChar w:fldCharType="separate"/>
      </w:r>
      <w:r w:rsidR="00B3355A">
        <w:t>37</w:t>
      </w:r>
      <w:r w:rsidR="007B5705">
        <w:fldChar w:fldCharType="end"/>
      </w:r>
      <w:r w:rsidR="007B5705">
        <w:t xml:space="preserve"> and accompanying text.</w:t>
      </w:r>
    </w:p>
  </w:footnote>
  <w:footnote w:id="53">
    <w:p w14:paraId="42BB7683" w14:textId="5E158165" w:rsidR="00B1433C" w:rsidRPr="00375722" w:rsidRDefault="00B1433C">
      <w:pPr>
        <w:pStyle w:val="FootnoteText"/>
      </w:pPr>
      <w:r>
        <w:rPr>
          <w:rStyle w:val="FootnoteReference"/>
        </w:rPr>
        <w:footnoteRef/>
      </w:r>
      <w:r>
        <w:t xml:space="preserve"> </w:t>
      </w:r>
      <w:r w:rsidR="00BF0526">
        <w:rPr>
          <w:i/>
          <w:iCs/>
        </w:rPr>
        <w:t>See</w:t>
      </w:r>
      <w:r w:rsidR="00375722">
        <w:rPr>
          <w:i/>
          <w:iCs/>
        </w:rPr>
        <w:t>, e.g.</w:t>
      </w:r>
      <w:r w:rsidR="00375722">
        <w:t xml:space="preserve">, Alison Stone, </w:t>
      </w:r>
      <w:r w:rsidR="00375722">
        <w:rPr>
          <w:i/>
          <w:iCs/>
        </w:rPr>
        <w:t>Essentialism and Anti</w:t>
      </w:r>
      <w:r w:rsidR="002D7921">
        <w:rPr>
          <w:i/>
          <w:iCs/>
        </w:rPr>
        <w:t>-E</w:t>
      </w:r>
      <w:r w:rsidR="00375722">
        <w:rPr>
          <w:i/>
          <w:iCs/>
        </w:rPr>
        <w:t xml:space="preserve">ssentialism in </w:t>
      </w:r>
      <w:r w:rsidR="002D7921">
        <w:rPr>
          <w:i/>
          <w:iCs/>
        </w:rPr>
        <w:t>Feminist Philosophy</w:t>
      </w:r>
      <w:r w:rsidR="002D7921">
        <w:t xml:space="preserve">, </w:t>
      </w:r>
      <w:r w:rsidR="007A21C5">
        <w:t xml:space="preserve">1 </w:t>
      </w:r>
      <w:r w:rsidR="007A21C5" w:rsidRPr="007A21C5">
        <w:rPr>
          <w:smallCaps/>
        </w:rPr>
        <w:t>J. Moral Phil</w:t>
      </w:r>
      <w:r w:rsidR="007A21C5">
        <w:t>. 135,</w:t>
      </w:r>
      <w:r w:rsidR="002D7921">
        <w:rPr>
          <w:i/>
          <w:iCs/>
        </w:rPr>
        <w:t xml:space="preserve"> </w:t>
      </w:r>
      <w:r w:rsidR="00375722">
        <w:t>139 (2004).</w:t>
      </w:r>
      <w:r w:rsidR="0079789E">
        <w:t xml:space="preserve"> Societal constructs of masculinity and femininity make it possible to “perform” gender</w:t>
      </w:r>
      <w:r w:rsidR="0081562F">
        <w:t xml:space="preserve">, </w:t>
      </w:r>
      <w:r w:rsidR="0081562F">
        <w:rPr>
          <w:i/>
          <w:iCs/>
        </w:rPr>
        <w:t>see</w:t>
      </w:r>
      <w:r w:rsidR="0081562F">
        <w:t xml:space="preserve"> </w:t>
      </w:r>
      <w:r w:rsidR="0081562F" w:rsidRPr="00AF4026">
        <w:rPr>
          <w:smallCaps/>
        </w:rPr>
        <w:t xml:space="preserve">Julia Serano, Excluded: </w:t>
      </w:r>
      <w:r w:rsidR="0095120B" w:rsidRPr="00AF4026">
        <w:rPr>
          <w:smallCaps/>
        </w:rPr>
        <w:t>Making Feminist and Queer Movements More Inclusive</w:t>
      </w:r>
      <w:r w:rsidR="0095120B">
        <w:t xml:space="preserve"> </w:t>
      </w:r>
      <w:r w:rsidR="001438BD" w:rsidRPr="007A6351">
        <w:rPr>
          <w:highlight w:val="yellow"/>
        </w:rPr>
        <w:t>Ch. 6</w:t>
      </w:r>
      <w:r w:rsidR="001438BD">
        <w:t xml:space="preserve"> (</w:t>
      </w:r>
      <w:r w:rsidR="00CD1013">
        <w:t>2103),</w:t>
      </w:r>
      <w:r w:rsidR="00453D62">
        <w:t xml:space="preserve"> as well as to discriminate against someone </w:t>
      </w:r>
      <w:r w:rsidR="00C542CF">
        <w:t xml:space="preserve">based on their failure to perform according to their perceived gender. </w:t>
      </w:r>
      <w:r w:rsidR="00C542CF">
        <w:rPr>
          <w:i/>
          <w:iCs/>
        </w:rPr>
        <w:t xml:space="preserve">See </w:t>
      </w:r>
      <w:r w:rsidR="00C542CF">
        <w:t xml:space="preserve">Price Waterhouse v. Hopkins, 490 U.S. 228, 250–51 (1989) (holding that “sex stereotyping” is a prohibited form of sex discrimination); </w:t>
      </w:r>
      <w:r w:rsidR="00C542CF">
        <w:rPr>
          <w:i/>
          <w:iCs/>
        </w:rPr>
        <w:t>see also</w:t>
      </w:r>
      <w:r w:rsidR="00C542CF">
        <w:t xml:space="preserve"> </w:t>
      </w:r>
      <w:r w:rsidR="00C542CF" w:rsidRPr="009D36B0">
        <w:rPr>
          <w:smallCaps/>
        </w:rPr>
        <w:t xml:space="preserve">Kate Manne, Down Girl: The Logic of Misogyny </w:t>
      </w:r>
      <w:r w:rsidR="00C542CF">
        <w:t xml:space="preserve">62–64 (2018) (defining </w:t>
      </w:r>
      <w:r w:rsidR="00C542CF">
        <w:rPr>
          <w:i/>
          <w:iCs/>
        </w:rPr>
        <w:t>misogyny</w:t>
      </w:r>
      <w:r w:rsidR="00C542CF">
        <w:t xml:space="preserve"> as the punishment of women for failing to perform according to patriarchal expectations).</w:t>
      </w:r>
    </w:p>
  </w:footnote>
  <w:footnote w:id="54">
    <w:p w14:paraId="6EA69239" w14:textId="4F48DCCF" w:rsidR="00CA5392" w:rsidRPr="00CA5392" w:rsidRDefault="00CA5392">
      <w:pPr>
        <w:pStyle w:val="FootnoteText"/>
      </w:pPr>
      <w:r>
        <w:rPr>
          <w:rStyle w:val="FootnoteReference"/>
        </w:rPr>
        <w:footnoteRef/>
      </w:r>
      <w:r>
        <w:t xml:space="preserve"> Dorothy Sayers, </w:t>
      </w:r>
      <w:r>
        <w:rPr>
          <w:i/>
          <w:iCs/>
        </w:rPr>
        <w:t>Are Women Human? Address Given to a Women’s Society, 1938</w:t>
      </w:r>
      <w:r>
        <w:t xml:space="preserve">, </w:t>
      </w:r>
      <w:r w:rsidR="001B3B0D">
        <w:t xml:space="preserve">8 </w:t>
      </w:r>
      <w:r w:rsidR="001B3B0D" w:rsidRPr="001B3B0D">
        <w:rPr>
          <w:smallCaps/>
        </w:rPr>
        <w:t>Logos</w:t>
      </w:r>
      <w:r w:rsidR="001B3B0D">
        <w:t xml:space="preserve"> 165, 173 (2005).</w:t>
      </w:r>
    </w:p>
  </w:footnote>
  <w:footnote w:id="55">
    <w:p w14:paraId="781D7E7F" w14:textId="7C0EA93F" w:rsidR="00A943A9" w:rsidRPr="00A943A9" w:rsidRDefault="00A943A9">
      <w:pPr>
        <w:pStyle w:val="FootnoteText"/>
      </w:pPr>
      <w:r>
        <w:rPr>
          <w:rStyle w:val="FootnoteReference"/>
        </w:rPr>
        <w:footnoteRef/>
      </w:r>
      <w:r>
        <w:t xml:space="preserve"> </w:t>
      </w:r>
      <w:r w:rsidR="00EC1499">
        <w:rPr>
          <w:i/>
          <w:iCs/>
        </w:rPr>
        <w:t xml:space="preserve">See </w:t>
      </w:r>
      <w:r w:rsidRPr="00EC1499">
        <w:rPr>
          <w:smallCaps/>
        </w:rPr>
        <w:t>Turban</w:t>
      </w:r>
      <w:r>
        <w:t xml:space="preserve">, </w:t>
      </w:r>
      <w:r>
        <w:rPr>
          <w:i/>
          <w:iCs/>
        </w:rPr>
        <w:t>supra</w:t>
      </w:r>
      <w:r>
        <w:t xml:space="preserve"> note </w:t>
      </w:r>
      <w:r w:rsidR="00EF4172">
        <w:rPr>
          <w:highlight w:val="yellow"/>
        </w:rPr>
        <w:fldChar w:fldCharType="begin"/>
      </w:r>
      <w:r w:rsidR="00EF4172">
        <w:instrText xml:space="preserve"> NOTEREF _Ref184739380 \h </w:instrText>
      </w:r>
      <w:r w:rsidR="00EF4172">
        <w:rPr>
          <w:highlight w:val="yellow"/>
        </w:rPr>
      </w:r>
      <w:r w:rsidR="00EF4172">
        <w:rPr>
          <w:highlight w:val="yellow"/>
        </w:rPr>
        <w:fldChar w:fldCharType="separate"/>
      </w:r>
      <w:r w:rsidR="00EF4172">
        <w:t>14</w:t>
      </w:r>
      <w:r w:rsidR="00EF4172">
        <w:rPr>
          <w:highlight w:val="yellow"/>
        </w:rPr>
        <w:fldChar w:fldCharType="end"/>
      </w:r>
      <w:r>
        <w:t xml:space="preserve">, at </w:t>
      </w:r>
      <w:r w:rsidR="00EC1499">
        <w:t>15.</w:t>
      </w:r>
      <w:r w:rsidR="00543453">
        <w:t xml:space="preserve"> The term</w:t>
      </w:r>
      <w:r w:rsidR="00723A24">
        <w:t xml:space="preserve"> </w:t>
      </w:r>
      <w:r w:rsidR="00723A24">
        <w:rPr>
          <w:i/>
          <w:iCs/>
        </w:rPr>
        <w:t>gender euphoria</w:t>
      </w:r>
      <w:r w:rsidR="00723A24">
        <w:t xml:space="preserve"> appears to have originated within online trans communities as a counterpart to the more established medical </w:t>
      </w:r>
      <w:r w:rsidR="00C67FAC">
        <w:t xml:space="preserve">term </w:t>
      </w:r>
      <w:r w:rsidR="00C67FAC">
        <w:rPr>
          <w:i/>
          <w:iCs/>
        </w:rPr>
        <w:t>gender dysphoria</w:t>
      </w:r>
      <w:r w:rsidR="00C67FAC">
        <w:t xml:space="preserve">. </w:t>
      </w:r>
      <w:r w:rsidR="00C67FAC">
        <w:rPr>
          <w:i/>
          <w:iCs/>
        </w:rPr>
        <w:t>See</w:t>
      </w:r>
      <w:r w:rsidR="00C67FAC">
        <w:t xml:space="preserve"> Will J. Beischel et al., </w:t>
      </w:r>
      <w:r w:rsidR="00C67FAC">
        <w:rPr>
          <w:i/>
          <w:iCs/>
        </w:rPr>
        <w:t>“A Shiny Little Gender Breakthrough”: Community Understandings of Gender Euphoria</w:t>
      </w:r>
      <w:r w:rsidR="00C67FAC">
        <w:t xml:space="preserve">, 23 </w:t>
      </w:r>
      <w:r w:rsidR="00C67FAC" w:rsidRPr="0091534A">
        <w:rPr>
          <w:smallCaps/>
        </w:rPr>
        <w:t>Int’l J. Transgender Health</w:t>
      </w:r>
      <w:r w:rsidR="00C67FAC">
        <w:t xml:space="preserve"> </w:t>
      </w:r>
      <w:r w:rsidR="00840D4D">
        <w:t xml:space="preserve">274, </w:t>
      </w:r>
      <w:r w:rsidR="0091534A">
        <w:t>274–276</w:t>
      </w:r>
      <w:r w:rsidR="00EA6069">
        <w:t>, 284–85</w:t>
      </w:r>
      <w:r w:rsidR="0091534A">
        <w:t xml:space="preserve"> (2022).</w:t>
      </w:r>
      <w:r w:rsidR="00723A24">
        <w:t xml:space="preserve"> </w:t>
      </w:r>
    </w:p>
  </w:footnote>
  <w:footnote w:id="56">
    <w:p w14:paraId="0998FD88" w14:textId="49A8AFF6" w:rsidR="00BF4025" w:rsidRDefault="00BF4025" w:rsidP="00DD227B">
      <w:pPr>
        <w:pStyle w:val="FootnoteText"/>
      </w:pPr>
      <w:r>
        <w:rPr>
          <w:rStyle w:val="FootnoteReference"/>
        </w:rPr>
        <w:footnoteRef/>
      </w:r>
      <w:r>
        <w:t xml:space="preserve"> </w:t>
      </w:r>
      <w:r>
        <w:rPr>
          <w:i/>
          <w:iCs/>
        </w:rPr>
        <w:t>Id.</w:t>
      </w:r>
      <w:r>
        <w:t xml:space="preserve"> at 286.</w:t>
      </w:r>
      <w:r w:rsidR="00DD227B">
        <w:t xml:space="preserve"> “Seemingly central to these positive emotions are a constellation of feelings related to authenticity, rightness, or being ‘at home.’” </w:t>
      </w:r>
      <w:r w:rsidR="00DD227B">
        <w:rPr>
          <w:i/>
          <w:iCs/>
        </w:rPr>
        <w:t>Id.</w:t>
      </w:r>
    </w:p>
    <w:p w14:paraId="656A82DB" w14:textId="45CDFB35" w:rsidR="00742209" w:rsidRPr="00BD07D9" w:rsidRDefault="006D0C26" w:rsidP="00742209">
      <w:pPr>
        <w:pStyle w:val="FootnoteText"/>
        <w:ind w:firstLine="540"/>
      </w:pPr>
      <w:r>
        <w:t xml:space="preserve">For some people, particularly those </w:t>
      </w:r>
      <w:r w:rsidR="00EC2045">
        <w:t xml:space="preserve">near the beginning of </w:t>
      </w:r>
      <w:r>
        <w:t xml:space="preserve">their gender transition process, gender euphoria is sometimes followed by a sudden backlash of </w:t>
      </w:r>
      <w:r w:rsidR="00A914DD">
        <w:t xml:space="preserve">negative emotions such as shame, </w:t>
      </w:r>
      <w:r w:rsidR="00D278C4">
        <w:t>fear, or even despair.</w:t>
      </w:r>
      <w:r w:rsidR="00725E70">
        <w:t xml:space="preserve"> This may be because the experience of gender euphoria confirms </w:t>
      </w:r>
      <w:r w:rsidR="007E6563">
        <w:t xml:space="preserve">the individual’s transness—a scary fact for many, </w:t>
      </w:r>
      <w:r w:rsidR="007E6563">
        <w:rPr>
          <w:i/>
          <w:iCs/>
        </w:rPr>
        <w:t>see infra</w:t>
      </w:r>
      <w:r w:rsidR="007E6563">
        <w:t xml:space="preserve"> notes </w:t>
      </w:r>
      <w:r w:rsidR="007E6563" w:rsidRPr="00836DE1">
        <w:rPr>
          <w:highlight w:val="yellow"/>
        </w:rPr>
        <w:t>X–Y</w:t>
      </w:r>
      <w:r w:rsidR="007E6563">
        <w:t xml:space="preserve"> and accompanying text</w:t>
      </w:r>
      <w:r w:rsidR="00FD0F89">
        <w:t xml:space="preserve">—or </w:t>
      </w:r>
      <w:r w:rsidR="007D3E32">
        <w:t xml:space="preserve">because it </w:t>
      </w:r>
      <w:r w:rsidR="00FD0F89">
        <w:t xml:space="preserve">highlights the gender </w:t>
      </w:r>
      <w:r w:rsidR="00FD0F89">
        <w:rPr>
          <w:i/>
          <w:iCs/>
        </w:rPr>
        <w:t>dysphoria</w:t>
      </w:r>
      <w:r w:rsidR="00FD0F89">
        <w:t xml:space="preserve"> the individual experiences in other areas of their life.</w:t>
      </w:r>
      <w:r w:rsidR="00D51969">
        <w:t xml:space="preserve"> </w:t>
      </w:r>
      <w:r w:rsidR="00836DE1">
        <w:t xml:space="preserve">These negative emotions do not undercut or alter the sensation of gender euphoria, and </w:t>
      </w:r>
      <w:r w:rsidR="0040045C">
        <w:t xml:space="preserve">they </w:t>
      </w:r>
      <w:r w:rsidR="00F01F4F">
        <w:t xml:space="preserve">are most </w:t>
      </w:r>
      <w:r w:rsidR="0098002C">
        <w:t>effectively resolved</w:t>
      </w:r>
      <w:r w:rsidR="00F01F4F">
        <w:t xml:space="preserve"> by continuing to </w:t>
      </w:r>
      <w:r w:rsidR="00E01E4D">
        <w:t>move toward the individual’s authentic gender expression with mindfulness and support.</w:t>
      </w:r>
      <w:r w:rsidR="00BD07D9">
        <w:t xml:space="preserve"> </w:t>
      </w:r>
      <w:r w:rsidR="00BD07D9">
        <w:rPr>
          <w:i/>
          <w:iCs/>
        </w:rPr>
        <w:t xml:space="preserve">See </w:t>
      </w:r>
      <w:r w:rsidR="00BD07D9">
        <w:t xml:space="preserve">Beischel et al., </w:t>
      </w:r>
      <w:r w:rsidR="00BD07D9">
        <w:rPr>
          <w:i/>
          <w:iCs/>
        </w:rPr>
        <w:t>supra</w:t>
      </w:r>
      <w:r w:rsidR="00BD07D9">
        <w:t xml:space="preserve"> note </w:t>
      </w:r>
      <w:r w:rsidR="00512DAB">
        <w:fldChar w:fldCharType="begin"/>
      </w:r>
      <w:r w:rsidR="00512DAB">
        <w:instrText xml:space="preserve"> NOTEREF _Ref174359613 \h </w:instrText>
      </w:r>
      <w:r w:rsidR="00512DAB">
        <w:fldChar w:fldCharType="separate"/>
      </w:r>
      <w:r w:rsidR="00B3355A">
        <w:t>39</w:t>
      </w:r>
      <w:r w:rsidR="00512DAB">
        <w:fldChar w:fldCharType="end"/>
      </w:r>
      <w:r w:rsidR="00512DAB">
        <w:t>, at 282.</w:t>
      </w:r>
    </w:p>
  </w:footnote>
  <w:footnote w:id="57">
    <w:p w14:paraId="39679F0F" w14:textId="4CBD225A" w:rsidR="00742209" w:rsidRPr="00232C7D" w:rsidRDefault="00742209">
      <w:pPr>
        <w:pStyle w:val="FootnoteText"/>
      </w:pPr>
      <w:r>
        <w:rPr>
          <w:rStyle w:val="FootnoteReference"/>
        </w:rPr>
        <w:footnoteRef/>
      </w:r>
      <w:r>
        <w:t xml:space="preserve"> </w:t>
      </w:r>
      <w:r w:rsidR="00F92899">
        <w:rPr>
          <w:i/>
          <w:iCs/>
        </w:rPr>
        <w:t>Id.</w:t>
      </w:r>
      <w:r w:rsidR="00232C7D">
        <w:t xml:space="preserve"> at </w:t>
      </w:r>
      <w:r w:rsidR="00E71F01">
        <w:t>282–84.</w:t>
      </w:r>
    </w:p>
  </w:footnote>
  <w:footnote w:id="58">
    <w:p w14:paraId="4F083091" w14:textId="193B535C" w:rsidR="00A671E0" w:rsidRPr="00701FBA" w:rsidRDefault="00A671E0">
      <w:pPr>
        <w:pStyle w:val="FootnoteText"/>
      </w:pPr>
      <w:r>
        <w:rPr>
          <w:rStyle w:val="FootnoteReference"/>
        </w:rPr>
        <w:footnoteRef/>
      </w:r>
      <w:r>
        <w:t xml:space="preserve"> </w:t>
      </w:r>
      <w:r w:rsidR="006C227D">
        <w:rPr>
          <w:i/>
          <w:iCs/>
        </w:rPr>
        <w:t>Id.</w:t>
      </w:r>
      <w:r w:rsidR="006C227D">
        <w:t xml:space="preserve"> at </w:t>
      </w:r>
      <w:r w:rsidR="00C743A8">
        <w:t xml:space="preserve">281–82. </w:t>
      </w:r>
      <w:r w:rsidR="00C743A8">
        <w:rPr>
          <w:i/>
          <w:iCs/>
        </w:rPr>
        <w:t>Cf.</w:t>
      </w:r>
      <w:r w:rsidR="00701FBA">
        <w:t xml:space="preserve"> Elliot Page, </w:t>
      </w:r>
      <w:r w:rsidR="00701FBA">
        <w:rPr>
          <w:i/>
          <w:iCs/>
        </w:rPr>
        <w:t>The Euphoria of Elliot Page</w:t>
      </w:r>
      <w:r w:rsidR="00701FBA">
        <w:t xml:space="preserve">, </w:t>
      </w:r>
      <w:r w:rsidR="00701FBA" w:rsidRPr="00701FBA">
        <w:rPr>
          <w:smallCaps/>
        </w:rPr>
        <w:t>Esquire</w:t>
      </w:r>
      <w:r w:rsidR="00701FBA">
        <w:t xml:space="preserve"> (June 1, 2022 6:00 A.M.), </w:t>
      </w:r>
      <w:hyperlink r:id="rId15" w:history="1">
        <w:r w:rsidR="00701FBA" w:rsidRPr="00031714">
          <w:rPr>
            <w:rStyle w:val="Hyperlink"/>
          </w:rPr>
          <w:t>https://www.esquire.com/entertainment/tv/a40011366/elliot-page-umbrella-academy-euphoria/</w:t>
        </w:r>
      </w:hyperlink>
      <w:r w:rsidR="00701FBA">
        <w:t xml:space="preserve"> [</w:t>
      </w:r>
      <w:r w:rsidR="00A857FC" w:rsidRPr="00A857FC">
        <w:t>https://perma.cc/SQD4-94NP</w:t>
      </w:r>
      <w:r w:rsidR="005B599A">
        <w:t>] (“</w:t>
      </w:r>
      <w:r w:rsidR="000C32E1" w:rsidRPr="000C32E1">
        <w:t>For me, euphoria is simply the act of waking up, making my coffee, and sitting down with a book and being able to read.</w:t>
      </w:r>
      <w:r w:rsidR="000C32E1">
        <w:t>”).</w:t>
      </w:r>
    </w:p>
  </w:footnote>
  <w:footnote w:id="59">
    <w:p w14:paraId="2FA521C7" w14:textId="77777777" w:rsidR="008E1C2F" w:rsidRPr="004C5B00" w:rsidRDefault="008E1C2F" w:rsidP="008E1C2F">
      <w:pPr>
        <w:pStyle w:val="FootnoteText"/>
      </w:pPr>
      <w:r>
        <w:rPr>
          <w:rStyle w:val="FootnoteReference"/>
        </w:rPr>
        <w:footnoteRef/>
      </w:r>
      <w:r>
        <w:t xml:space="preserve"> </w:t>
      </w:r>
      <w:r>
        <w:rPr>
          <w:i/>
          <w:iCs/>
        </w:rPr>
        <w:t>See supra</w:t>
      </w:r>
      <w:r>
        <w:t xml:space="preserve"> text accompanying notes </w:t>
      </w:r>
      <w:r w:rsidRPr="004C5B00">
        <w:rPr>
          <w:highlight w:val="yellow"/>
        </w:rPr>
        <w:t>1–4</w:t>
      </w:r>
      <w:r>
        <w:t>.</w:t>
      </w:r>
    </w:p>
  </w:footnote>
  <w:footnote w:id="60">
    <w:p w14:paraId="74394C69" w14:textId="01EEFEC9" w:rsidR="003E6735" w:rsidRPr="009C2C98" w:rsidRDefault="003E6735">
      <w:pPr>
        <w:pStyle w:val="FootnoteText"/>
      </w:pPr>
      <w:r>
        <w:rPr>
          <w:rStyle w:val="FootnoteReference"/>
        </w:rPr>
        <w:footnoteRef/>
      </w:r>
      <w:r>
        <w:t xml:space="preserve"> </w:t>
      </w:r>
      <w:r>
        <w:rPr>
          <w:i/>
          <w:iCs/>
        </w:rPr>
        <w:t>See</w:t>
      </w:r>
      <w:r>
        <w:t xml:space="preserve"> </w:t>
      </w:r>
      <w:r>
        <w:rPr>
          <w:i/>
          <w:iCs/>
        </w:rPr>
        <w:t>Euphoria</w:t>
      </w:r>
      <w:r>
        <w:t xml:space="preserve">, </w:t>
      </w:r>
      <w:r w:rsidRPr="00531EB9">
        <w:rPr>
          <w:smallCaps/>
        </w:rPr>
        <w:t>Dictionary.com</w:t>
      </w:r>
      <w:r>
        <w:t xml:space="preserve">, </w:t>
      </w:r>
      <w:hyperlink r:id="rId16" w:history="1">
        <w:r w:rsidR="009C2C98" w:rsidRPr="00031714">
          <w:rPr>
            <w:rStyle w:val="Hyperlink"/>
          </w:rPr>
          <w:t>https://www.dictionary.com/browse/euphoria</w:t>
        </w:r>
      </w:hyperlink>
      <w:r w:rsidR="009C2C98">
        <w:t xml:space="preserve"> [</w:t>
      </w:r>
      <w:r w:rsidR="00BD372A" w:rsidRPr="00BD372A">
        <w:t>https://perma.cc/WZ3S-83UK</w:t>
      </w:r>
      <w:r w:rsidR="009C2C98">
        <w:t xml:space="preserve">] (defining </w:t>
      </w:r>
      <w:r w:rsidR="009C2C98">
        <w:rPr>
          <w:i/>
          <w:iCs/>
        </w:rPr>
        <w:t>euphoria</w:t>
      </w:r>
      <w:r w:rsidR="009C2C98">
        <w:t xml:space="preserve"> as “a state of intense happiness and self-confidence”).</w:t>
      </w:r>
    </w:p>
  </w:footnote>
  <w:footnote w:id="61">
    <w:p w14:paraId="373B9A89" w14:textId="2E1F7883" w:rsidR="00FF515D" w:rsidRPr="00BC7B15" w:rsidRDefault="00FF515D">
      <w:pPr>
        <w:pStyle w:val="FootnoteText"/>
      </w:pPr>
      <w:r>
        <w:rPr>
          <w:rStyle w:val="FootnoteReference"/>
        </w:rPr>
        <w:footnoteRef/>
      </w:r>
      <w:r>
        <w:t xml:space="preserve"> </w:t>
      </w:r>
      <w:r>
        <w:rPr>
          <w:i/>
          <w:iCs/>
        </w:rPr>
        <w:t>See</w:t>
      </w:r>
      <w:r>
        <w:t xml:space="preserve"> </w:t>
      </w:r>
      <w:r w:rsidR="002D56A7">
        <w:t xml:space="preserve">Beischel et al., </w:t>
      </w:r>
      <w:r w:rsidR="002D56A7">
        <w:rPr>
          <w:i/>
          <w:iCs/>
        </w:rPr>
        <w:t>supra</w:t>
      </w:r>
      <w:r w:rsidR="002D56A7">
        <w:t xml:space="preserve"> note </w:t>
      </w:r>
      <w:r w:rsidR="002D56A7">
        <w:fldChar w:fldCharType="begin"/>
      </w:r>
      <w:r w:rsidR="002D56A7">
        <w:instrText xml:space="preserve"> NOTEREF _Ref174359613 \h </w:instrText>
      </w:r>
      <w:r w:rsidR="002D56A7">
        <w:fldChar w:fldCharType="separate"/>
      </w:r>
      <w:r w:rsidR="00B3355A">
        <w:t>39</w:t>
      </w:r>
      <w:r w:rsidR="002D56A7">
        <w:fldChar w:fldCharType="end"/>
      </w:r>
      <w:r w:rsidR="002D56A7">
        <w:t>, at 282</w:t>
      </w:r>
      <w:r w:rsidR="00BC7B15">
        <w:t xml:space="preserve">. [Consider </w:t>
      </w:r>
      <w:proofErr w:type="spellStart"/>
      <w:r w:rsidR="00BC7B15">
        <w:rPr>
          <w:i/>
          <w:iCs/>
        </w:rPr>
        <w:t>cf’ing</w:t>
      </w:r>
      <w:proofErr w:type="spellEnd"/>
      <w:r w:rsidR="00BC7B15">
        <w:t xml:space="preserve"> to Imani Perry’s description of Black Americans experiencing Black Panther and </w:t>
      </w:r>
      <w:r w:rsidR="00A55E35">
        <w:t>wondering if this is how white people feel all the time].</w:t>
      </w:r>
    </w:p>
  </w:footnote>
  <w:footnote w:id="62">
    <w:p w14:paraId="25F68DB1" w14:textId="38A31502" w:rsidR="00563228" w:rsidRPr="00531EB9" w:rsidRDefault="00563228">
      <w:pPr>
        <w:pStyle w:val="FootnoteText"/>
      </w:pPr>
      <w:r>
        <w:rPr>
          <w:rStyle w:val="FootnoteReference"/>
        </w:rPr>
        <w:footnoteRef/>
      </w:r>
      <w:r>
        <w:t xml:space="preserve"> </w:t>
      </w:r>
      <w:r>
        <w:rPr>
          <w:i/>
          <w:iCs/>
        </w:rPr>
        <w:t>See Cisnormativity</w:t>
      </w:r>
      <w:r>
        <w:t xml:space="preserve">, </w:t>
      </w:r>
      <w:r w:rsidR="00531EB9">
        <w:t xml:space="preserve">Cambridge.org, </w:t>
      </w:r>
      <w:hyperlink r:id="rId17" w:anchor=":~:text=Meaning%20of%20cisnormativity%20in%20English&amp;text=Cisnormativity%20assumes%20that%20everyone%20identifies,they%20were%20assigned%20at%20birth" w:history="1">
        <w:r w:rsidR="00531EB9" w:rsidRPr="00031714">
          <w:rPr>
            <w:rStyle w:val="Hyperlink"/>
          </w:rPr>
          <w:t>https://dictionary.cambridge.org/us/dictionary/english/cisnormativity#:~:text=Meaning%20of%20cisnormativity%20in%20English&amp;text=Cisnormativity%20assumes%20that%20everyone%20identifies,they%20were%20assigned%20at%20birth</w:t>
        </w:r>
      </w:hyperlink>
      <w:r w:rsidR="00531EB9">
        <w:t xml:space="preserve"> [</w:t>
      </w:r>
      <w:r w:rsidR="008335F9" w:rsidRPr="008335F9">
        <w:t>https://perma.cc/JH8K-JAEW</w:t>
      </w:r>
      <w:r w:rsidR="00531EB9">
        <w:t>].</w:t>
      </w:r>
    </w:p>
  </w:footnote>
  <w:footnote w:id="63">
    <w:p w14:paraId="630A7E4E" w14:textId="0CE243F9" w:rsidR="008335F9" w:rsidRPr="008335F9" w:rsidRDefault="008335F9">
      <w:pPr>
        <w:pStyle w:val="FootnoteText"/>
      </w:pPr>
      <w:r>
        <w:rPr>
          <w:rStyle w:val="FootnoteReference"/>
        </w:rPr>
        <w:footnoteRef/>
      </w:r>
      <w:r>
        <w:t xml:space="preserve"> </w:t>
      </w:r>
      <w:r>
        <w:rPr>
          <w:i/>
          <w:iCs/>
        </w:rPr>
        <w:t>See</w:t>
      </w:r>
      <w:r>
        <w:t xml:space="preserve"> [</w:t>
      </w:r>
      <w:r w:rsidRPr="00DB7E8F">
        <w:rPr>
          <w:highlight w:val="yellow"/>
        </w:rPr>
        <w:t>internal cross reference</w:t>
      </w:r>
      <w:r>
        <w:t>].</w:t>
      </w:r>
    </w:p>
  </w:footnote>
  <w:footnote w:id="64">
    <w:p w14:paraId="7BB6C2BE" w14:textId="2E247AB8" w:rsidR="00DC51AB" w:rsidRPr="00DC51AB" w:rsidRDefault="00DC51AB">
      <w:pPr>
        <w:pStyle w:val="FootnoteText"/>
      </w:pPr>
      <w:r>
        <w:rPr>
          <w:rStyle w:val="FootnoteReference"/>
        </w:rPr>
        <w:footnoteRef/>
      </w:r>
      <w:r>
        <w:t xml:space="preserve"> </w:t>
      </w:r>
      <w:r>
        <w:rPr>
          <w:i/>
          <w:iCs/>
        </w:rPr>
        <w:t>See</w:t>
      </w:r>
      <w:r>
        <w:t xml:space="preserve"> Turban, </w:t>
      </w:r>
      <w:r>
        <w:rPr>
          <w:i/>
          <w:iCs/>
        </w:rPr>
        <w:t>supra</w:t>
      </w:r>
      <w:r>
        <w:t xml:space="preserve"> note </w:t>
      </w:r>
      <w:r w:rsidR="00EF4172">
        <w:rPr>
          <w:highlight w:val="yellow"/>
        </w:rPr>
        <w:fldChar w:fldCharType="begin"/>
      </w:r>
      <w:r w:rsidR="00EF4172">
        <w:instrText xml:space="preserve"> NOTEREF _Ref184739380 \h </w:instrText>
      </w:r>
      <w:r w:rsidR="00EF4172">
        <w:rPr>
          <w:highlight w:val="yellow"/>
        </w:rPr>
      </w:r>
      <w:r w:rsidR="00EF4172">
        <w:rPr>
          <w:highlight w:val="yellow"/>
        </w:rPr>
        <w:fldChar w:fldCharType="separate"/>
      </w:r>
      <w:r w:rsidR="00EF4172">
        <w:t>14</w:t>
      </w:r>
      <w:r w:rsidR="00EF4172">
        <w:rPr>
          <w:highlight w:val="yellow"/>
        </w:rPr>
        <w:fldChar w:fldCharType="end"/>
      </w:r>
      <w:r>
        <w:t>, at 115–</w:t>
      </w:r>
      <w:r w:rsidR="008E0016">
        <w:t>16.</w:t>
      </w:r>
    </w:p>
  </w:footnote>
  <w:footnote w:id="65">
    <w:p w14:paraId="61EF5422" w14:textId="192CDB92" w:rsidR="00422B6C" w:rsidRDefault="00422B6C">
      <w:pPr>
        <w:pStyle w:val="FootnoteText"/>
      </w:pPr>
      <w:r>
        <w:rPr>
          <w:rStyle w:val="FootnoteReference"/>
        </w:rPr>
        <w:footnoteRef/>
      </w:r>
      <w:r>
        <w:t xml:space="preserve"> </w:t>
      </w:r>
      <w:r w:rsidRPr="007B2936">
        <w:rPr>
          <w:smallCaps/>
        </w:rPr>
        <w:t xml:space="preserve">Melissa V. Harris-Perry, Sister Citizen: </w:t>
      </w:r>
      <w:r w:rsidR="00356304" w:rsidRPr="007B2936">
        <w:rPr>
          <w:smallCaps/>
        </w:rPr>
        <w:t>Shame, Stereotypes, and Black Women in America</w:t>
      </w:r>
      <w:r w:rsidR="00356304">
        <w:t xml:space="preserve"> 28–29 (</w:t>
      </w:r>
      <w:r w:rsidR="007B2936">
        <w:t>2011).</w:t>
      </w:r>
    </w:p>
  </w:footnote>
  <w:footnote w:id="66">
    <w:p w14:paraId="26DD09C0" w14:textId="05239DF8" w:rsidR="005477FC" w:rsidRPr="002E2DF3" w:rsidRDefault="005477FC">
      <w:pPr>
        <w:pStyle w:val="FootnoteText"/>
      </w:pPr>
      <w:r>
        <w:rPr>
          <w:rStyle w:val="FootnoteReference"/>
        </w:rPr>
        <w:footnoteRef/>
      </w:r>
      <w:r>
        <w:t xml:space="preserve"> </w:t>
      </w:r>
      <w:r>
        <w:rPr>
          <w:i/>
          <w:iCs/>
        </w:rPr>
        <w:t>Id.</w:t>
      </w:r>
      <w:r>
        <w:t xml:space="preserve"> </w:t>
      </w:r>
      <w:r w:rsidR="00C107E7">
        <w:t xml:space="preserve">(citing H.A. Witkin </w:t>
      </w:r>
      <w:r w:rsidR="002E2DF3">
        <w:t xml:space="preserve">et al., </w:t>
      </w:r>
      <w:r w:rsidR="002E2DF3">
        <w:rPr>
          <w:i/>
          <w:iCs/>
        </w:rPr>
        <w:t>Field</w:t>
      </w:r>
      <w:r w:rsidR="00406F1D">
        <w:rPr>
          <w:i/>
          <w:iCs/>
        </w:rPr>
        <w:t>-</w:t>
      </w:r>
      <w:r w:rsidR="002E2DF3">
        <w:rPr>
          <w:i/>
          <w:iCs/>
        </w:rPr>
        <w:t>Dependent and Field</w:t>
      </w:r>
      <w:r w:rsidR="00406F1D">
        <w:rPr>
          <w:i/>
          <w:iCs/>
        </w:rPr>
        <w:t>-</w:t>
      </w:r>
      <w:r w:rsidR="002E2DF3">
        <w:rPr>
          <w:i/>
          <w:iCs/>
        </w:rPr>
        <w:t>Independent Cognitive Styles and Their Educational Implications</w:t>
      </w:r>
      <w:r w:rsidR="002E2DF3">
        <w:t xml:space="preserve">, </w:t>
      </w:r>
      <w:r w:rsidR="00156BDE">
        <w:t xml:space="preserve">47 </w:t>
      </w:r>
      <w:r w:rsidR="00156BDE" w:rsidRPr="00156BDE">
        <w:rPr>
          <w:smallCaps/>
        </w:rPr>
        <w:t>Rev. Educ. Res</w:t>
      </w:r>
      <w:r w:rsidR="00156BDE">
        <w:rPr>
          <w:smallCaps/>
        </w:rPr>
        <w:t>earch</w:t>
      </w:r>
      <w:r w:rsidR="00156BDE">
        <w:t xml:space="preserve"> 1 (1977)</w:t>
      </w:r>
      <w:r w:rsidR="00406F1D">
        <w:t>)</w:t>
      </w:r>
      <w:r w:rsidR="00156BDE">
        <w:t>.</w:t>
      </w:r>
    </w:p>
  </w:footnote>
  <w:footnote w:id="67">
    <w:p w14:paraId="122A9253" w14:textId="551DC4CE" w:rsidR="00EA512E" w:rsidRPr="00EA512E" w:rsidRDefault="00EA512E">
      <w:pPr>
        <w:pStyle w:val="FootnoteText"/>
      </w:pPr>
      <w:r>
        <w:rPr>
          <w:rStyle w:val="FootnoteReference"/>
        </w:rPr>
        <w:footnoteRef/>
      </w:r>
      <w:r>
        <w:t xml:space="preserve"> </w:t>
      </w:r>
      <w:r>
        <w:rPr>
          <w:i/>
          <w:iCs/>
        </w:rPr>
        <w:t>Id.</w:t>
      </w:r>
    </w:p>
  </w:footnote>
  <w:footnote w:id="68">
    <w:p w14:paraId="4089400E" w14:textId="6A684538" w:rsidR="00AA3769" w:rsidRPr="00AA3769" w:rsidRDefault="00AA3769">
      <w:pPr>
        <w:pStyle w:val="FootnoteText"/>
      </w:pPr>
      <w:r>
        <w:rPr>
          <w:rStyle w:val="FootnoteReference"/>
        </w:rPr>
        <w:footnoteRef/>
      </w:r>
      <w:r>
        <w:t xml:space="preserve"> </w:t>
      </w:r>
      <w:r>
        <w:rPr>
          <w:i/>
          <w:iCs/>
        </w:rPr>
        <w:t>Id.</w:t>
      </w:r>
    </w:p>
  </w:footnote>
  <w:footnote w:id="69">
    <w:p w14:paraId="1A02F0E6" w14:textId="567BE37F" w:rsidR="006A1CB5" w:rsidRPr="006A1CB5" w:rsidRDefault="006A1CB5">
      <w:pPr>
        <w:pStyle w:val="FootnoteText"/>
      </w:pPr>
      <w:r>
        <w:rPr>
          <w:rStyle w:val="FootnoteReference"/>
        </w:rPr>
        <w:footnoteRef/>
      </w:r>
      <w:r>
        <w:t xml:space="preserve"> </w:t>
      </w:r>
      <w:r>
        <w:rPr>
          <w:i/>
          <w:iCs/>
        </w:rPr>
        <w:t>See id.</w:t>
      </w:r>
      <w:r>
        <w:t xml:space="preserve"> at 53–69.</w:t>
      </w:r>
    </w:p>
  </w:footnote>
  <w:footnote w:id="70">
    <w:p w14:paraId="0DE52643" w14:textId="798316D4" w:rsidR="006A1CB5" w:rsidRPr="00F70169" w:rsidRDefault="006A1CB5">
      <w:pPr>
        <w:pStyle w:val="FootnoteText"/>
      </w:pPr>
      <w:r>
        <w:rPr>
          <w:rStyle w:val="FootnoteReference"/>
        </w:rPr>
        <w:footnoteRef/>
      </w:r>
      <w:r>
        <w:t xml:space="preserve"> </w:t>
      </w:r>
      <w:r w:rsidR="00F70169">
        <w:rPr>
          <w:i/>
          <w:iCs/>
        </w:rPr>
        <w:t>See id.</w:t>
      </w:r>
      <w:r w:rsidR="00F70169">
        <w:t xml:space="preserve"> at 69–86.</w:t>
      </w:r>
    </w:p>
  </w:footnote>
  <w:footnote w:id="71">
    <w:p w14:paraId="14A877AF" w14:textId="06912408" w:rsidR="000B2C0F" w:rsidRPr="000B2C0F" w:rsidRDefault="000B2C0F">
      <w:pPr>
        <w:pStyle w:val="FootnoteText"/>
      </w:pPr>
      <w:r>
        <w:rPr>
          <w:rStyle w:val="FootnoteReference"/>
        </w:rPr>
        <w:footnoteRef/>
      </w:r>
      <w:r>
        <w:t xml:space="preserve"> </w:t>
      </w:r>
      <w:r>
        <w:rPr>
          <w:i/>
          <w:iCs/>
        </w:rPr>
        <w:t>See id.</w:t>
      </w:r>
      <w:r>
        <w:t xml:space="preserve"> at 86–96.</w:t>
      </w:r>
    </w:p>
  </w:footnote>
  <w:footnote w:id="72">
    <w:p w14:paraId="1B0AD925" w14:textId="1E0F8583" w:rsidR="00D330ED" w:rsidRDefault="00D330ED">
      <w:pPr>
        <w:pStyle w:val="FootnoteText"/>
      </w:pPr>
      <w:r>
        <w:rPr>
          <w:rStyle w:val="FootnoteReference"/>
        </w:rPr>
        <w:footnoteRef/>
      </w:r>
      <w:r>
        <w:t xml:space="preserve"> </w:t>
      </w:r>
      <w:r w:rsidR="00011FA7">
        <w:rPr>
          <w:i/>
          <w:iCs/>
        </w:rPr>
        <w:t>See id.</w:t>
      </w:r>
      <w:r w:rsidR="00011FA7" w:rsidRPr="00011FA7">
        <w:t xml:space="preserve"> </w:t>
      </w:r>
      <w:r w:rsidR="00011FA7">
        <w:t xml:space="preserve">at </w:t>
      </w:r>
      <w:r>
        <w:t>183–220.</w:t>
      </w:r>
    </w:p>
  </w:footnote>
  <w:footnote w:id="73">
    <w:p w14:paraId="36380476" w14:textId="16E93744" w:rsidR="00A86C9B" w:rsidRPr="007A294F" w:rsidRDefault="00A86C9B">
      <w:pPr>
        <w:pStyle w:val="FootnoteText"/>
      </w:pPr>
      <w:r>
        <w:rPr>
          <w:rStyle w:val="FootnoteReference"/>
        </w:rPr>
        <w:footnoteRef/>
      </w:r>
      <w:r>
        <w:t xml:space="preserve"> </w:t>
      </w:r>
      <w:r w:rsidR="00CE1B0B">
        <w:t xml:space="preserve">Drawing on </w:t>
      </w:r>
      <w:r w:rsidR="00084DAF">
        <w:t>Hannah Arendt, Harris-Perry calls this phenomenon “recognition.”</w:t>
      </w:r>
      <w:r>
        <w:t xml:space="preserve"> </w:t>
      </w:r>
      <w:r w:rsidR="005652DA">
        <w:rPr>
          <w:i/>
          <w:iCs/>
        </w:rPr>
        <w:t>Id.</w:t>
      </w:r>
      <w:r w:rsidR="005652DA">
        <w:t xml:space="preserve"> at </w:t>
      </w:r>
      <w:r w:rsidR="00CE1B0B">
        <w:t>35–43</w:t>
      </w:r>
      <w:r w:rsidR="00084DAF">
        <w:t xml:space="preserve"> (“</w:t>
      </w:r>
      <w:r w:rsidR="008115BA">
        <w:t>Craving recognition of one’s special, inexchang</w:t>
      </w:r>
      <w:r w:rsidR="008A134B">
        <w:t>e</w:t>
      </w:r>
      <w:r w:rsidR="008115BA">
        <w:t>able uniqueness is part of the</w:t>
      </w:r>
      <w:r w:rsidR="008A134B">
        <w:t xml:space="preserve"> human condition”).</w:t>
      </w:r>
      <w:r w:rsidR="009772B6">
        <w:t xml:space="preserve"> Harris-Perry </w:t>
      </w:r>
      <w:r w:rsidR="005519DA">
        <w:t>uses Zora Neale Hurston’s character Janie Mae Crawford as an example of a Black woman who struggles</w:t>
      </w:r>
      <w:r w:rsidR="00A5468F">
        <w:t xml:space="preserve"> to </w:t>
      </w:r>
      <w:r w:rsidR="007C2C07">
        <w:t>achieve—and eventually succeeds in achieving—such a life.</w:t>
      </w:r>
    </w:p>
  </w:footnote>
  <w:footnote w:id="74">
    <w:p w14:paraId="6C3DDD26" w14:textId="0D137F07" w:rsidR="00544ADC" w:rsidRPr="00544ADC" w:rsidRDefault="00544ADC">
      <w:pPr>
        <w:pStyle w:val="FootnoteText"/>
      </w:pPr>
      <w:r>
        <w:rPr>
          <w:rStyle w:val="FootnoteReference"/>
        </w:rPr>
        <w:footnoteRef/>
      </w:r>
      <w:r>
        <w:t xml:space="preserve"> </w:t>
      </w:r>
      <w:r>
        <w:rPr>
          <w:i/>
          <w:iCs/>
        </w:rPr>
        <w:t>Id.</w:t>
      </w:r>
      <w:r>
        <w:t xml:space="preserve"> at 28; </w:t>
      </w:r>
      <w:r>
        <w:rPr>
          <w:i/>
          <w:iCs/>
        </w:rPr>
        <w:t>see also generally</w:t>
      </w:r>
      <w:r>
        <w:t xml:space="preserve"> </w:t>
      </w:r>
      <w:r w:rsidRPr="007A294F">
        <w:rPr>
          <w:smallCaps/>
        </w:rPr>
        <w:t>Zora Neale Hurston, Their Eyes Were Watching God</w:t>
      </w:r>
      <w:r>
        <w:t xml:space="preserve"> (1937). </w:t>
      </w:r>
      <w:r w:rsidR="005F1BA1">
        <w:t xml:space="preserve">Harris-Perry’s </w:t>
      </w:r>
      <w:r w:rsidR="00253791">
        <w:t>characterization of Janie’s journey echoes that of Celie</w:t>
      </w:r>
      <w:r w:rsidR="00E95ED9">
        <w:t xml:space="preserve"> in </w:t>
      </w:r>
      <w:r w:rsidR="00E95ED9">
        <w:rPr>
          <w:i/>
          <w:iCs/>
        </w:rPr>
        <w:t>The Color Purple</w:t>
      </w:r>
      <w:r w:rsidR="00253791">
        <w:t xml:space="preserve">, </w:t>
      </w:r>
      <w:r w:rsidR="0018402C">
        <w:t>who declares to her abusive husband</w:t>
      </w:r>
      <w:r w:rsidR="00E95ED9">
        <w:t xml:space="preserve"> in the novel’s pivotal scene</w:t>
      </w:r>
      <w:r w:rsidR="0018402C">
        <w:t>: “</w:t>
      </w:r>
      <w:r w:rsidR="00B47EA7">
        <w:t xml:space="preserve">I’m pore, I’m black, I may be ugly and can’t cook . . . But I’m here.” </w:t>
      </w:r>
      <w:r w:rsidR="00B47EA7" w:rsidRPr="008719AB">
        <w:rPr>
          <w:smallCaps/>
        </w:rPr>
        <w:t>Alice Walker</w:t>
      </w:r>
      <w:r w:rsidR="00E95ED9" w:rsidRPr="008719AB">
        <w:rPr>
          <w:smallCaps/>
        </w:rPr>
        <w:t>, The Color Purple</w:t>
      </w:r>
      <w:r w:rsidR="00E95ED9">
        <w:t xml:space="preserve"> </w:t>
      </w:r>
      <w:r w:rsidR="00A61E9E">
        <w:t>207 (</w:t>
      </w:r>
      <w:r w:rsidR="008719AB">
        <w:t>1982).</w:t>
      </w:r>
    </w:p>
  </w:footnote>
  <w:footnote w:id="75">
    <w:p w14:paraId="43D03192" w14:textId="3106CBB3" w:rsidR="008504E6" w:rsidRPr="008504E6" w:rsidRDefault="008504E6">
      <w:pPr>
        <w:pStyle w:val="FootnoteText"/>
      </w:pPr>
      <w:r>
        <w:rPr>
          <w:rStyle w:val="FootnoteReference"/>
        </w:rPr>
        <w:footnoteRef/>
      </w:r>
      <w:r>
        <w:t xml:space="preserve"> </w:t>
      </w:r>
      <w:r w:rsidR="00A04D02">
        <w:t>Angelica Ross</w:t>
      </w:r>
      <w:r w:rsidR="00DE3A6F">
        <w:t xml:space="preserve"> Interview</w:t>
      </w:r>
      <w:r w:rsidR="00A04D02">
        <w:t xml:space="preserve">, </w:t>
      </w:r>
      <w:r w:rsidR="00DE3A6F">
        <w:t xml:space="preserve">Soul of </w:t>
      </w:r>
      <w:r w:rsidR="003146CC">
        <w:t xml:space="preserve">a </w:t>
      </w:r>
      <w:r w:rsidR="00DE3A6F">
        <w:t>Nation</w:t>
      </w:r>
      <w:r w:rsidR="00864A7A">
        <w:t xml:space="preserve"> (@soulofanation)</w:t>
      </w:r>
      <w:r w:rsidR="00DE3A6F">
        <w:t>,</w:t>
      </w:r>
      <w:r w:rsidR="00864A7A">
        <w:t xml:space="preserve"> </w:t>
      </w:r>
      <w:r w:rsidR="00864A7A" w:rsidRPr="009C5225">
        <w:rPr>
          <w:smallCaps/>
        </w:rPr>
        <w:t>Instagram</w:t>
      </w:r>
      <w:r w:rsidR="008B4B66">
        <w:t xml:space="preserve"> (June 6, 2023)</w:t>
      </w:r>
      <w:r w:rsidR="00864A7A">
        <w:t>,</w:t>
      </w:r>
      <w:r w:rsidR="008B4B66">
        <w:t xml:space="preserve"> </w:t>
      </w:r>
      <w:hyperlink r:id="rId18" w:history="1">
        <w:r w:rsidR="008B4B66" w:rsidRPr="00031714">
          <w:rPr>
            <w:rStyle w:val="Hyperlink"/>
          </w:rPr>
          <w:t>https://www.instagram.com/soulofanation/reel/CtKeuo8uPFD/</w:t>
        </w:r>
      </w:hyperlink>
      <w:r w:rsidR="008B4B66">
        <w:t xml:space="preserve"> [</w:t>
      </w:r>
      <w:r w:rsidR="00E91DCF" w:rsidRPr="00E91DCF">
        <w:t>https://perma.cc/A65N-FABX</w:t>
      </w:r>
      <w:r w:rsidR="00E91DCF">
        <w:t xml:space="preserve">] (quoted in </w:t>
      </w:r>
      <w:r w:rsidR="00E91DCF" w:rsidRPr="00E54C73">
        <w:rPr>
          <w:smallCaps/>
        </w:rPr>
        <w:t>Turban</w:t>
      </w:r>
      <w:r w:rsidR="00E91DCF">
        <w:t xml:space="preserve">, </w:t>
      </w:r>
      <w:r w:rsidR="00E91DCF">
        <w:rPr>
          <w:i/>
          <w:iCs/>
        </w:rPr>
        <w:t>supra</w:t>
      </w:r>
      <w:r w:rsidR="00E91DCF">
        <w:t xml:space="preserve"> note </w:t>
      </w:r>
      <w:r w:rsidR="004215B4">
        <w:rPr>
          <w:highlight w:val="yellow"/>
        </w:rPr>
        <w:fldChar w:fldCharType="begin"/>
      </w:r>
      <w:r w:rsidR="004215B4">
        <w:instrText xml:space="preserve"> NOTEREF _Ref184739380 \h </w:instrText>
      </w:r>
      <w:r w:rsidR="004215B4">
        <w:rPr>
          <w:highlight w:val="yellow"/>
        </w:rPr>
      </w:r>
      <w:r w:rsidR="004215B4">
        <w:rPr>
          <w:highlight w:val="yellow"/>
        </w:rPr>
        <w:fldChar w:fldCharType="separate"/>
      </w:r>
      <w:r w:rsidR="004215B4">
        <w:t>14</w:t>
      </w:r>
      <w:r w:rsidR="004215B4">
        <w:rPr>
          <w:highlight w:val="yellow"/>
        </w:rPr>
        <w:fldChar w:fldCharType="end"/>
      </w:r>
      <w:r w:rsidR="00E91DCF">
        <w:t xml:space="preserve">, at </w:t>
      </w:r>
      <w:r w:rsidR="00E54C73">
        <w:t>56).</w:t>
      </w:r>
      <w:r w:rsidR="008B4B66">
        <w:t xml:space="preserve"> </w:t>
      </w:r>
      <w:r w:rsidR="00864A7A">
        <w:t xml:space="preserve"> </w:t>
      </w:r>
      <w:r w:rsidR="00DE3A6F">
        <w:t xml:space="preserve">  </w:t>
      </w:r>
    </w:p>
  </w:footnote>
  <w:footnote w:id="76">
    <w:p w14:paraId="5CBBF84F" w14:textId="0340D0E0" w:rsidR="007067E9" w:rsidRPr="00CA0892" w:rsidRDefault="007067E9">
      <w:pPr>
        <w:pStyle w:val="FootnoteText"/>
      </w:pPr>
      <w:r>
        <w:rPr>
          <w:rStyle w:val="FootnoteReference"/>
        </w:rPr>
        <w:footnoteRef/>
      </w:r>
      <w:r>
        <w:t xml:space="preserve"> </w:t>
      </w:r>
      <w:r>
        <w:rPr>
          <w:i/>
          <w:iCs/>
        </w:rPr>
        <w:t>See</w:t>
      </w:r>
      <w:r w:rsidR="00251E63">
        <w:t xml:space="preserve"> Susan </w:t>
      </w:r>
      <w:r w:rsidR="00B1242E">
        <w:t xml:space="preserve">A. Bandes, </w:t>
      </w:r>
      <w:r w:rsidR="00B1242E">
        <w:rPr>
          <w:i/>
          <w:iCs/>
        </w:rPr>
        <w:t>Introduction</w:t>
      </w:r>
      <w:r w:rsidR="00B1242E">
        <w:t xml:space="preserve">, in </w:t>
      </w:r>
      <w:r w:rsidR="00B1242E" w:rsidRPr="00EC7BBB">
        <w:rPr>
          <w:smallCaps/>
        </w:rPr>
        <w:t>The Passions of Law</w:t>
      </w:r>
      <w:r w:rsidR="00B1242E">
        <w:t xml:space="preserve"> </w:t>
      </w:r>
      <w:r w:rsidR="00920C02">
        <w:t xml:space="preserve">1–15, 1–2 </w:t>
      </w:r>
      <w:r w:rsidR="00EC7BBB">
        <w:t>(Susan A. Bandes ed. 1999)</w:t>
      </w:r>
      <w:r w:rsidR="00FA511C">
        <w:t xml:space="preserve"> (“In the conventional story, emotion has a certain, narrowly defined place in law</w:t>
      </w:r>
      <w:r w:rsidR="00EC7BBB">
        <w:t>.</w:t>
      </w:r>
      <w:r w:rsidR="00FA511C">
        <w:t>”).</w:t>
      </w:r>
      <w:r w:rsidR="00A20B8B">
        <w:t xml:space="preserve"> </w:t>
      </w:r>
      <w:r w:rsidR="00FA511C">
        <w:t>Beginning as early as the</w:t>
      </w:r>
      <w:r w:rsidR="00296A2A">
        <w:t xml:space="preserve"> 1980s, a growing </w:t>
      </w:r>
      <w:r w:rsidR="00B90BE6">
        <w:t xml:space="preserve">body of scholarship, sometimes called “law and emotions,” has critiqued the conventional account of the </w:t>
      </w:r>
      <w:r w:rsidR="0017503A">
        <w:t xml:space="preserve">limited role of emotions within law from both descriptive and normative standpoints. </w:t>
      </w:r>
      <w:r w:rsidR="0017503A">
        <w:rPr>
          <w:i/>
          <w:iCs/>
        </w:rPr>
        <w:t>See, e.g.</w:t>
      </w:r>
      <w:r w:rsidR="0017503A">
        <w:t xml:space="preserve">, </w:t>
      </w:r>
      <w:r w:rsidR="0017503A">
        <w:rPr>
          <w:i/>
          <w:iCs/>
        </w:rPr>
        <w:t>id.</w:t>
      </w:r>
      <w:r w:rsidR="0017503A">
        <w:t xml:space="preserve">; </w:t>
      </w:r>
      <w:r w:rsidR="000661BA">
        <w:t xml:space="preserve">Kathryn Abrams &amp; Hila Keren, </w:t>
      </w:r>
      <w:r w:rsidR="000661BA">
        <w:rPr>
          <w:i/>
          <w:iCs/>
        </w:rPr>
        <w:t>Who’s Afraid of Law and Emotions</w:t>
      </w:r>
      <w:r w:rsidR="000661BA">
        <w:t xml:space="preserve">, 94 </w:t>
      </w:r>
      <w:r w:rsidR="000661BA" w:rsidRPr="009F07DD">
        <w:rPr>
          <w:smallCaps/>
        </w:rPr>
        <w:t>Minn. L. Rev.</w:t>
      </w:r>
      <w:r w:rsidR="000661BA">
        <w:t xml:space="preserve"> </w:t>
      </w:r>
      <w:r w:rsidR="000B1E95">
        <w:t>1997</w:t>
      </w:r>
      <w:r w:rsidR="009F07DD">
        <w:t>, 1998 &amp; n.1</w:t>
      </w:r>
      <w:r w:rsidR="000B1E95">
        <w:t xml:space="preserve"> (</w:t>
      </w:r>
      <w:r w:rsidR="009F07DD">
        <w:t>2010);</w:t>
      </w:r>
      <w:r w:rsidR="00460AC8">
        <w:t xml:space="preserve"> </w:t>
      </w:r>
      <w:r w:rsidR="00460AC8">
        <w:rPr>
          <w:i/>
          <w:iCs/>
        </w:rPr>
        <w:t>see also</w:t>
      </w:r>
      <w:r w:rsidR="009F07DD">
        <w:t xml:space="preserve"> </w:t>
      </w:r>
      <w:r w:rsidR="00460AC8">
        <w:t xml:space="preserve">William J. Brennan, Jr., </w:t>
      </w:r>
      <w:r w:rsidR="00460AC8">
        <w:rPr>
          <w:i/>
          <w:iCs/>
        </w:rPr>
        <w:t>Reason, Passion, and “The Progress of the Law”</w:t>
      </w:r>
      <w:r w:rsidR="00460AC8">
        <w:t xml:space="preserve">, </w:t>
      </w:r>
      <w:r w:rsidR="00AF743C">
        <w:t xml:space="preserve">10 </w:t>
      </w:r>
      <w:r w:rsidR="00AF743C" w:rsidRPr="00435DA6">
        <w:rPr>
          <w:smallCaps/>
        </w:rPr>
        <w:t>Cardozo L. Rev.</w:t>
      </w:r>
      <w:r w:rsidR="00AF743C">
        <w:t xml:space="preserve"> 3, 3 (1988) (“</w:t>
      </w:r>
      <w:r w:rsidR="00435DA6">
        <w:t>It is my thesis that this interplay of forces, this internal dialogue of reason and passion, does not taint the judicial process, but is in fact central to its vitality. This is particularly true, I think, in constitutional interpretation.”)</w:t>
      </w:r>
      <w:r w:rsidR="00CA0892">
        <w:t xml:space="preserve">; Gary Peller, </w:t>
      </w:r>
      <w:r w:rsidR="00CA0892">
        <w:rPr>
          <w:i/>
          <w:iCs/>
        </w:rPr>
        <w:t xml:space="preserve">Reason and the Mob: The Politics of </w:t>
      </w:r>
      <w:r w:rsidR="00EF6484">
        <w:rPr>
          <w:i/>
          <w:iCs/>
        </w:rPr>
        <w:t>Representation</w:t>
      </w:r>
      <w:r w:rsidR="00CA0892">
        <w:t xml:space="preserve">, 2 </w:t>
      </w:r>
      <w:r w:rsidR="00CA0892" w:rsidRPr="00EF6484">
        <w:rPr>
          <w:smallCaps/>
        </w:rPr>
        <w:t>Tikkun</w:t>
      </w:r>
      <w:r w:rsidR="00CA0892">
        <w:t xml:space="preserve"> </w:t>
      </w:r>
      <w:r w:rsidR="00EF6484">
        <w:t xml:space="preserve">28, </w:t>
      </w:r>
      <w:r w:rsidR="00EF6484" w:rsidRPr="00EF6484">
        <w:rPr>
          <w:highlight w:val="yellow"/>
        </w:rPr>
        <w:t>X</w:t>
      </w:r>
      <w:r w:rsidR="00EF6484">
        <w:t xml:space="preserve"> (1987).</w:t>
      </w:r>
    </w:p>
  </w:footnote>
  <w:footnote w:id="77">
    <w:p w14:paraId="52D108DA" w14:textId="1988F3AF" w:rsidR="00DF5FF9" w:rsidRPr="003D3EFC" w:rsidRDefault="00DF5FF9">
      <w:pPr>
        <w:pStyle w:val="FootnoteText"/>
      </w:pPr>
      <w:r>
        <w:rPr>
          <w:rStyle w:val="FootnoteReference"/>
        </w:rPr>
        <w:footnoteRef/>
      </w:r>
      <w:r>
        <w:t xml:space="preserve"> </w:t>
      </w:r>
      <w:r>
        <w:rPr>
          <w:i/>
          <w:iCs/>
        </w:rPr>
        <w:t>See</w:t>
      </w:r>
      <w:r>
        <w:t xml:space="preserve"> Terry A. Maroney, </w:t>
      </w:r>
      <w:r>
        <w:rPr>
          <w:i/>
          <w:iCs/>
        </w:rPr>
        <w:t>The Persistent Cultural Script of Judicial Dispassion</w:t>
      </w:r>
      <w:r>
        <w:t xml:space="preserve">, 99 </w:t>
      </w:r>
      <w:r w:rsidRPr="00E76AED">
        <w:rPr>
          <w:smallCaps/>
        </w:rPr>
        <w:t>Calif. L. Rev.</w:t>
      </w:r>
      <w:r>
        <w:t xml:space="preserve"> 629, 63</w:t>
      </w:r>
      <w:r w:rsidR="006A7C83">
        <w:t>3</w:t>
      </w:r>
      <w:r>
        <w:t xml:space="preserve"> (2011)</w:t>
      </w:r>
      <w:r w:rsidR="006A7C83">
        <w:t xml:space="preserve"> (“</w:t>
      </w:r>
      <w:r w:rsidR="000B692E">
        <w:t>judicial dispassion has come to be regarded as a core requirement of the rule of law”)</w:t>
      </w:r>
      <w:r w:rsidR="003D3EFC">
        <w:t xml:space="preserve">. </w:t>
      </w:r>
      <w:r w:rsidR="003D3EFC">
        <w:rPr>
          <w:i/>
          <w:iCs/>
        </w:rPr>
        <w:t>But see</w:t>
      </w:r>
      <w:r w:rsidR="003D3EFC">
        <w:t xml:space="preserve"> Jamal Greene, </w:t>
      </w:r>
      <w:r w:rsidR="003D3EFC">
        <w:rPr>
          <w:i/>
          <w:iCs/>
        </w:rPr>
        <w:t>Pathetic Argument in Constitutional Law</w:t>
      </w:r>
      <w:r w:rsidR="003D3EFC">
        <w:t xml:space="preserve">, 113 </w:t>
      </w:r>
      <w:r w:rsidR="003D3EFC" w:rsidRPr="00360E98">
        <w:rPr>
          <w:smallCaps/>
        </w:rPr>
        <w:t>Colum. L. Rev.</w:t>
      </w:r>
      <w:r w:rsidR="003D3EFC">
        <w:t xml:space="preserve"> 1389, 1393 (2013) (arguing that despite the </w:t>
      </w:r>
      <w:r w:rsidR="0095278F">
        <w:t xml:space="preserve">persistent </w:t>
      </w:r>
      <w:r w:rsidR="003D3EFC">
        <w:t>cultural script of judicial dispassion, “appeals to pathos are an important element of constitutional practice”)</w:t>
      </w:r>
      <w:r w:rsidR="0095278F">
        <w:t>.</w:t>
      </w:r>
    </w:p>
  </w:footnote>
  <w:footnote w:id="78">
    <w:p w14:paraId="6CEFF99D" w14:textId="671AF46A" w:rsidR="0095278F" w:rsidRPr="00A97CA4" w:rsidRDefault="0095278F" w:rsidP="00A97CA4">
      <w:pPr>
        <w:pStyle w:val="FootnoteText"/>
      </w:pPr>
      <w:r>
        <w:rPr>
          <w:rStyle w:val="FootnoteReference"/>
        </w:rPr>
        <w:footnoteRef/>
      </w:r>
      <w:r>
        <w:t xml:space="preserve"> </w:t>
      </w:r>
      <w:r w:rsidR="00586F51">
        <w:t xml:space="preserve">Maroney, </w:t>
      </w:r>
      <w:r w:rsidR="00586F51">
        <w:rPr>
          <w:i/>
          <w:iCs/>
        </w:rPr>
        <w:t>supra</w:t>
      </w:r>
      <w:r w:rsidR="00586F51">
        <w:t xml:space="preserve"> note </w:t>
      </w:r>
      <w:r w:rsidR="00586F51">
        <w:fldChar w:fldCharType="begin"/>
      </w:r>
      <w:r w:rsidR="00586F51">
        <w:instrText xml:space="preserve"> NOTEREF _Ref174461723 \h </w:instrText>
      </w:r>
      <w:r w:rsidR="00586F51">
        <w:fldChar w:fldCharType="separate"/>
      </w:r>
      <w:r w:rsidR="00B3355A">
        <w:t>61</w:t>
      </w:r>
      <w:r w:rsidR="00586F51">
        <w:fldChar w:fldCharType="end"/>
      </w:r>
      <w:r w:rsidR="00586F51">
        <w:t>, at 635</w:t>
      </w:r>
      <w:r w:rsidR="00F17644">
        <w:t>;</w:t>
      </w:r>
      <w:r>
        <w:t xml:space="preserve"> </w:t>
      </w:r>
      <w:r w:rsidR="00751141">
        <w:t xml:space="preserve">Tyler Rose Clemons, </w:t>
      </w:r>
      <w:r w:rsidR="00513697">
        <w:rPr>
          <w:i/>
          <w:iCs/>
        </w:rPr>
        <w:t>Coercive Ideology</w:t>
      </w:r>
      <w:r w:rsidR="00513697">
        <w:t xml:space="preserve">, 83 </w:t>
      </w:r>
      <w:r w:rsidR="00513697" w:rsidRPr="00610998">
        <w:rPr>
          <w:smallCaps/>
        </w:rPr>
        <w:t>Md. L. Rev.</w:t>
      </w:r>
      <w:r w:rsidR="00513697">
        <w:t xml:space="preserve"> 1121, </w:t>
      </w:r>
      <w:r w:rsidR="00B72664">
        <w:t>1144</w:t>
      </w:r>
      <w:r w:rsidR="006708BA">
        <w:t>–45</w:t>
      </w:r>
      <w:r w:rsidR="00B72664">
        <w:t xml:space="preserve"> (“[T]he American legal tradition does not treat psychological injuries as serious)</w:t>
      </w:r>
      <w:r w:rsidR="00610998">
        <w:t>;</w:t>
      </w:r>
      <w:r w:rsidR="00B72664">
        <w:t xml:space="preserve"> </w:t>
      </w:r>
      <w:r>
        <w:t xml:space="preserve">Ann Althouse, </w:t>
      </w:r>
      <w:r>
        <w:rPr>
          <w:i/>
          <w:iCs/>
        </w:rPr>
        <w:t>Standing, in Fluffy Slippers</w:t>
      </w:r>
      <w:r>
        <w:t xml:space="preserve">, 77 </w:t>
      </w:r>
      <w:r w:rsidRPr="00360E98">
        <w:rPr>
          <w:smallCaps/>
        </w:rPr>
        <w:t>Va. L. Rev.</w:t>
      </w:r>
      <w:r>
        <w:t xml:space="preserve"> 1177, 1178 (1991) (</w:t>
      </w:r>
      <w:r w:rsidR="00613212">
        <w:t xml:space="preserve">critiquing “the [Supreme] Court’s willful exclusion of emotion and real context from its decisions” and “its misguided characterization of this exclusion as heroic”). The </w:t>
      </w:r>
      <w:r w:rsidR="001F51FC">
        <w:t>handful of</w:t>
      </w:r>
      <w:r w:rsidR="005755D5">
        <w:t xml:space="preserve"> instances</w:t>
      </w:r>
      <w:r w:rsidR="001F51FC">
        <w:t xml:space="preserve"> in which parties’ emotions </w:t>
      </w:r>
      <w:r w:rsidR="002E1047">
        <w:t xml:space="preserve">are treated as </w:t>
      </w:r>
      <w:r w:rsidR="005755D5">
        <w:t xml:space="preserve">legally </w:t>
      </w:r>
      <w:r w:rsidR="002E1047">
        <w:t>relevant, such as calculati</w:t>
      </w:r>
      <w:r w:rsidR="005755D5">
        <w:t xml:space="preserve">ng remedies in certain torts cases, are </w:t>
      </w:r>
      <w:r w:rsidR="00A97CA4">
        <w:t>exceptions that prove the rule.</w:t>
      </w:r>
      <w:r w:rsidR="00C554D7">
        <w:rPr>
          <w:i/>
          <w:iCs/>
        </w:rPr>
        <w:t xml:space="preserve"> See</w:t>
      </w:r>
      <w:r w:rsidR="00C554D7">
        <w:t xml:space="preserve"> </w:t>
      </w:r>
      <w:r w:rsidR="00976D3E">
        <w:t xml:space="preserve">Bandes, </w:t>
      </w:r>
      <w:r w:rsidR="00976D3E">
        <w:rPr>
          <w:i/>
          <w:iCs/>
        </w:rPr>
        <w:t xml:space="preserve">supra </w:t>
      </w:r>
      <w:r w:rsidR="00976D3E">
        <w:t xml:space="preserve">note </w:t>
      </w:r>
      <w:r w:rsidR="00976D3E">
        <w:fldChar w:fldCharType="begin"/>
      </w:r>
      <w:r w:rsidR="00976D3E">
        <w:instrText xml:space="preserve"> NOTEREF _Ref174464901 \h </w:instrText>
      </w:r>
      <w:r w:rsidR="00976D3E">
        <w:fldChar w:fldCharType="separate"/>
      </w:r>
      <w:r w:rsidR="00B3355A">
        <w:t>60</w:t>
      </w:r>
      <w:r w:rsidR="00976D3E">
        <w:fldChar w:fldCharType="end"/>
      </w:r>
      <w:r w:rsidR="00976D3E">
        <w:t xml:space="preserve">, at </w:t>
      </w:r>
      <w:r w:rsidR="00A10B8E">
        <w:t xml:space="preserve">2; </w:t>
      </w:r>
      <w:r w:rsidR="00C554D7">
        <w:t xml:space="preserve">Clemons, </w:t>
      </w:r>
      <w:r w:rsidR="00C554D7">
        <w:rPr>
          <w:i/>
          <w:iCs/>
        </w:rPr>
        <w:t>supra</w:t>
      </w:r>
      <w:r w:rsidR="00C554D7">
        <w:t>, at 1145.</w:t>
      </w:r>
      <w:r w:rsidR="00A97CA4">
        <w:t xml:space="preserve"> </w:t>
      </w:r>
      <w:r w:rsidR="00A97CA4">
        <w:rPr>
          <w:i/>
          <w:iCs/>
        </w:rPr>
        <w:t>But see</w:t>
      </w:r>
      <w:r w:rsidR="00A97CA4">
        <w:t xml:space="preserve"> Khiara Bridges, </w:t>
      </w:r>
      <w:r w:rsidR="00A97CA4">
        <w:rPr>
          <w:i/>
          <w:iCs/>
        </w:rPr>
        <w:t>Race and the Roberts Court</w:t>
      </w:r>
      <w:r w:rsidR="00A97CA4">
        <w:t xml:space="preserve">, 136 </w:t>
      </w:r>
      <w:r w:rsidR="00A97CA4" w:rsidRPr="0034352A">
        <w:rPr>
          <w:smallCaps/>
        </w:rPr>
        <w:t>Harv. L. Rev.</w:t>
      </w:r>
      <w:r w:rsidR="00A97CA4">
        <w:t xml:space="preserve"> 23, </w:t>
      </w:r>
      <w:r w:rsidR="00BB79A6">
        <w:t xml:space="preserve">132 </w:t>
      </w:r>
      <w:r w:rsidR="00A97CA4">
        <w:t>(2022) (arguing that the Roberts Court is increasingly solicitous of the hurt feelings of white plaintiffs challenging measures designed to remedy racial discrimination).</w:t>
      </w:r>
    </w:p>
  </w:footnote>
  <w:footnote w:id="79">
    <w:p w14:paraId="3B793B83" w14:textId="01FF6AF6" w:rsidR="00D3316F" w:rsidRPr="004C7808" w:rsidRDefault="00D3316F">
      <w:pPr>
        <w:pStyle w:val="FootnoteText"/>
      </w:pPr>
      <w:r>
        <w:rPr>
          <w:rStyle w:val="FootnoteReference"/>
        </w:rPr>
        <w:footnoteRef/>
      </w:r>
      <w:r>
        <w:t xml:space="preserve"> Doni Gewirtzman, </w:t>
      </w:r>
      <w:r>
        <w:rPr>
          <w:i/>
          <w:iCs/>
        </w:rPr>
        <w:t xml:space="preserve">Our Founding Feelings: </w:t>
      </w:r>
      <w:r w:rsidR="004C7808">
        <w:rPr>
          <w:i/>
          <w:iCs/>
        </w:rPr>
        <w:t>Emotion, Commitment, and Imagination in Constitutional Culture</w:t>
      </w:r>
      <w:r w:rsidR="004C7808">
        <w:t xml:space="preserve">, 43 </w:t>
      </w:r>
      <w:r w:rsidR="004C7808" w:rsidRPr="008A01C8">
        <w:rPr>
          <w:smallCaps/>
        </w:rPr>
        <w:t>U. Richmond L. Rev.</w:t>
      </w:r>
      <w:r w:rsidR="004C7808">
        <w:t xml:space="preserve"> 623, </w:t>
      </w:r>
      <w:r w:rsidR="008A01C8">
        <w:t>635–3</w:t>
      </w:r>
      <w:r w:rsidR="00D046BD">
        <w:t>7</w:t>
      </w:r>
      <w:r w:rsidR="008A01C8">
        <w:t xml:space="preserve"> (2009).</w:t>
      </w:r>
    </w:p>
  </w:footnote>
  <w:footnote w:id="80">
    <w:p w14:paraId="70755397" w14:textId="78A438A1" w:rsidR="00405BE9" w:rsidRPr="000B000C" w:rsidRDefault="00405BE9">
      <w:pPr>
        <w:pStyle w:val="FootnoteText"/>
      </w:pPr>
      <w:r>
        <w:rPr>
          <w:rStyle w:val="FootnoteReference"/>
        </w:rPr>
        <w:footnoteRef/>
      </w:r>
      <w:r>
        <w:t xml:space="preserve"> </w:t>
      </w:r>
      <w:r>
        <w:rPr>
          <w:i/>
          <w:iCs/>
        </w:rPr>
        <w:t>See</w:t>
      </w:r>
      <w:r>
        <w:t xml:space="preserve"> </w:t>
      </w:r>
      <w:r>
        <w:rPr>
          <w:i/>
          <w:iCs/>
        </w:rPr>
        <w:t>Stare Decisis</w:t>
      </w:r>
      <w:r>
        <w:t xml:space="preserve">, </w:t>
      </w:r>
      <w:r w:rsidRPr="00405BE9">
        <w:rPr>
          <w:smallCaps/>
        </w:rPr>
        <w:t>Black’s Law Dictionary</w:t>
      </w:r>
      <w:r>
        <w:t xml:space="preserve"> (12th ed. 2024); </w:t>
      </w:r>
      <w:r w:rsidR="000A646F" w:rsidRPr="000B000C">
        <w:t>Planned Parenthood of Se. Penn. v. Casey</w:t>
      </w:r>
      <w:r w:rsidR="000A646F">
        <w:t xml:space="preserve">, 505 U.S. 833, </w:t>
      </w:r>
      <w:r w:rsidR="000B000C">
        <w:t xml:space="preserve">854–55 (1992), </w:t>
      </w:r>
      <w:r w:rsidR="000B000C">
        <w:rPr>
          <w:i/>
          <w:iCs/>
        </w:rPr>
        <w:t>overruled on other grounds by</w:t>
      </w:r>
      <w:r w:rsidR="000B000C">
        <w:t xml:space="preserve"> Dobbs v. </w:t>
      </w:r>
      <w:r w:rsidR="00542310">
        <w:t xml:space="preserve">Jackson Women’s Health Org., </w:t>
      </w:r>
      <w:r w:rsidR="002F0558">
        <w:t xml:space="preserve">597 U.S. 215, </w:t>
      </w:r>
      <w:r w:rsidR="00DA4ECC">
        <w:t>231 (2022).</w:t>
      </w:r>
    </w:p>
  </w:footnote>
  <w:footnote w:id="81">
    <w:p w14:paraId="076758E6" w14:textId="227A5D12" w:rsidR="0065343F" w:rsidRPr="0020520D" w:rsidRDefault="0065343F" w:rsidP="00C34AFC">
      <w:pPr>
        <w:pStyle w:val="FootnoteText"/>
      </w:pPr>
      <w:r>
        <w:rPr>
          <w:rStyle w:val="FootnoteReference"/>
        </w:rPr>
        <w:footnoteRef/>
      </w:r>
      <w:r>
        <w:t xml:space="preserve"> Gewirtzman, </w:t>
      </w:r>
      <w:r>
        <w:rPr>
          <w:i/>
          <w:iCs/>
        </w:rPr>
        <w:t>supra</w:t>
      </w:r>
      <w:r>
        <w:t xml:space="preserve"> note </w:t>
      </w:r>
      <w:r>
        <w:fldChar w:fldCharType="begin"/>
      </w:r>
      <w:r>
        <w:instrText xml:space="preserve"> NOTEREF _Ref174525394 \h </w:instrText>
      </w:r>
      <w:r>
        <w:fldChar w:fldCharType="separate"/>
      </w:r>
      <w:r w:rsidR="00B3355A">
        <w:t>63</w:t>
      </w:r>
      <w:r>
        <w:fldChar w:fldCharType="end"/>
      </w:r>
      <w:r>
        <w:t>, at 623</w:t>
      </w:r>
      <w:r w:rsidR="001C15EF">
        <w:t>, 636</w:t>
      </w:r>
      <w:r w:rsidR="0020520D">
        <w:t xml:space="preserve">; </w:t>
      </w:r>
      <w:r w:rsidR="0020520D">
        <w:rPr>
          <w:i/>
          <w:iCs/>
        </w:rPr>
        <w:t>see also generally</w:t>
      </w:r>
      <w:r w:rsidR="0020520D">
        <w:t xml:space="preserve"> </w:t>
      </w:r>
      <w:r w:rsidR="00462037">
        <w:t>Kathy A. Winter &amp; Nicholas A. Kuiper</w:t>
      </w:r>
      <w:r w:rsidR="00D50AAB">
        <w:t>,</w:t>
      </w:r>
      <w:r w:rsidR="00462037">
        <w:t xml:space="preserve"> </w:t>
      </w:r>
      <w:r w:rsidR="0036619E">
        <w:rPr>
          <w:i/>
          <w:iCs/>
        </w:rPr>
        <w:t>Individual Differences in the Experience of Emotions</w:t>
      </w:r>
      <w:r w:rsidR="0036619E">
        <w:t>,</w:t>
      </w:r>
      <w:r w:rsidR="0036619E">
        <w:rPr>
          <w:i/>
          <w:iCs/>
        </w:rPr>
        <w:t xml:space="preserve"> </w:t>
      </w:r>
      <w:r w:rsidR="00462037">
        <w:t xml:space="preserve">17 </w:t>
      </w:r>
      <w:r w:rsidR="00462037" w:rsidRPr="0036619E">
        <w:rPr>
          <w:smallCaps/>
        </w:rPr>
        <w:t>Clin</w:t>
      </w:r>
      <w:r w:rsidR="00D27D3A" w:rsidRPr="0036619E">
        <w:rPr>
          <w:smallCaps/>
        </w:rPr>
        <w:t xml:space="preserve">ical </w:t>
      </w:r>
      <w:r w:rsidR="0036619E" w:rsidRPr="0036619E">
        <w:rPr>
          <w:smallCaps/>
        </w:rPr>
        <w:t>Psych. Rev.</w:t>
      </w:r>
      <w:r w:rsidR="0036619E">
        <w:t xml:space="preserve"> 791,</w:t>
      </w:r>
      <w:r w:rsidR="00D50AAB">
        <w:t xml:space="preserve"> 798</w:t>
      </w:r>
      <w:r w:rsidR="0036619E">
        <w:t xml:space="preserve"> (1997) (</w:t>
      </w:r>
      <w:r w:rsidR="00C34AFC">
        <w:t>“</w:t>
      </w:r>
      <w:r w:rsidR="00CC7109">
        <w:t>[I]</w:t>
      </w:r>
      <w:proofErr w:type="spellStart"/>
      <w:r w:rsidR="00C34AFC">
        <w:t>ndividual</w:t>
      </w:r>
      <w:proofErr w:type="spellEnd"/>
      <w:r w:rsidR="00C34AFC">
        <w:t xml:space="preserve"> differences in personality mediate affective responses to life events”).</w:t>
      </w:r>
    </w:p>
  </w:footnote>
  <w:footnote w:id="82">
    <w:p w14:paraId="00A9AC5B" w14:textId="0662A8A9" w:rsidR="00335FB4" w:rsidRPr="00FC003B" w:rsidRDefault="00335FB4">
      <w:pPr>
        <w:pStyle w:val="FootnoteText"/>
        <w:rPr>
          <w:i/>
          <w:iCs/>
        </w:rPr>
      </w:pPr>
      <w:r>
        <w:rPr>
          <w:rStyle w:val="FootnoteReference"/>
        </w:rPr>
        <w:footnoteRef/>
      </w:r>
      <w:r>
        <w:t xml:space="preserve"> Gewirtzman, </w:t>
      </w:r>
      <w:r>
        <w:rPr>
          <w:i/>
          <w:iCs/>
        </w:rPr>
        <w:t>supra</w:t>
      </w:r>
      <w:r>
        <w:t xml:space="preserve"> note </w:t>
      </w:r>
      <w:r>
        <w:fldChar w:fldCharType="begin"/>
      </w:r>
      <w:r>
        <w:instrText xml:space="preserve"> NOTEREF _Ref174525394 \h </w:instrText>
      </w:r>
      <w:r>
        <w:fldChar w:fldCharType="separate"/>
      </w:r>
      <w:r w:rsidR="00B3355A">
        <w:t>63</w:t>
      </w:r>
      <w:r>
        <w:fldChar w:fldCharType="end"/>
      </w:r>
      <w:r>
        <w:t>, at 623</w:t>
      </w:r>
      <w:r w:rsidR="00253A32">
        <w:t>, 640–</w:t>
      </w:r>
      <w:r w:rsidR="00A705F5">
        <w:t>44</w:t>
      </w:r>
      <w:r w:rsidR="00B2784B">
        <w:t xml:space="preserve">; </w:t>
      </w:r>
      <w:r w:rsidR="00B2784B">
        <w:rPr>
          <w:i/>
          <w:iCs/>
        </w:rPr>
        <w:t>see also</w:t>
      </w:r>
      <w:r w:rsidR="00B2784B">
        <w:t xml:space="preserve"> </w:t>
      </w:r>
      <w:r w:rsidR="00B2784B" w:rsidRPr="001168DE">
        <w:rPr>
          <w:i/>
          <w:iCs/>
        </w:rPr>
        <w:t>Dobbs</w:t>
      </w:r>
      <w:r w:rsidR="00B2784B">
        <w:t xml:space="preserve">, 597 U.S. at </w:t>
      </w:r>
      <w:r w:rsidR="00810187">
        <w:t xml:space="preserve">387–88, </w:t>
      </w:r>
      <w:r w:rsidR="00FC003B">
        <w:t xml:space="preserve">412–14 (Breyer, J., dissenting) (quoting </w:t>
      </w:r>
      <w:r w:rsidR="00FC003B">
        <w:rPr>
          <w:i/>
          <w:iCs/>
        </w:rPr>
        <w:t>Casey</w:t>
      </w:r>
      <w:r w:rsidR="00FC003B">
        <w:t xml:space="preserve">, </w:t>
      </w:r>
      <w:r w:rsidR="006055E9">
        <w:t>505 U.S. at 705).</w:t>
      </w:r>
      <w:r w:rsidR="00FC003B">
        <w:t xml:space="preserve"> </w:t>
      </w:r>
    </w:p>
  </w:footnote>
  <w:footnote w:id="83">
    <w:p w14:paraId="2C7EE9F8" w14:textId="2112CE2E" w:rsidR="0072640E" w:rsidRPr="009E4F70" w:rsidRDefault="0072640E">
      <w:pPr>
        <w:pStyle w:val="FootnoteText"/>
      </w:pPr>
      <w:r>
        <w:rPr>
          <w:rStyle w:val="FootnoteReference"/>
        </w:rPr>
        <w:footnoteRef/>
      </w:r>
      <w:r>
        <w:t xml:space="preserve"> </w:t>
      </w:r>
      <w:r>
        <w:rPr>
          <w:i/>
          <w:iCs/>
        </w:rPr>
        <w:t>See</w:t>
      </w:r>
      <w:r>
        <w:t xml:space="preserve"> Gewirtzman, </w:t>
      </w:r>
      <w:r>
        <w:rPr>
          <w:i/>
          <w:iCs/>
        </w:rPr>
        <w:t>supra</w:t>
      </w:r>
      <w:r>
        <w:t xml:space="preserve"> note </w:t>
      </w:r>
      <w:r>
        <w:fldChar w:fldCharType="begin"/>
      </w:r>
      <w:r>
        <w:instrText xml:space="preserve"> NOTEREF _Ref174525394 \h </w:instrText>
      </w:r>
      <w:r>
        <w:fldChar w:fldCharType="separate"/>
      </w:r>
      <w:r w:rsidR="00B3355A">
        <w:t>63</w:t>
      </w:r>
      <w:r>
        <w:fldChar w:fldCharType="end"/>
      </w:r>
      <w:r>
        <w:t xml:space="preserve">, at </w:t>
      </w:r>
      <w:r w:rsidR="003860B6">
        <w:t>637–</w:t>
      </w:r>
      <w:r w:rsidR="00A705F5">
        <w:t>40, 645–47</w:t>
      </w:r>
      <w:r w:rsidR="009E4F70">
        <w:t xml:space="preserve">; Maroney, </w:t>
      </w:r>
      <w:r w:rsidR="009E4F70">
        <w:rPr>
          <w:i/>
          <w:iCs/>
        </w:rPr>
        <w:t>supra</w:t>
      </w:r>
      <w:r w:rsidR="009E4F70">
        <w:t xml:space="preserve"> note </w:t>
      </w:r>
      <w:r w:rsidR="009E4F70">
        <w:fldChar w:fldCharType="begin"/>
      </w:r>
      <w:r w:rsidR="009E4F70">
        <w:instrText xml:space="preserve"> NOTEREF _Ref174461723 \h </w:instrText>
      </w:r>
      <w:r w:rsidR="009E4F70">
        <w:fldChar w:fldCharType="separate"/>
      </w:r>
      <w:r w:rsidR="00B3355A">
        <w:t>61</w:t>
      </w:r>
      <w:r w:rsidR="009E4F70">
        <w:fldChar w:fldCharType="end"/>
      </w:r>
      <w:r w:rsidR="009E4F70">
        <w:t>, at 634–35</w:t>
      </w:r>
      <w:r w:rsidR="00726BF3">
        <w:t xml:space="preserve">; </w:t>
      </w:r>
      <w:r w:rsidR="00726BF3" w:rsidRPr="00726BF3">
        <w:rPr>
          <w:highlight w:val="yellow"/>
        </w:rPr>
        <w:t>add Klarman, Framers’ Coup</w:t>
      </w:r>
      <w:r w:rsidR="009E4F70">
        <w:t>.</w:t>
      </w:r>
    </w:p>
  </w:footnote>
  <w:footnote w:id="84">
    <w:p w14:paraId="42E01FC7" w14:textId="3F350148" w:rsidR="00CC7109" w:rsidRPr="00FB64A6" w:rsidRDefault="00CC7109">
      <w:pPr>
        <w:pStyle w:val="FootnoteText"/>
      </w:pPr>
      <w:r>
        <w:rPr>
          <w:rStyle w:val="FootnoteReference"/>
        </w:rPr>
        <w:footnoteRef/>
      </w:r>
      <w:r>
        <w:t xml:space="preserve"> </w:t>
      </w:r>
      <w:r w:rsidR="00FB64A6">
        <w:rPr>
          <w:i/>
          <w:iCs/>
        </w:rPr>
        <w:t>See</w:t>
      </w:r>
      <w:r w:rsidR="00FB64A6">
        <w:t xml:space="preserve"> </w:t>
      </w:r>
      <w:r w:rsidR="006A0431">
        <w:t xml:space="preserve">John Adams, Thoughts on Government (1776), </w:t>
      </w:r>
      <w:hyperlink r:id="rId19" w:history="1">
        <w:r w:rsidR="00B105E2" w:rsidRPr="0010038C">
          <w:rPr>
            <w:rStyle w:val="Hyperlink"/>
          </w:rPr>
          <w:t>https://founders.archives.gov/documents/Adams/06-04-02-0026-0004</w:t>
        </w:r>
      </w:hyperlink>
      <w:r w:rsidR="00B105E2">
        <w:t xml:space="preserve"> [</w:t>
      </w:r>
      <w:r w:rsidR="00AD21EB" w:rsidRPr="00AD21EB">
        <w:t>https://perma.cc/AGT4-PF2J</w:t>
      </w:r>
      <w:r w:rsidR="00AD21EB">
        <w:t xml:space="preserve">]; </w:t>
      </w:r>
      <w:r w:rsidR="00AD21EB">
        <w:rPr>
          <w:i/>
          <w:iCs/>
        </w:rPr>
        <w:t>see also</w:t>
      </w:r>
      <w:r w:rsidR="00AD21EB">
        <w:t xml:space="preserve"> </w:t>
      </w:r>
      <w:r w:rsidR="00AD21EB">
        <w:rPr>
          <w:i/>
          <w:iCs/>
        </w:rPr>
        <w:t>Dobbs</w:t>
      </w:r>
      <w:r w:rsidR="00AD21EB">
        <w:t xml:space="preserve">, 597 U.S. at </w:t>
      </w:r>
      <w:r w:rsidR="00801420">
        <w:t>388 (“Judges’ personal preferences do not make law; rather, the law speaks through them.”).</w:t>
      </w:r>
      <w:r w:rsidR="006A0431">
        <w:t xml:space="preserve"> </w:t>
      </w:r>
      <w:r w:rsidR="00D45184">
        <w:t xml:space="preserve"> </w:t>
      </w:r>
    </w:p>
  </w:footnote>
  <w:footnote w:id="85">
    <w:p w14:paraId="754464CE" w14:textId="20950615" w:rsidR="00F97C65" w:rsidRDefault="00F97C65">
      <w:pPr>
        <w:pStyle w:val="FootnoteText"/>
      </w:pPr>
      <w:r>
        <w:rPr>
          <w:rStyle w:val="FootnoteReference"/>
        </w:rPr>
        <w:footnoteRef/>
      </w:r>
      <w:r>
        <w:t xml:space="preserve"> </w:t>
      </w:r>
      <w:r w:rsidR="00A3185F" w:rsidRPr="00141FC3">
        <w:rPr>
          <w:smallCaps/>
        </w:rPr>
        <w:t>The Declaration of Independence</w:t>
      </w:r>
      <w:r w:rsidR="00A3185F">
        <w:t xml:space="preserve"> </w:t>
      </w:r>
      <w:r w:rsidR="009C0778">
        <w:t xml:space="preserve">para. 2 </w:t>
      </w:r>
      <w:r w:rsidR="00141FC3">
        <w:t>(U.S. 1776).</w:t>
      </w:r>
    </w:p>
  </w:footnote>
  <w:footnote w:id="86">
    <w:p w14:paraId="5E6B3B69" w14:textId="436BDB8E" w:rsidR="00A52CF9" w:rsidRPr="00DC3D01" w:rsidRDefault="00A52CF9">
      <w:pPr>
        <w:pStyle w:val="FootnoteText"/>
      </w:pPr>
      <w:r>
        <w:rPr>
          <w:rStyle w:val="FootnoteReference"/>
        </w:rPr>
        <w:footnoteRef/>
      </w:r>
      <w:r>
        <w:t xml:space="preserve"> </w:t>
      </w:r>
      <w:r>
        <w:rPr>
          <w:i/>
          <w:iCs/>
        </w:rPr>
        <w:t>See</w:t>
      </w:r>
      <w:r>
        <w:t xml:space="preserve"> </w:t>
      </w:r>
      <w:r w:rsidRPr="00A865F8">
        <w:rPr>
          <w:smallCaps/>
        </w:rPr>
        <w:t>Carli N. Conklin, The Pursuit of Happiness in the Founding Era: An Intellectual History</w:t>
      </w:r>
      <w:r>
        <w:t xml:space="preserve"> </w:t>
      </w:r>
      <w:r w:rsidR="00A865F8">
        <w:t>97–99</w:t>
      </w:r>
      <w:r w:rsidR="00B117EE">
        <w:t>, 106–09</w:t>
      </w:r>
      <w:r w:rsidR="00A865F8">
        <w:t xml:space="preserve"> (2019); </w:t>
      </w:r>
      <w:r w:rsidR="00DC3D01">
        <w:t xml:space="preserve">Edmond N. Cahn, </w:t>
      </w:r>
      <w:r w:rsidR="00DC3D01">
        <w:rPr>
          <w:i/>
          <w:iCs/>
        </w:rPr>
        <w:t>Madison and the Pursuit of Happiness</w:t>
      </w:r>
      <w:r w:rsidR="00DC3D01">
        <w:t xml:space="preserve">, 27 </w:t>
      </w:r>
      <w:r w:rsidR="00DC3D01" w:rsidRPr="003A30E5">
        <w:rPr>
          <w:smallCaps/>
        </w:rPr>
        <w:t>N.Y.U. L. Rev.</w:t>
      </w:r>
      <w:r w:rsidR="00DC3D01">
        <w:t xml:space="preserve"> </w:t>
      </w:r>
      <w:r w:rsidR="009B0609">
        <w:t xml:space="preserve">265, </w:t>
      </w:r>
      <w:r w:rsidR="00AE679B">
        <w:t>268–69 &amp; n.</w:t>
      </w:r>
      <w:r w:rsidR="003A30E5">
        <w:t xml:space="preserve">8 </w:t>
      </w:r>
      <w:r w:rsidR="009B0609">
        <w:t>(1972).</w:t>
      </w:r>
      <w:r w:rsidR="005B32A5">
        <w:t xml:space="preserve"> The use of the indefinite masculine is deliberate</w:t>
      </w:r>
      <w:r w:rsidR="00503614">
        <w:t>; with few notable exceptions, women</w:t>
      </w:r>
      <w:r w:rsidR="009F2EB1">
        <w:t xml:space="preserve">’s voices were excluded from the conversations that shaped the Constitution. </w:t>
      </w:r>
      <w:r w:rsidR="009F2EB1">
        <w:rPr>
          <w:i/>
          <w:iCs/>
        </w:rPr>
        <w:t>See</w:t>
      </w:r>
      <w:r w:rsidR="009F2EB1">
        <w:t xml:space="preserve"> [</w:t>
      </w:r>
      <w:r w:rsidR="009F2EB1" w:rsidRPr="00897350">
        <w:rPr>
          <w:highlight w:val="yellow"/>
        </w:rPr>
        <w:t>cite—probably Siegel’s post-Dobbs stuff</w:t>
      </w:r>
      <w:r w:rsidR="009F2EB1">
        <w:t>].</w:t>
      </w:r>
      <w:r w:rsidR="00503614">
        <w:t xml:space="preserve"> </w:t>
      </w:r>
    </w:p>
  </w:footnote>
  <w:footnote w:id="87">
    <w:p w14:paraId="38416BCA" w14:textId="674565F8" w:rsidR="00FF6D26" w:rsidRPr="00F65DBA" w:rsidRDefault="00FF6D26">
      <w:pPr>
        <w:pStyle w:val="FootnoteText"/>
      </w:pPr>
      <w:r>
        <w:rPr>
          <w:rStyle w:val="FootnoteReference"/>
        </w:rPr>
        <w:footnoteRef/>
      </w:r>
      <w:r>
        <w:t xml:space="preserve"> </w:t>
      </w:r>
      <w:r w:rsidR="007B30BC">
        <w:rPr>
          <w:i/>
          <w:iCs/>
        </w:rPr>
        <w:t xml:space="preserve">See </w:t>
      </w:r>
      <w:r w:rsidR="007B30BC" w:rsidRPr="00F3782B">
        <w:rPr>
          <w:smallCaps/>
        </w:rPr>
        <w:t>John Locke, Two Treatises on Civil Government</w:t>
      </w:r>
      <w:r w:rsidR="007B30BC">
        <w:t xml:space="preserve"> 234 (</w:t>
      </w:r>
      <w:r w:rsidR="00F3782B">
        <w:t>1884 ed. 1689)</w:t>
      </w:r>
      <w:r>
        <w:t>.</w:t>
      </w:r>
      <w:r w:rsidR="00F65DBA">
        <w:t xml:space="preserve"> Locke’s original word for property was “estate,” but the two terms are synonymous. </w:t>
      </w:r>
      <w:proofErr w:type="gramStart"/>
      <w:r w:rsidR="00F3782B">
        <w:rPr>
          <w:i/>
          <w:iCs/>
        </w:rPr>
        <w:t>Id.</w:t>
      </w:r>
      <w:r w:rsidR="00F3782B">
        <w:t>;</w:t>
      </w:r>
      <w:proofErr w:type="gramEnd"/>
      <w:r w:rsidR="00F3782B">
        <w:t xml:space="preserve"> </w:t>
      </w:r>
      <w:r w:rsidR="00F3782B">
        <w:rPr>
          <w:i/>
          <w:iCs/>
        </w:rPr>
        <w:t>s</w:t>
      </w:r>
      <w:r w:rsidR="00F65DBA">
        <w:rPr>
          <w:i/>
          <w:iCs/>
        </w:rPr>
        <w:t>ee</w:t>
      </w:r>
      <w:r w:rsidR="00F65DBA">
        <w:t xml:space="preserve"> </w:t>
      </w:r>
      <w:r w:rsidR="00F3782B">
        <w:rPr>
          <w:i/>
          <w:iCs/>
        </w:rPr>
        <w:t xml:space="preserve">also </w:t>
      </w:r>
      <w:r w:rsidR="00F65DBA" w:rsidRPr="00934388">
        <w:rPr>
          <w:smallCaps/>
        </w:rPr>
        <w:t>Conklin</w:t>
      </w:r>
      <w:r w:rsidR="00F65DBA">
        <w:t xml:space="preserve">, </w:t>
      </w:r>
      <w:r w:rsidR="00F65DBA">
        <w:rPr>
          <w:i/>
          <w:iCs/>
        </w:rPr>
        <w:t>supra</w:t>
      </w:r>
      <w:r w:rsidR="00F65DBA">
        <w:t xml:space="preserve"> note </w:t>
      </w:r>
      <w:r w:rsidR="00F65DBA">
        <w:fldChar w:fldCharType="begin"/>
      </w:r>
      <w:r w:rsidR="00F65DBA">
        <w:instrText xml:space="preserve"> NOTEREF _Ref174535572 \h </w:instrText>
      </w:r>
      <w:r w:rsidR="00F65DBA">
        <w:fldChar w:fldCharType="separate"/>
      </w:r>
      <w:r w:rsidR="00B3355A">
        <w:t>70</w:t>
      </w:r>
      <w:r w:rsidR="00F65DBA">
        <w:fldChar w:fldCharType="end"/>
      </w:r>
      <w:r w:rsidR="00F65DBA">
        <w:t xml:space="preserve">, at </w:t>
      </w:r>
      <w:r w:rsidR="00934388">
        <w:t>3.</w:t>
      </w:r>
    </w:p>
  </w:footnote>
  <w:footnote w:id="88">
    <w:p w14:paraId="3D85C81A" w14:textId="6AFDAEC9" w:rsidR="00C77576" w:rsidRPr="00C77576" w:rsidRDefault="00C77576">
      <w:pPr>
        <w:pStyle w:val="FootnoteText"/>
      </w:pPr>
      <w:r>
        <w:rPr>
          <w:rStyle w:val="FootnoteReference"/>
        </w:rPr>
        <w:footnoteRef/>
      </w:r>
      <w:r>
        <w:t xml:space="preserve"> </w:t>
      </w:r>
      <w:r>
        <w:rPr>
          <w:i/>
          <w:iCs/>
        </w:rPr>
        <w:t>Id.</w:t>
      </w:r>
    </w:p>
  </w:footnote>
  <w:footnote w:id="89">
    <w:p w14:paraId="0C110811" w14:textId="25B6F65D" w:rsidR="00F96FD3" w:rsidRPr="00F96FD3" w:rsidRDefault="00F96FD3">
      <w:pPr>
        <w:pStyle w:val="FootnoteText"/>
      </w:pPr>
      <w:r>
        <w:rPr>
          <w:rStyle w:val="FootnoteReference"/>
        </w:rPr>
        <w:footnoteRef/>
      </w:r>
      <w:r>
        <w:t xml:space="preserve"> </w:t>
      </w:r>
      <w:r>
        <w:rPr>
          <w:i/>
          <w:iCs/>
        </w:rPr>
        <w:t>Id.</w:t>
      </w:r>
      <w:r>
        <w:t xml:space="preserve"> at 4–5.</w:t>
      </w:r>
    </w:p>
  </w:footnote>
  <w:footnote w:id="90">
    <w:p w14:paraId="5E168290" w14:textId="0F103A3F" w:rsidR="00C64CEC" w:rsidRPr="00C64CEC" w:rsidRDefault="00C64CEC">
      <w:pPr>
        <w:pStyle w:val="FootnoteText"/>
      </w:pPr>
      <w:r>
        <w:rPr>
          <w:rStyle w:val="FootnoteReference"/>
        </w:rPr>
        <w:footnoteRef/>
      </w:r>
      <w:r>
        <w:t xml:space="preserve"> </w:t>
      </w:r>
      <w:r>
        <w:rPr>
          <w:i/>
          <w:iCs/>
        </w:rPr>
        <w:t>Id.</w:t>
      </w:r>
      <w:r>
        <w:t xml:space="preserve"> at 4.</w:t>
      </w:r>
    </w:p>
  </w:footnote>
  <w:footnote w:id="91">
    <w:p w14:paraId="402D9052" w14:textId="5637E598" w:rsidR="005A74A6" w:rsidRPr="00CF4BFD" w:rsidRDefault="005A74A6">
      <w:pPr>
        <w:pStyle w:val="FootnoteText"/>
      </w:pPr>
      <w:r>
        <w:rPr>
          <w:rStyle w:val="FootnoteReference"/>
        </w:rPr>
        <w:footnoteRef/>
      </w:r>
      <w:r w:rsidR="002D770C">
        <w:t xml:space="preserve"> Cahn, </w:t>
      </w:r>
      <w:r w:rsidR="002D770C">
        <w:rPr>
          <w:i/>
          <w:iCs/>
        </w:rPr>
        <w:t>supra</w:t>
      </w:r>
      <w:r w:rsidR="002D770C">
        <w:t xml:space="preserve"> note </w:t>
      </w:r>
      <w:r w:rsidR="002D770C">
        <w:fldChar w:fldCharType="begin"/>
      </w:r>
      <w:r w:rsidR="002D770C">
        <w:instrText xml:space="preserve"> NOTEREF _Ref174535572 \h </w:instrText>
      </w:r>
      <w:r w:rsidR="002D770C">
        <w:fldChar w:fldCharType="separate"/>
      </w:r>
      <w:r w:rsidR="00B3355A">
        <w:t>70</w:t>
      </w:r>
      <w:r w:rsidR="002D770C">
        <w:fldChar w:fldCharType="end"/>
      </w:r>
      <w:r w:rsidR="002D770C">
        <w:t xml:space="preserve">, at </w:t>
      </w:r>
      <w:r w:rsidR="00786E3A">
        <w:t>266–67. Though popular in the mid-twentieth century, this view appears to have fallen out of favor</w:t>
      </w:r>
      <w:r w:rsidR="00CF4BFD">
        <w:t xml:space="preserve">. </w:t>
      </w:r>
      <w:r w:rsidR="00CF4BFD">
        <w:rPr>
          <w:i/>
          <w:iCs/>
        </w:rPr>
        <w:t>Compare</w:t>
      </w:r>
      <w:r w:rsidR="00CF4BFD">
        <w:t xml:space="preserve"> </w:t>
      </w:r>
      <w:r w:rsidR="00CF4BFD">
        <w:rPr>
          <w:i/>
          <w:iCs/>
        </w:rPr>
        <w:t>id.</w:t>
      </w:r>
      <w:r w:rsidR="00CF4BFD">
        <w:t xml:space="preserve"> (“This historical myth . . . has won wide acceptance”) </w:t>
      </w:r>
      <w:r w:rsidR="00CF4BFD">
        <w:rPr>
          <w:i/>
          <w:iCs/>
        </w:rPr>
        <w:t>with</w:t>
      </w:r>
      <w:r w:rsidR="00CF4BFD">
        <w:t xml:space="preserve"> Conklin, </w:t>
      </w:r>
      <w:r w:rsidR="00CF4BFD">
        <w:rPr>
          <w:i/>
          <w:iCs/>
        </w:rPr>
        <w:t>supra</w:t>
      </w:r>
      <w:r w:rsidR="00CF4BFD">
        <w:t xml:space="preserve"> note </w:t>
      </w:r>
      <w:r w:rsidR="00CF4BFD">
        <w:fldChar w:fldCharType="begin"/>
      </w:r>
      <w:r w:rsidR="00CF4BFD">
        <w:instrText xml:space="preserve"> NOTEREF _Ref174535572 \h </w:instrText>
      </w:r>
      <w:r w:rsidR="00CF4BFD">
        <w:fldChar w:fldCharType="separate"/>
      </w:r>
      <w:r w:rsidR="00B3355A">
        <w:t>70</w:t>
      </w:r>
      <w:r w:rsidR="00CF4BFD">
        <w:fldChar w:fldCharType="end"/>
      </w:r>
      <w:r w:rsidR="00CF4BFD">
        <w:t xml:space="preserve">, at </w:t>
      </w:r>
      <w:r w:rsidR="00B61E59">
        <w:t>4–5 (discussing two approaches to the replacement</w:t>
      </w:r>
      <w:r w:rsidR="008C506D">
        <w:t xml:space="preserve"> without discussing this view).</w:t>
      </w:r>
    </w:p>
  </w:footnote>
  <w:footnote w:id="92">
    <w:p w14:paraId="0875F67D" w14:textId="791B15CD" w:rsidR="005B4B52" w:rsidRPr="00E2761C" w:rsidRDefault="005B4B52">
      <w:pPr>
        <w:pStyle w:val="FootnoteText"/>
      </w:pPr>
      <w:r>
        <w:rPr>
          <w:rStyle w:val="FootnoteReference"/>
        </w:rPr>
        <w:footnoteRef/>
      </w:r>
      <w:r>
        <w:t xml:space="preserve"> </w:t>
      </w:r>
      <w:r w:rsidRPr="00AE5971">
        <w:rPr>
          <w:smallCaps/>
        </w:rPr>
        <w:t>John Locke</w:t>
      </w:r>
      <w:r w:rsidR="00CF29EF" w:rsidRPr="00AE5971">
        <w:rPr>
          <w:smallCaps/>
        </w:rPr>
        <w:t>, An Essay Concerning Human Understanding</w:t>
      </w:r>
      <w:r w:rsidR="00C91270">
        <w:t xml:space="preserve"> (</w:t>
      </w:r>
      <w:r w:rsidR="00445AED">
        <w:t>2015 ed. 1689</w:t>
      </w:r>
      <w:r w:rsidR="00C91270">
        <w:t>).</w:t>
      </w:r>
    </w:p>
  </w:footnote>
  <w:footnote w:id="93">
    <w:p w14:paraId="2DE9BAF6" w14:textId="62B13A31" w:rsidR="00AE5971" w:rsidRPr="00400CBB" w:rsidRDefault="00AE5971">
      <w:pPr>
        <w:pStyle w:val="FootnoteText"/>
      </w:pPr>
      <w:r>
        <w:rPr>
          <w:rStyle w:val="FootnoteReference"/>
        </w:rPr>
        <w:footnoteRef/>
      </w:r>
      <w:r>
        <w:t xml:space="preserve"> </w:t>
      </w:r>
      <w:r w:rsidR="00400CBB">
        <w:rPr>
          <w:i/>
          <w:iCs/>
        </w:rPr>
        <w:t>Id.</w:t>
      </w:r>
      <w:r w:rsidR="00400CBB">
        <w:t xml:space="preserve"> at </w:t>
      </w:r>
      <w:r w:rsidR="00E93848">
        <w:t>166–202.</w:t>
      </w:r>
    </w:p>
  </w:footnote>
  <w:footnote w:id="94">
    <w:p w14:paraId="07AFD702" w14:textId="60CEF1A6" w:rsidR="00CE3100" w:rsidRPr="00CE3100" w:rsidRDefault="00CE3100">
      <w:pPr>
        <w:pStyle w:val="FootnoteText"/>
      </w:pPr>
      <w:r>
        <w:rPr>
          <w:rStyle w:val="FootnoteReference"/>
        </w:rPr>
        <w:footnoteRef/>
      </w:r>
      <w:r>
        <w:t xml:space="preserve"> </w:t>
      </w:r>
      <w:r>
        <w:rPr>
          <w:i/>
          <w:iCs/>
        </w:rPr>
        <w:t>Id.</w:t>
      </w:r>
      <w:r>
        <w:t xml:space="preserve"> at </w:t>
      </w:r>
      <w:r w:rsidR="00E93848">
        <w:t>182</w:t>
      </w:r>
      <w:r w:rsidR="007C5346">
        <w:t>–83.</w:t>
      </w:r>
    </w:p>
  </w:footnote>
  <w:footnote w:id="95">
    <w:p w14:paraId="76975FB6" w14:textId="284D3C28" w:rsidR="007C5346" w:rsidRPr="007C5346" w:rsidRDefault="007C5346">
      <w:pPr>
        <w:pStyle w:val="FootnoteText"/>
      </w:pPr>
      <w:r>
        <w:rPr>
          <w:rStyle w:val="FootnoteReference"/>
        </w:rPr>
        <w:footnoteRef/>
      </w:r>
      <w:r>
        <w:t xml:space="preserve"> </w:t>
      </w:r>
      <w:r>
        <w:rPr>
          <w:i/>
          <w:iCs/>
        </w:rPr>
        <w:t>Id.</w:t>
      </w:r>
      <w:r>
        <w:t xml:space="preserve"> at </w:t>
      </w:r>
      <w:r w:rsidR="00094771">
        <w:t>183, 189</w:t>
      </w:r>
      <w:r w:rsidR="00966F5E">
        <w:t>–190.</w:t>
      </w:r>
    </w:p>
  </w:footnote>
  <w:footnote w:id="96">
    <w:p w14:paraId="2250AC77" w14:textId="79E54C5A" w:rsidR="00966F5E" w:rsidRPr="002D660F" w:rsidRDefault="00966F5E">
      <w:pPr>
        <w:pStyle w:val="FootnoteText"/>
      </w:pPr>
      <w:r>
        <w:rPr>
          <w:rStyle w:val="FootnoteReference"/>
        </w:rPr>
        <w:footnoteRef/>
      </w:r>
      <w:r>
        <w:t xml:space="preserve"> </w:t>
      </w:r>
      <w:r w:rsidR="002D660F">
        <w:rPr>
          <w:i/>
          <w:iCs/>
        </w:rPr>
        <w:t>Id.</w:t>
      </w:r>
      <w:r w:rsidR="002D660F">
        <w:t xml:space="preserve"> at 190.</w:t>
      </w:r>
    </w:p>
  </w:footnote>
  <w:footnote w:id="97">
    <w:p w14:paraId="2D35CA07" w14:textId="64320A1F" w:rsidR="002D660F" w:rsidRPr="002D660F" w:rsidRDefault="002D660F">
      <w:pPr>
        <w:pStyle w:val="FootnoteText"/>
      </w:pPr>
      <w:r>
        <w:rPr>
          <w:rStyle w:val="FootnoteReference"/>
        </w:rPr>
        <w:footnoteRef/>
      </w:r>
      <w:r>
        <w:t xml:space="preserve"> </w:t>
      </w:r>
      <w:r>
        <w:rPr>
          <w:i/>
          <w:iCs/>
        </w:rPr>
        <w:t>Id.</w:t>
      </w:r>
    </w:p>
  </w:footnote>
  <w:footnote w:id="98">
    <w:p w14:paraId="682790D5" w14:textId="62F16D7F" w:rsidR="004B1526" w:rsidRDefault="004B1526">
      <w:pPr>
        <w:pStyle w:val="FootnoteText"/>
      </w:pPr>
      <w:r>
        <w:rPr>
          <w:rStyle w:val="FootnoteReference"/>
        </w:rPr>
        <w:footnoteRef/>
      </w:r>
      <w:r>
        <w:t xml:space="preserve"> </w:t>
      </w:r>
      <w:r w:rsidR="004B67E4">
        <w:rPr>
          <w:i/>
          <w:iCs/>
        </w:rPr>
        <w:t>Id.</w:t>
      </w:r>
      <w:r w:rsidR="004B67E4">
        <w:t xml:space="preserve"> at 184</w:t>
      </w:r>
      <w:r w:rsidR="00CE3884">
        <w:t xml:space="preserve">, 187, 188, </w:t>
      </w:r>
      <w:r w:rsidR="00C67DB7">
        <w:t>192.</w:t>
      </w:r>
    </w:p>
  </w:footnote>
  <w:footnote w:id="99">
    <w:p w14:paraId="1B82C502" w14:textId="143616F8" w:rsidR="00FE7343" w:rsidRPr="00FE7343" w:rsidRDefault="00FE7343">
      <w:pPr>
        <w:pStyle w:val="FootnoteText"/>
      </w:pPr>
      <w:r>
        <w:rPr>
          <w:rStyle w:val="FootnoteReference"/>
        </w:rPr>
        <w:footnoteRef/>
      </w:r>
      <w:r>
        <w:t xml:space="preserve"> </w:t>
      </w:r>
      <w:r>
        <w:rPr>
          <w:i/>
          <w:iCs/>
        </w:rPr>
        <w:t>See</w:t>
      </w:r>
      <w:r>
        <w:t xml:space="preserve"> Cahn, </w:t>
      </w:r>
      <w:r>
        <w:rPr>
          <w:i/>
          <w:iCs/>
        </w:rPr>
        <w:t>supra</w:t>
      </w:r>
      <w:r>
        <w:t xml:space="preserve"> note </w:t>
      </w:r>
      <w:r>
        <w:fldChar w:fldCharType="begin"/>
      </w:r>
      <w:r>
        <w:instrText xml:space="preserve"> NOTEREF _Ref174535572 \h </w:instrText>
      </w:r>
      <w:r>
        <w:fldChar w:fldCharType="separate"/>
      </w:r>
      <w:r w:rsidR="00B3355A">
        <w:t>70</w:t>
      </w:r>
      <w:r>
        <w:fldChar w:fldCharType="end"/>
      </w:r>
      <w:r>
        <w:t xml:space="preserve">, at </w:t>
      </w:r>
      <w:r w:rsidR="00513A0D">
        <w:t>272.</w:t>
      </w:r>
    </w:p>
  </w:footnote>
  <w:footnote w:id="100">
    <w:p w14:paraId="3BF08CFB" w14:textId="37B85A4D" w:rsidR="00466C48" w:rsidRDefault="00466C48" w:rsidP="00C66652">
      <w:pPr>
        <w:pStyle w:val="FootnoteText"/>
      </w:pPr>
      <w:r>
        <w:rPr>
          <w:rStyle w:val="FootnoteReference"/>
        </w:rPr>
        <w:footnoteRef/>
      </w:r>
      <w:r w:rsidR="00562C7F">
        <w:t xml:space="preserve"> </w:t>
      </w:r>
      <w:r>
        <w:rPr>
          <w:i/>
          <w:iCs/>
        </w:rPr>
        <w:t>See id.</w:t>
      </w:r>
      <w:r w:rsidR="00F44726">
        <w:t xml:space="preserve">; </w:t>
      </w:r>
      <w:proofErr w:type="spellStart"/>
      <w:r w:rsidR="00DC6B96">
        <w:t>Nat</w:t>
      </w:r>
      <w:r w:rsidR="000646C9">
        <w:t>’</w:t>
      </w:r>
      <w:r w:rsidR="00DC6B96">
        <w:t>l</w:t>
      </w:r>
      <w:proofErr w:type="spellEnd"/>
      <w:r w:rsidR="00DC6B96">
        <w:t xml:space="preserve"> Cons</w:t>
      </w:r>
      <w:r w:rsidR="000646C9">
        <w:t>t.</w:t>
      </w:r>
      <w:r w:rsidR="00DC6B96">
        <w:t xml:space="preserve"> Ctr</w:t>
      </w:r>
      <w:r w:rsidR="000646C9">
        <w:t>.</w:t>
      </w:r>
      <w:r w:rsidR="00DC6B96">
        <w:t xml:space="preserve">, </w:t>
      </w:r>
      <w:r w:rsidR="00F7697C">
        <w:rPr>
          <w:i/>
          <w:iCs/>
        </w:rPr>
        <w:t>Thomas Jefferson: Reader and Writer</w:t>
      </w:r>
      <w:r w:rsidR="00F7697C">
        <w:t>, at 19:10</w:t>
      </w:r>
      <w:r w:rsidR="00C66652">
        <w:t>,</w:t>
      </w:r>
      <w:r w:rsidR="00482651">
        <w:tab/>
      </w:r>
      <w:r w:rsidR="00C66652">
        <w:t xml:space="preserve"> </w:t>
      </w:r>
      <w:hyperlink r:id="rId20" w:history="1">
        <w:r w:rsidR="00482651" w:rsidRPr="00A40218">
          <w:rPr>
            <w:rStyle w:val="Hyperlink"/>
          </w:rPr>
          <w:t>https://constitutioncenter.org/media/files/WTP_Jefferson_TH_Transcript.pdf</w:t>
        </w:r>
      </w:hyperlink>
      <w:r w:rsidR="00482651">
        <w:t xml:space="preserve"> [</w:t>
      </w:r>
      <w:r w:rsidR="006D070E" w:rsidRPr="006D070E">
        <w:t>https://perma.cc/XS6E-J73Q</w:t>
      </w:r>
      <w:r w:rsidR="006D070E">
        <w:t>]</w:t>
      </w:r>
      <w:r w:rsidR="00220C57">
        <w:t xml:space="preserve"> (Andrew Browning: “Locke</w:t>
      </w:r>
      <w:r w:rsidR="00122809">
        <w:t>,</w:t>
      </w:r>
      <w:r w:rsidR="00220C57">
        <w:t xml:space="preserve"> to many modern readers, means the </w:t>
      </w:r>
      <w:r w:rsidR="00220C57" w:rsidRPr="00C66652">
        <w:rPr>
          <w:i/>
          <w:iCs/>
        </w:rPr>
        <w:t>Two Treatises on Government</w:t>
      </w:r>
      <w:r w:rsidR="00220C57">
        <w:t xml:space="preserve">, but in Jefferson's time, the </w:t>
      </w:r>
      <w:r w:rsidR="00220C57" w:rsidRPr="00C66652">
        <w:rPr>
          <w:i/>
          <w:iCs/>
        </w:rPr>
        <w:t>Essay on Human Understanding</w:t>
      </w:r>
      <w:r w:rsidR="00220C57">
        <w:t xml:space="preserve"> was a far more influential, far better-known document.”)</w:t>
      </w:r>
      <w:r w:rsidR="006D070E">
        <w:t>.</w:t>
      </w:r>
    </w:p>
    <w:p w14:paraId="57CD9F82" w14:textId="1ADFD4E9" w:rsidR="00562C7F" w:rsidRPr="009F4C5C" w:rsidRDefault="00562C7F" w:rsidP="00562C7F">
      <w:pPr>
        <w:pStyle w:val="FootnoteText"/>
        <w:ind w:firstLine="540"/>
      </w:pPr>
      <w:r>
        <w:t xml:space="preserve">Cari Conklin </w:t>
      </w:r>
      <w:r w:rsidR="00F80450">
        <w:t xml:space="preserve">traces </w:t>
      </w:r>
      <w:r w:rsidR="00BF3AB9">
        <w:t xml:space="preserve">Jefferson’s use of “the pursuit of happiness” to the second section of </w:t>
      </w:r>
      <w:r w:rsidR="00424144">
        <w:t xml:space="preserve">William Blackstone’s introduction to his </w:t>
      </w:r>
      <w:r w:rsidR="00424144">
        <w:rPr>
          <w:i/>
          <w:iCs/>
        </w:rPr>
        <w:t>Commentaries on the Laws of England</w:t>
      </w:r>
      <w:r w:rsidR="00424144">
        <w:t xml:space="preserve"> instead of Locke’s </w:t>
      </w:r>
      <w:r w:rsidR="00424144">
        <w:rPr>
          <w:i/>
          <w:iCs/>
        </w:rPr>
        <w:t>Essay</w:t>
      </w:r>
      <w:r w:rsidR="00424144">
        <w:t xml:space="preserve">. </w:t>
      </w:r>
      <w:r w:rsidR="008A03BC">
        <w:rPr>
          <w:i/>
          <w:iCs/>
        </w:rPr>
        <w:t>See</w:t>
      </w:r>
      <w:r w:rsidR="008A03BC">
        <w:t xml:space="preserve"> </w:t>
      </w:r>
      <w:r w:rsidR="008A03BC" w:rsidRPr="002A2C7A">
        <w:rPr>
          <w:smallCaps/>
        </w:rPr>
        <w:t>Conklin</w:t>
      </w:r>
      <w:r w:rsidR="008A03BC">
        <w:t xml:space="preserve">, </w:t>
      </w:r>
      <w:r w:rsidR="008A03BC">
        <w:rPr>
          <w:i/>
          <w:iCs/>
        </w:rPr>
        <w:t>supra</w:t>
      </w:r>
      <w:r w:rsidR="008A03BC">
        <w:t xml:space="preserve"> note </w:t>
      </w:r>
      <w:r w:rsidR="008A03BC">
        <w:fldChar w:fldCharType="begin"/>
      </w:r>
      <w:r w:rsidR="008A03BC">
        <w:instrText xml:space="preserve"> NOTEREF _Ref174535572 \h </w:instrText>
      </w:r>
      <w:r w:rsidR="008A03BC">
        <w:fldChar w:fldCharType="separate"/>
      </w:r>
      <w:r w:rsidR="00B3355A">
        <w:t>70</w:t>
      </w:r>
      <w:r w:rsidR="008A03BC">
        <w:fldChar w:fldCharType="end"/>
      </w:r>
      <w:r w:rsidR="008A03BC">
        <w:t>, at 5</w:t>
      </w:r>
      <w:r w:rsidR="002A2C7A">
        <w:t xml:space="preserve">–6. </w:t>
      </w:r>
      <w:r w:rsidR="00DB7855">
        <w:t xml:space="preserve">Jefferson’s well-documented disdain for Blackstone—which Conklin herself notes, </w:t>
      </w:r>
      <w:r w:rsidR="009F4C5C">
        <w:rPr>
          <w:i/>
          <w:iCs/>
        </w:rPr>
        <w:t>see</w:t>
      </w:r>
      <w:r w:rsidR="009F4C5C">
        <w:t xml:space="preserve"> </w:t>
      </w:r>
      <w:r w:rsidR="009F4C5C">
        <w:rPr>
          <w:i/>
          <w:iCs/>
        </w:rPr>
        <w:t>id.</w:t>
      </w:r>
      <w:r w:rsidR="009F4C5C">
        <w:t xml:space="preserve"> at 6—makes Locke the more likely source.</w:t>
      </w:r>
      <w:r w:rsidR="00785DBC">
        <w:t xml:space="preserve"> The distinction does not matter</w:t>
      </w:r>
      <w:r w:rsidR="00836FE4">
        <w:t xml:space="preserve"> overmuch</w:t>
      </w:r>
      <w:r w:rsidR="00785DBC">
        <w:t xml:space="preserve"> since </w:t>
      </w:r>
      <w:proofErr w:type="gramStart"/>
      <w:r w:rsidR="00785DBC">
        <w:t>Conklin</w:t>
      </w:r>
      <w:proofErr w:type="gramEnd"/>
      <w:r w:rsidR="00785DBC">
        <w:t xml:space="preserve"> </w:t>
      </w:r>
      <w:r w:rsidR="00836FE4">
        <w:t>and I ultimately trace the concept to the same source</w:t>
      </w:r>
      <w:r w:rsidR="00D666DF">
        <w:t xml:space="preserve">: </w:t>
      </w:r>
      <w:r w:rsidR="00D666DF">
        <w:rPr>
          <w:i/>
          <w:iCs/>
        </w:rPr>
        <w:t>eudaimonia</w:t>
      </w:r>
      <w:r w:rsidR="00D666DF">
        <w:t xml:space="preserve">. </w:t>
      </w:r>
      <w:r w:rsidR="00D666DF">
        <w:rPr>
          <w:i/>
          <w:iCs/>
        </w:rPr>
        <w:t>See id.</w:t>
      </w:r>
      <w:r w:rsidR="00D666DF">
        <w:t xml:space="preserve"> at </w:t>
      </w:r>
      <w:r w:rsidR="006634FA">
        <w:t>127</w:t>
      </w:r>
      <w:r w:rsidR="0025352B">
        <w:t xml:space="preserve">, </w:t>
      </w:r>
      <w:r w:rsidR="00E460AB">
        <w:t>131</w:t>
      </w:r>
      <w:r w:rsidR="0025352B">
        <w:t xml:space="preserve">–34; </w:t>
      </w:r>
      <w:proofErr w:type="gramStart"/>
      <w:r w:rsidR="0025352B">
        <w:rPr>
          <w:i/>
          <w:iCs/>
        </w:rPr>
        <w:t>infra</w:t>
      </w:r>
      <w:r w:rsidR="0025352B">
        <w:t xml:space="preserve"> Part II</w:t>
      </w:r>
      <w:proofErr w:type="gramEnd"/>
      <w:r w:rsidR="0025352B">
        <w:t>.A.2</w:t>
      </w:r>
      <w:r w:rsidR="006634FA">
        <w:t>.</w:t>
      </w:r>
      <w:r w:rsidR="009F4C5C">
        <w:t xml:space="preserve"> </w:t>
      </w:r>
    </w:p>
  </w:footnote>
  <w:footnote w:id="101">
    <w:p w14:paraId="6530FA21" w14:textId="3079A31C" w:rsidR="00601FE2" w:rsidRPr="00601FE2" w:rsidRDefault="00601FE2">
      <w:pPr>
        <w:pStyle w:val="FootnoteText"/>
      </w:pPr>
      <w:r>
        <w:rPr>
          <w:rStyle w:val="FootnoteReference"/>
        </w:rPr>
        <w:footnoteRef/>
      </w:r>
      <w:r>
        <w:t xml:space="preserve"> </w:t>
      </w:r>
      <w:r>
        <w:rPr>
          <w:i/>
          <w:iCs/>
        </w:rPr>
        <w:t>See supra</w:t>
      </w:r>
      <w:r>
        <w:t xml:space="preserve"> note</w:t>
      </w:r>
      <w:r w:rsidR="00252193">
        <w:t>s</w:t>
      </w:r>
      <w:r>
        <w:t xml:space="preserve"> </w:t>
      </w:r>
      <w:r w:rsidR="00252193">
        <w:fldChar w:fldCharType="begin"/>
      </w:r>
      <w:r w:rsidR="00252193">
        <w:instrText xml:space="preserve"> NOTEREF _Ref174620859 \h </w:instrText>
      </w:r>
      <w:r w:rsidR="00252193">
        <w:fldChar w:fldCharType="separate"/>
      </w:r>
      <w:r w:rsidR="00B3355A">
        <w:t>72</w:t>
      </w:r>
      <w:r w:rsidR="00252193">
        <w:fldChar w:fldCharType="end"/>
      </w:r>
      <w:r w:rsidR="00252193">
        <w:t>–</w:t>
      </w:r>
      <w:r w:rsidR="00252193">
        <w:fldChar w:fldCharType="begin"/>
      </w:r>
      <w:r w:rsidR="00252193">
        <w:instrText xml:space="preserve"> NOTEREF _Ref174620869 \h </w:instrText>
      </w:r>
      <w:r w:rsidR="00252193">
        <w:fldChar w:fldCharType="separate"/>
      </w:r>
      <w:r w:rsidR="00B3355A">
        <w:t>75</w:t>
      </w:r>
      <w:r w:rsidR="00252193">
        <w:fldChar w:fldCharType="end"/>
      </w:r>
      <w:r w:rsidR="00252193">
        <w:t xml:space="preserve"> and accompanying text.</w:t>
      </w:r>
    </w:p>
  </w:footnote>
  <w:footnote w:id="102">
    <w:p w14:paraId="5C60737A" w14:textId="745B9426" w:rsidR="00795F5F" w:rsidRDefault="00795F5F">
      <w:pPr>
        <w:pStyle w:val="FootnoteText"/>
      </w:pPr>
      <w:r>
        <w:rPr>
          <w:rStyle w:val="FootnoteReference"/>
        </w:rPr>
        <w:footnoteRef/>
      </w:r>
      <w:r>
        <w:t xml:space="preserve"> This redundanc</w:t>
      </w:r>
      <w:r w:rsidR="00122831">
        <w:t xml:space="preserve">y may </w:t>
      </w:r>
      <w:r w:rsidR="007210BA">
        <w:t xml:space="preserve">account for the phrase’s subsequent absence from the </w:t>
      </w:r>
      <w:r w:rsidR="00C75207">
        <w:t xml:space="preserve">text of the </w:t>
      </w:r>
      <w:r w:rsidR="007210BA">
        <w:t>C</w:t>
      </w:r>
      <w:r w:rsidR="00C75207">
        <w:t xml:space="preserve">onstitution; there is no need to </w:t>
      </w:r>
      <w:r w:rsidR="000350C0">
        <w:t>protect the pursuit of happiness separately if the concept is included within explicitly protected “liberty.”</w:t>
      </w:r>
    </w:p>
  </w:footnote>
  <w:footnote w:id="103">
    <w:p w14:paraId="1727C1A4" w14:textId="0FEF8C0C" w:rsidR="006A5B7D" w:rsidRPr="006A5B7D" w:rsidRDefault="006A5B7D">
      <w:pPr>
        <w:pStyle w:val="FootnoteText"/>
      </w:pPr>
      <w:r>
        <w:rPr>
          <w:rStyle w:val="FootnoteReference"/>
        </w:rPr>
        <w:footnoteRef/>
      </w:r>
      <w:r>
        <w:t xml:space="preserve"> </w:t>
      </w:r>
      <w:r>
        <w:rPr>
          <w:i/>
          <w:iCs/>
        </w:rPr>
        <w:t>See</w:t>
      </w:r>
      <w:r>
        <w:t xml:space="preserve"> </w:t>
      </w:r>
      <w:r w:rsidRPr="00EF3D98">
        <w:rPr>
          <w:smallCaps/>
        </w:rPr>
        <w:t>Julia Annas, The Morality of Happiness</w:t>
      </w:r>
      <w:r>
        <w:t xml:space="preserve"> </w:t>
      </w:r>
      <w:r w:rsidR="00EF3D98">
        <w:t>11–12</w:t>
      </w:r>
      <w:r w:rsidR="00EA5C16">
        <w:t>, 44</w:t>
      </w:r>
      <w:r w:rsidR="00EF3D98">
        <w:t xml:space="preserve"> </w:t>
      </w:r>
      <w:r>
        <w:t>(1993)</w:t>
      </w:r>
      <w:r w:rsidR="00EF3D98">
        <w:t>.</w:t>
      </w:r>
    </w:p>
  </w:footnote>
  <w:footnote w:id="104">
    <w:p w14:paraId="710D0F7D" w14:textId="7177206A" w:rsidR="009C0402" w:rsidRPr="00DD51F6" w:rsidRDefault="009C0402">
      <w:pPr>
        <w:pStyle w:val="FootnoteText"/>
      </w:pPr>
      <w:r>
        <w:rPr>
          <w:rStyle w:val="FootnoteReference"/>
        </w:rPr>
        <w:footnoteRef/>
      </w:r>
      <w:r>
        <w:t xml:space="preserve"> </w:t>
      </w:r>
      <w:r w:rsidR="00DD51F6">
        <w:rPr>
          <w:i/>
          <w:iCs/>
        </w:rPr>
        <w:t>See</w:t>
      </w:r>
      <w:r w:rsidR="00DD51F6">
        <w:t xml:space="preserve"> </w:t>
      </w:r>
      <w:r w:rsidR="0010176A">
        <w:rPr>
          <w:i/>
          <w:iCs/>
        </w:rPr>
        <w:t>id.</w:t>
      </w:r>
      <w:r w:rsidR="0010176A">
        <w:t xml:space="preserve"> at 4</w:t>
      </w:r>
      <w:r w:rsidR="00A3330A">
        <w:t>5</w:t>
      </w:r>
      <w:r w:rsidR="0010176A">
        <w:t>–46;</w:t>
      </w:r>
      <w:r w:rsidR="0010176A">
        <w:rPr>
          <w:i/>
          <w:iCs/>
        </w:rPr>
        <w:t xml:space="preserve"> </w:t>
      </w:r>
      <w:r w:rsidR="00DD51F6" w:rsidRPr="00411D8B">
        <w:rPr>
          <w:smallCaps/>
        </w:rPr>
        <w:t>Conklin</w:t>
      </w:r>
      <w:r w:rsidR="00DD51F6">
        <w:t xml:space="preserve">, </w:t>
      </w:r>
      <w:r w:rsidR="00DD51F6">
        <w:rPr>
          <w:i/>
          <w:iCs/>
        </w:rPr>
        <w:t>supra</w:t>
      </w:r>
      <w:r w:rsidR="00DD51F6">
        <w:t xml:space="preserve"> note </w:t>
      </w:r>
      <w:r w:rsidR="00DD51F6">
        <w:fldChar w:fldCharType="begin"/>
      </w:r>
      <w:r w:rsidR="00DD51F6">
        <w:instrText xml:space="preserve"> NOTEREF _Ref174535572 \h </w:instrText>
      </w:r>
      <w:r w:rsidR="00DD51F6">
        <w:fldChar w:fldCharType="separate"/>
      </w:r>
      <w:r w:rsidR="00B3355A">
        <w:t>70</w:t>
      </w:r>
      <w:r w:rsidR="00DD51F6">
        <w:fldChar w:fldCharType="end"/>
      </w:r>
      <w:r w:rsidR="00DD51F6">
        <w:t>, at 5.</w:t>
      </w:r>
    </w:p>
  </w:footnote>
  <w:footnote w:id="105">
    <w:p w14:paraId="64C0622D" w14:textId="26859B70" w:rsidR="00555FF4" w:rsidRPr="00555FF4" w:rsidRDefault="00555FF4">
      <w:pPr>
        <w:pStyle w:val="FootnoteText"/>
      </w:pPr>
      <w:r>
        <w:rPr>
          <w:rStyle w:val="FootnoteReference"/>
        </w:rPr>
        <w:footnoteRef/>
      </w:r>
      <w:r>
        <w:t xml:space="preserve"> </w:t>
      </w:r>
      <w:r w:rsidRPr="00EF3D98">
        <w:rPr>
          <w:smallCaps/>
        </w:rPr>
        <w:t>Annas</w:t>
      </w:r>
      <w:r>
        <w:t xml:space="preserve">, </w:t>
      </w:r>
      <w:r>
        <w:rPr>
          <w:i/>
          <w:iCs/>
        </w:rPr>
        <w:t>supra</w:t>
      </w:r>
      <w:r>
        <w:t xml:space="preserve"> note </w:t>
      </w:r>
      <w:r w:rsidR="00906A3C">
        <w:fldChar w:fldCharType="begin"/>
      </w:r>
      <w:r w:rsidR="00906A3C">
        <w:instrText xml:space="preserve"> NOTEREF _Ref174629283 \h </w:instrText>
      </w:r>
      <w:r w:rsidR="00906A3C">
        <w:fldChar w:fldCharType="separate"/>
      </w:r>
      <w:r w:rsidR="00B3355A">
        <w:t>87</w:t>
      </w:r>
      <w:r w:rsidR="00906A3C">
        <w:fldChar w:fldCharType="end"/>
      </w:r>
      <w:r w:rsidR="00906A3C">
        <w:t>, at 44</w:t>
      </w:r>
      <w:r w:rsidR="00481507">
        <w:t>. 330</w:t>
      </w:r>
      <w:r w:rsidR="00906A3C">
        <w:t>.</w:t>
      </w:r>
    </w:p>
  </w:footnote>
  <w:footnote w:id="106">
    <w:p w14:paraId="540C376F" w14:textId="10D43479" w:rsidR="00A75E8C" w:rsidRDefault="00A75E8C">
      <w:pPr>
        <w:pStyle w:val="FootnoteText"/>
      </w:pPr>
      <w:r>
        <w:rPr>
          <w:rStyle w:val="FootnoteReference"/>
        </w:rPr>
        <w:footnoteRef/>
      </w:r>
      <w:r>
        <w:t xml:space="preserve"> </w:t>
      </w:r>
      <w:r w:rsidRPr="00AF1523">
        <w:rPr>
          <w:smallCaps/>
        </w:rPr>
        <w:t>Aristotle, Nicomachean Ethics</w:t>
      </w:r>
      <w:r>
        <w:t xml:space="preserve"> </w:t>
      </w:r>
      <w:r w:rsidR="004943A0">
        <w:t xml:space="preserve">bk. </w:t>
      </w:r>
      <w:r w:rsidR="00F879C8">
        <w:t>I, at 3</w:t>
      </w:r>
      <w:r w:rsidR="004F567B">
        <w:t xml:space="preserve"> </w:t>
      </w:r>
      <w:r w:rsidR="001E51A8">
        <w:t xml:space="preserve">&amp; n.3 </w:t>
      </w:r>
      <w:r w:rsidR="004F567B">
        <w:t>(</w:t>
      </w:r>
      <w:r w:rsidR="00AF1523">
        <w:t>Terence Irwin trans.</w:t>
      </w:r>
      <w:r w:rsidR="00E06665">
        <w:t>,</w:t>
      </w:r>
      <w:r w:rsidR="00AF1523">
        <w:t xml:space="preserve"> </w:t>
      </w:r>
      <w:r w:rsidR="00835DB3">
        <w:t xml:space="preserve">Hackett Pub. Co. ed. </w:t>
      </w:r>
      <w:r w:rsidR="00AF1523">
        <w:t>2019).</w:t>
      </w:r>
    </w:p>
  </w:footnote>
  <w:footnote w:id="107">
    <w:p w14:paraId="41691BC0" w14:textId="5CC5F9D6" w:rsidR="0060665F" w:rsidRPr="007A5ADE" w:rsidRDefault="0060665F">
      <w:pPr>
        <w:pStyle w:val="FootnoteText"/>
      </w:pPr>
      <w:r>
        <w:rPr>
          <w:rStyle w:val="FootnoteReference"/>
        </w:rPr>
        <w:footnoteRef/>
      </w:r>
      <w:r>
        <w:t xml:space="preserve"> </w:t>
      </w:r>
      <w:r>
        <w:rPr>
          <w:i/>
          <w:iCs/>
        </w:rPr>
        <w:t>See id.</w:t>
      </w:r>
      <w:r>
        <w:t xml:space="preserve"> </w:t>
      </w:r>
      <w:r w:rsidR="007A5ADE">
        <w:t>(“But about what happiness [</w:t>
      </w:r>
      <w:r w:rsidR="007A5ADE">
        <w:rPr>
          <w:i/>
          <w:iCs/>
        </w:rPr>
        <w:t>eudaimonia</w:t>
      </w:r>
      <w:r w:rsidR="007A5ADE">
        <w:t>] is they disagree, and the many do not give the same answer</w:t>
      </w:r>
      <w:r w:rsidR="00111DB4">
        <w:t xml:space="preserve"> as the wise.”).</w:t>
      </w:r>
    </w:p>
  </w:footnote>
  <w:footnote w:id="108">
    <w:p w14:paraId="7B0C7FED" w14:textId="3F37BADE" w:rsidR="00504EA0" w:rsidRPr="00504EA0" w:rsidRDefault="00504EA0">
      <w:pPr>
        <w:pStyle w:val="FootnoteText"/>
      </w:pPr>
      <w:r>
        <w:rPr>
          <w:rStyle w:val="FootnoteReference"/>
        </w:rPr>
        <w:footnoteRef/>
      </w:r>
      <w:r>
        <w:t xml:space="preserve"> At least not by the modern definition of hedonism. </w:t>
      </w:r>
      <w:r>
        <w:rPr>
          <w:i/>
          <w:iCs/>
        </w:rPr>
        <w:t>See</w:t>
      </w:r>
      <w:r w:rsidR="00075079">
        <w:rPr>
          <w:i/>
          <w:iCs/>
        </w:rPr>
        <w:t xml:space="preserve"> </w:t>
      </w:r>
      <w:r w:rsidR="00075079" w:rsidRPr="00C3568B">
        <w:rPr>
          <w:smallCaps/>
        </w:rPr>
        <w:t>Annas</w:t>
      </w:r>
      <w:r w:rsidR="00075079">
        <w:t xml:space="preserve">, </w:t>
      </w:r>
      <w:r w:rsidR="00075079">
        <w:rPr>
          <w:i/>
          <w:iCs/>
        </w:rPr>
        <w:t>supra</w:t>
      </w:r>
      <w:r w:rsidR="00075079">
        <w:t xml:space="preserve"> note </w:t>
      </w:r>
      <w:r w:rsidR="00075079">
        <w:fldChar w:fldCharType="begin"/>
      </w:r>
      <w:r w:rsidR="00075079">
        <w:instrText xml:space="preserve"> NOTEREF _Ref174629283 \h </w:instrText>
      </w:r>
      <w:r w:rsidR="00075079">
        <w:fldChar w:fldCharType="separate"/>
      </w:r>
      <w:r w:rsidR="00B3355A">
        <w:t>87</w:t>
      </w:r>
      <w:r w:rsidR="00075079">
        <w:fldChar w:fldCharType="end"/>
      </w:r>
      <w:r w:rsidR="00075079">
        <w:t>, at 334–35 &amp; n.1;</w:t>
      </w:r>
      <w:r w:rsidR="00075079">
        <w:rPr>
          <w:i/>
          <w:iCs/>
        </w:rPr>
        <w:t xml:space="preserve"> see also</w:t>
      </w:r>
      <w:r>
        <w:rPr>
          <w:i/>
          <w:iCs/>
        </w:rPr>
        <w:t xml:space="preserve"> infra</w:t>
      </w:r>
      <w:r>
        <w:t xml:space="preserve"> notes </w:t>
      </w:r>
      <w:r w:rsidR="00FF00AE">
        <w:fldChar w:fldCharType="begin"/>
      </w:r>
      <w:r w:rsidR="00FF00AE">
        <w:instrText xml:space="preserve"> NOTEREF _Ref174702456 \h </w:instrText>
      </w:r>
      <w:r w:rsidR="00FF00AE">
        <w:fldChar w:fldCharType="separate"/>
      </w:r>
      <w:r w:rsidR="00B3355A">
        <w:t>101</w:t>
      </w:r>
      <w:r w:rsidR="00FF00AE">
        <w:fldChar w:fldCharType="end"/>
      </w:r>
      <w:r w:rsidR="00FF00AE">
        <w:t>–</w:t>
      </w:r>
      <w:r w:rsidR="00EC3E86">
        <w:fldChar w:fldCharType="begin"/>
      </w:r>
      <w:r w:rsidR="00EC3E86">
        <w:instrText xml:space="preserve"> NOTEREF _Ref174702479 \h </w:instrText>
      </w:r>
      <w:r w:rsidR="00EC3E86">
        <w:fldChar w:fldCharType="separate"/>
      </w:r>
      <w:r w:rsidR="00B3355A">
        <w:t>118</w:t>
      </w:r>
      <w:r w:rsidR="00EC3E86">
        <w:fldChar w:fldCharType="end"/>
      </w:r>
      <w:r w:rsidR="00EC3E86">
        <w:t xml:space="preserve"> </w:t>
      </w:r>
      <w:r>
        <w:t>and accompanying text</w:t>
      </w:r>
      <w:r w:rsidR="00285297">
        <w:t>.</w:t>
      </w:r>
      <w:r>
        <w:t xml:space="preserve"> </w:t>
      </w:r>
    </w:p>
  </w:footnote>
  <w:footnote w:id="109">
    <w:p w14:paraId="0FDD615E" w14:textId="60E5F764" w:rsidR="004915B2" w:rsidRPr="004915B2" w:rsidRDefault="004915B2">
      <w:pPr>
        <w:pStyle w:val="FootnoteText"/>
      </w:pPr>
      <w:r>
        <w:rPr>
          <w:rStyle w:val="FootnoteReference"/>
        </w:rPr>
        <w:footnoteRef/>
      </w:r>
      <w:r>
        <w:t xml:space="preserve"> </w:t>
      </w:r>
      <w:r>
        <w:rPr>
          <w:i/>
          <w:iCs/>
        </w:rPr>
        <w:t>See</w:t>
      </w:r>
      <w:r>
        <w:t xml:space="preserve"> </w:t>
      </w:r>
      <w:r w:rsidRPr="00EF3D98">
        <w:rPr>
          <w:smallCaps/>
        </w:rPr>
        <w:t>Annas</w:t>
      </w:r>
      <w:r>
        <w:t xml:space="preserve">, </w:t>
      </w:r>
      <w:r>
        <w:rPr>
          <w:i/>
          <w:iCs/>
        </w:rPr>
        <w:t>supra</w:t>
      </w:r>
      <w:r>
        <w:t xml:space="preserve"> note </w:t>
      </w:r>
      <w:r>
        <w:fldChar w:fldCharType="begin"/>
      </w:r>
      <w:r>
        <w:instrText xml:space="preserve"> NOTEREF _Ref174629283 \h </w:instrText>
      </w:r>
      <w:r>
        <w:fldChar w:fldCharType="separate"/>
      </w:r>
      <w:r w:rsidR="00B3355A">
        <w:t>87</w:t>
      </w:r>
      <w:r>
        <w:fldChar w:fldCharType="end"/>
      </w:r>
      <w:r>
        <w:t>, at 46.</w:t>
      </w:r>
    </w:p>
  </w:footnote>
  <w:footnote w:id="110">
    <w:p w14:paraId="3323036A" w14:textId="628CA49C" w:rsidR="00103233" w:rsidRPr="00103233" w:rsidRDefault="00103233">
      <w:pPr>
        <w:pStyle w:val="FootnoteText"/>
      </w:pPr>
      <w:r>
        <w:rPr>
          <w:rStyle w:val="FootnoteReference"/>
        </w:rPr>
        <w:footnoteRef/>
      </w:r>
      <w:r>
        <w:t xml:space="preserve"> </w:t>
      </w:r>
      <w:r>
        <w:rPr>
          <w:i/>
          <w:iCs/>
        </w:rPr>
        <w:t>See supra</w:t>
      </w:r>
      <w:r>
        <w:t xml:space="preserve"> notes </w:t>
      </w:r>
      <w:r w:rsidR="009C123E">
        <w:fldChar w:fldCharType="begin"/>
      </w:r>
      <w:r w:rsidR="009C123E">
        <w:instrText xml:space="preserve"> NOTEREF _Ref174632393 \h </w:instrText>
      </w:r>
      <w:r w:rsidR="009C123E">
        <w:fldChar w:fldCharType="separate"/>
      </w:r>
      <w:r w:rsidR="00B3355A">
        <w:t>88</w:t>
      </w:r>
      <w:r w:rsidR="009C123E">
        <w:fldChar w:fldCharType="end"/>
      </w:r>
      <w:r w:rsidR="009C123E">
        <w:t>–</w:t>
      </w:r>
      <w:r w:rsidR="009C123E">
        <w:fldChar w:fldCharType="begin"/>
      </w:r>
      <w:r w:rsidR="009C123E">
        <w:instrText xml:space="preserve"> NOTEREF _Ref174632401 \h </w:instrText>
      </w:r>
      <w:r w:rsidR="009C123E">
        <w:fldChar w:fldCharType="separate"/>
      </w:r>
      <w:r w:rsidR="00B3355A">
        <w:t>89</w:t>
      </w:r>
      <w:r w:rsidR="009C123E">
        <w:fldChar w:fldCharType="end"/>
      </w:r>
      <w:r w:rsidR="009C123E">
        <w:t xml:space="preserve"> and accompanying text.</w:t>
      </w:r>
    </w:p>
  </w:footnote>
  <w:footnote w:id="111">
    <w:p w14:paraId="64E42494" w14:textId="450CDEB4" w:rsidR="00F07A72" w:rsidRPr="00AE61EE" w:rsidRDefault="00F07A72">
      <w:pPr>
        <w:pStyle w:val="FootnoteText"/>
      </w:pPr>
      <w:r>
        <w:rPr>
          <w:rStyle w:val="FootnoteReference"/>
        </w:rPr>
        <w:footnoteRef/>
      </w:r>
      <w:r>
        <w:t xml:space="preserve"> </w:t>
      </w:r>
      <w:r>
        <w:rPr>
          <w:i/>
          <w:iCs/>
        </w:rPr>
        <w:t>See</w:t>
      </w:r>
      <w:r>
        <w:t xml:space="preserve"> </w:t>
      </w:r>
      <w:r w:rsidRPr="00EF3D98">
        <w:rPr>
          <w:smallCaps/>
        </w:rPr>
        <w:t>Annas</w:t>
      </w:r>
      <w:r>
        <w:t xml:space="preserve">, </w:t>
      </w:r>
      <w:r>
        <w:rPr>
          <w:i/>
          <w:iCs/>
        </w:rPr>
        <w:t>supra</w:t>
      </w:r>
      <w:r>
        <w:t xml:space="preserve"> note </w:t>
      </w:r>
      <w:r>
        <w:fldChar w:fldCharType="begin"/>
      </w:r>
      <w:r>
        <w:instrText xml:space="preserve"> NOTEREF _Ref174629283 \h </w:instrText>
      </w:r>
      <w:r>
        <w:fldChar w:fldCharType="separate"/>
      </w:r>
      <w:r w:rsidR="00B3355A">
        <w:t>87</w:t>
      </w:r>
      <w:r>
        <w:fldChar w:fldCharType="end"/>
      </w:r>
      <w:r>
        <w:t xml:space="preserve">, at </w:t>
      </w:r>
      <w:r w:rsidR="00AE61EE">
        <w:t xml:space="preserve">135–37; </w:t>
      </w:r>
      <w:r w:rsidR="00AE61EE" w:rsidRPr="00C456D7">
        <w:rPr>
          <w:smallCaps/>
        </w:rPr>
        <w:t>Locke</w:t>
      </w:r>
      <w:r w:rsidR="00AE61EE">
        <w:t xml:space="preserve">, </w:t>
      </w:r>
      <w:r w:rsidR="00AE61EE">
        <w:rPr>
          <w:i/>
          <w:iCs/>
        </w:rPr>
        <w:t>supra</w:t>
      </w:r>
      <w:r w:rsidR="00AE61EE">
        <w:t xml:space="preserve"> note </w:t>
      </w:r>
      <w:r w:rsidR="00AE61EE">
        <w:fldChar w:fldCharType="begin"/>
      </w:r>
      <w:r w:rsidR="00AE61EE">
        <w:instrText xml:space="preserve"> NOTEREF _Ref174633335 \h </w:instrText>
      </w:r>
      <w:r w:rsidR="00AE61EE">
        <w:fldChar w:fldCharType="separate"/>
      </w:r>
      <w:r w:rsidR="00B3355A">
        <w:t>76</w:t>
      </w:r>
      <w:r w:rsidR="00AE61EE">
        <w:fldChar w:fldCharType="end"/>
      </w:r>
      <w:r w:rsidR="00AE61EE">
        <w:t xml:space="preserve">, at </w:t>
      </w:r>
      <w:r w:rsidR="00CC2065">
        <w:t>190–91.</w:t>
      </w:r>
    </w:p>
  </w:footnote>
  <w:footnote w:id="112">
    <w:p w14:paraId="2A13F26D" w14:textId="6945E221" w:rsidR="0008139A" w:rsidRPr="00B12FAB" w:rsidRDefault="0008139A">
      <w:pPr>
        <w:pStyle w:val="FootnoteText"/>
      </w:pPr>
      <w:r>
        <w:rPr>
          <w:rStyle w:val="FootnoteReference"/>
        </w:rPr>
        <w:footnoteRef/>
      </w:r>
      <w:r>
        <w:t xml:space="preserve"> </w:t>
      </w:r>
      <w:proofErr w:type="gramStart"/>
      <w:r>
        <w:t>Thus</w:t>
      </w:r>
      <w:proofErr w:type="gramEnd"/>
      <w:r>
        <w:t xml:space="preserve"> distinguishing them from modern </w:t>
      </w:r>
      <w:r w:rsidR="00B12FAB">
        <w:t xml:space="preserve">theories of “natural law.” </w:t>
      </w:r>
      <w:r w:rsidR="00B12FAB">
        <w:rPr>
          <w:i/>
          <w:iCs/>
        </w:rPr>
        <w:t>See, e.g.</w:t>
      </w:r>
      <w:r w:rsidR="00B12FAB">
        <w:t xml:space="preserve">, </w:t>
      </w:r>
      <w:r w:rsidR="00B12FAB" w:rsidRPr="000F0590">
        <w:rPr>
          <w:smallCaps/>
        </w:rPr>
        <w:t xml:space="preserve">John Finnis, </w:t>
      </w:r>
      <w:r w:rsidR="00494E31" w:rsidRPr="000F0590">
        <w:rPr>
          <w:smallCaps/>
        </w:rPr>
        <w:t>Natural Law and Natural Rights</w:t>
      </w:r>
      <w:r w:rsidR="00494E31">
        <w:t xml:space="preserve"> 23–24 (</w:t>
      </w:r>
      <w:r w:rsidR="000F0590">
        <w:t>2d ed. 2011).</w:t>
      </w:r>
    </w:p>
  </w:footnote>
  <w:footnote w:id="113">
    <w:p w14:paraId="6B261305" w14:textId="06543774" w:rsidR="009010F2" w:rsidRPr="00D20B60" w:rsidRDefault="009010F2" w:rsidP="00686AD9">
      <w:pPr>
        <w:pStyle w:val="FootnoteText"/>
      </w:pPr>
      <w:r>
        <w:rPr>
          <w:rStyle w:val="FootnoteReference"/>
        </w:rPr>
        <w:footnoteRef/>
      </w:r>
      <w:r>
        <w:t xml:space="preserve"> </w:t>
      </w:r>
      <w:r w:rsidR="009015EF">
        <w:rPr>
          <w:i/>
          <w:iCs/>
        </w:rPr>
        <w:t>See</w:t>
      </w:r>
      <w:r w:rsidR="009015EF">
        <w:t xml:space="preserve"> </w:t>
      </w:r>
      <w:r w:rsidR="009015EF" w:rsidRPr="00EF3D98">
        <w:rPr>
          <w:smallCaps/>
        </w:rPr>
        <w:t>Annas</w:t>
      </w:r>
      <w:r w:rsidR="009015EF">
        <w:t xml:space="preserve">, </w:t>
      </w:r>
      <w:r w:rsidR="009015EF">
        <w:rPr>
          <w:i/>
          <w:iCs/>
        </w:rPr>
        <w:t>supra</w:t>
      </w:r>
      <w:r w:rsidR="009015EF">
        <w:t xml:space="preserve"> note </w:t>
      </w:r>
      <w:r w:rsidR="009015EF">
        <w:fldChar w:fldCharType="begin"/>
      </w:r>
      <w:r w:rsidR="009015EF">
        <w:instrText xml:space="preserve"> NOTEREF _Ref174629283 \h </w:instrText>
      </w:r>
      <w:r w:rsidR="009015EF">
        <w:fldChar w:fldCharType="separate"/>
      </w:r>
      <w:r w:rsidR="00B3355A">
        <w:t>87</w:t>
      </w:r>
      <w:r w:rsidR="009015EF">
        <w:fldChar w:fldCharType="end"/>
      </w:r>
      <w:r w:rsidR="009015EF">
        <w:t>, at 137</w:t>
      </w:r>
      <w:r w:rsidR="00686AD9">
        <w:t xml:space="preserve">; </w:t>
      </w:r>
      <w:r w:rsidR="00686AD9" w:rsidRPr="00C456D7">
        <w:rPr>
          <w:smallCaps/>
        </w:rPr>
        <w:t>Locke</w:t>
      </w:r>
      <w:r w:rsidR="00686AD9">
        <w:t xml:space="preserve">, </w:t>
      </w:r>
      <w:r w:rsidR="00686AD9">
        <w:rPr>
          <w:i/>
          <w:iCs/>
        </w:rPr>
        <w:t>supra</w:t>
      </w:r>
      <w:r w:rsidR="00686AD9">
        <w:t xml:space="preserve"> note </w:t>
      </w:r>
      <w:r w:rsidR="00686AD9">
        <w:fldChar w:fldCharType="begin"/>
      </w:r>
      <w:r w:rsidR="00686AD9">
        <w:instrText xml:space="preserve"> NOTEREF _Ref174633335 \h </w:instrText>
      </w:r>
      <w:r w:rsidR="00686AD9">
        <w:fldChar w:fldCharType="separate"/>
      </w:r>
      <w:r w:rsidR="00B3355A">
        <w:t>76</w:t>
      </w:r>
      <w:r w:rsidR="00686AD9">
        <w:fldChar w:fldCharType="end"/>
      </w:r>
      <w:r w:rsidR="00686AD9">
        <w:t>, at 190–91.</w:t>
      </w:r>
      <w:r w:rsidR="00D20B60">
        <w:t xml:space="preserve"> </w:t>
      </w:r>
    </w:p>
  </w:footnote>
  <w:footnote w:id="114">
    <w:p w14:paraId="0F99F1F5" w14:textId="13A565F2" w:rsidR="005C757A" w:rsidRPr="005C757A" w:rsidRDefault="005C757A">
      <w:pPr>
        <w:pStyle w:val="FootnoteText"/>
      </w:pPr>
      <w:r>
        <w:rPr>
          <w:rStyle w:val="FootnoteReference"/>
        </w:rPr>
        <w:footnoteRef/>
      </w:r>
      <w:r>
        <w:t xml:space="preserve"> </w:t>
      </w:r>
      <w:r>
        <w:rPr>
          <w:i/>
          <w:iCs/>
        </w:rPr>
        <w:t>Id.</w:t>
      </w:r>
    </w:p>
  </w:footnote>
  <w:footnote w:id="115">
    <w:p w14:paraId="286DC777" w14:textId="0C418ECB" w:rsidR="003F56DD" w:rsidRPr="003F56DD" w:rsidRDefault="003F56DD">
      <w:pPr>
        <w:pStyle w:val="FootnoteText"/>
      </w:pPr>
      <w:r>
        <w:rPr>
          <w:rStyle w:val="FootnoteReference"/>
        </w:rPr>
        <w:footnoteRef/>
      </w:r>
      <w:r>
        <w:t xml:space="preserve"> </w:t>
      </w:r>
      <w:r>
        <w:rPr>
          <w:i/>
          <w:iCs/>
        </w:rPr>
        <w:t>See</w:t>
      </w:r>
      <w:r>
        <w:t xml:space="preserve"> </w:t>
      </w:r>
      <w:r>
        <w:rPr>
          <w:i/>
          <w:iCs/>
        </w:rPr>
        <w:t>id</w:t>
      </w:r>
      <w:r>
        <w:t xml:space="preserve">. (“He has vitiated his own </w:t>
      </w:r>
      <w:proofErr w:type="gramStart"/>
      <w:r>
        <w:t>palate, and</w:t>
      </w:r>
      <w:proofErr w:type="gramEnd"/>
      <w:r>
        <w:t xml:space="preserve"> must be answerable</w:t>
      </w:r>
      <w:r w:rsidR="00E7159D">
        <w:t xml:space="preserve"> to himself for the sickness and death that follows from it. The eternal law and nature of things must not be altered </w:t>
      </w:r>
      <w:r w:rsidR="00116823">
        <w:t>to comply with his ill-ordered choice.”).</w:t>
      </w:r>
    </w:p>
  </w:footnote>
  <w:footnote w:id="116">
    <w:p w14:paraId="2E435A83" w14:textId="18D37B9E" w:rsidR="00FD46D7" w:rsidRPr="00B50D7E" w:rsidRDefault="00FD46D7">
      <w:pPr>
        <w:pStyle w:val="FootnoteText"/>
      </w:pPr>
      <w:r>
        <w:rPr>
          <w:rStyle w:val="FootnoteReference"/>
        </w:rPr>
        <w:footnoteRef/>
      </w:r>
      <w:r>
        <w:t xml:space="preserve"> </w:t>
      </w:r>
      <w:r w:rsidR="00B50D7E">
        <w:rPr>
          <w:i/>
          <w:iCs/>
        </w:rPr>
        <w:t>See</w:t>
      </w:r>
      <w:r w:rsidR="00B50D7E">
        <w:t xml:space="preserve"> </w:t>
      </w:r>
      <w:r w:rsidR="00B50D7E" w:rsidRPr="007F0037">
        <w:rPr>
          <w:smallCaps/>
        </w:rPr>
        <w:t>Conklin</w:t>
      </w:r>
      <w:r w:rsidR="00B50D7E">
        <w:t xml:space="preserve">, </w:t>
      </w:r>
      <w:r w:rsidR="00B50D7E">
        <w:rPr>
          <w:i/>
          <w:iCs/>
        </w:rPr>
        <w:t>supra</w:t>
      </w:r>
      <w:r w:rsidR="00B50D7E">
        <w:t xml:space="preserve"> note </w:t>
      </w:r>
      <w:r w:rsidR="00B50D7E">
        <w:fldChar w:fldCharType="begin"/>
      </w:r>
      <w:r w:rsidR="00B50D7E">
        <w:instrText xml:space="preserve"> NOTEREF _Ref174535572 \h </w:instrText>
      </w:r>
      <w:r w:rsidR="00B50D7E">
        <w:fldChar w:fldCharType="separate"/>
      </w:r>
      <w:r w:rsidR="00B3355A">
        <w:t>70</w:t>
      </w:r>
      <w:r w:rsidR="00B50D7E">
        <w:fldChar w:fldCharType="end"/>
      </w:r>
      <w:r w:rsidR="00B50D7E">
        <w:t xml:space="preserve">, at </w:t>
      </w:r>
      <w:r w:rsidR="00307427">
        <w:t xml:space="preserve">30–33 (discussing the </w:t>
      </w:r>
      <w:r w:rsidR="00356CDE">
        <w:t xml:space="preserve">empiricism of the Scottish “Common Sense” school of philosophy and its influence on William Blackstone). </w:t>
      </w:r>
    </w:p>
  </w:footnote>
  <w:footnote w:id="117">
    <w:p w14:paraId="627D3E62" w14:textId="4F7175F5" w:rsidR="00653690" w:rsidRPr="00653690" w:rsidRDefault="00653690">
      <w:pPr>
        <w:pStyle w:val="FootnoteText"/>
      </w:pPr>
      <w:r>
        <w:rPr>
          <w:rStyle w:val="FootnoteReference"/>
        </w:rPr>
        <w:footnoteRef/>
      </w:r>
      <w:r>
        <w:t xml:space="preserve"> </w:t>
      </w:r>
      <w:r>
        <w:rPr>
          <w:i/>
          <w:iCs/>
        </w:rPr>
        <w:t xml:space="preserve">See </w:t>
      </w:r>
      <w:r w:rsidRPr="00244730">
        <w:rPr>
          <w:smallCaps/>
        </w:rPr>
        <w:t>Oscar Wilde, The Picture of Dorian Gray</w:t>
      </w:r>
      <w:r w:rsidR="00244730">
        <w:t xml:space="preserve"> (1998 paperback ed. 189</w:t>
      </w:r>
      <w:r w:rsidR="00722552">
        <w:t>0</w:t>
      </w:r>
      <w:r w:rsidR="00244730">
        <w:t>).</w:t>
      </w:r>
    </w:p>
  </w:footnote>
  <w:footnote w:id="118">
    <w:p w14:paraId="3DEA1831" w14:textId="3994D111" w:rsidR="00D621D3" w:rsidRPr="00D621D3" w:rsidRDefault="00D621D3">
      <w:pPr>
        <w:pStyle w:val="FootnoteText"/>
      </w:pPr>
      <w:r>
        <w:rPr>
          <w:rStyle w:val="FootnoteReference"/>
        </w:rPr>
        <w:footnoteRef/>
      </w:r>
      <w:r>
        <w:t xml:space="preserve"> </w:t>
      </w:r>
      <w:r>
        <w:rPr>
          <w:i/>
          <w:iCs/>
        </w:rPr>
        <w:t>E.g.</w:t>
      </w:r>
      <w:r>
        <w:t xml:space="preserve">, </w:t>
      </w:r>
      <w:r>
        <w:rPr>
          <w:i/>
          <w:iCs/>
        </w:rPr>
        <w:t>id.</w:t>
      </w:r>
      <w:r>
        <w:t xml:space="preserve"> at 10–12.</w:t>
      </w:r>
    </w:p>
  </w:footnote>
  <w:footnote w:id="119">
    <w:p w14:paraId="077CD855" w14:textId="7802CBA6" w:rsidR="00A12BD0" w:rsidRPr="00A12BD0" w:rsidRDefault="00A12BD0" w:rsidP="00424238">
      <w:pPr>
        <w:pStyle w:val="FootnoteText"/>
      </w:pPr>
      <w:r>
        <w:rPr>
          <w:rStyle w:val="FootnoteReference"/>
        </w:rPr>
        <w:footnoteRef/>
      </w:r>
      <w:r>
        <w:t xml:space="preserve"> </w:t>
      </w:r>
      <w:r>
        <w:rPr>
          <w:i/>
          <w:iCs/>
        </w:rPr>
        <w:t>Id.</w:t>
      </w:r>
      <w:r>
        <w:t xml:space="preserve"> at 14–15</w:t>
      </w:r>
      <w:r w:rsidR="007529A5">
        <w:t>, 18.</w:t>
      </w:r>
    </w:p>
  </w:footnote>
  <w:footnote w:id="120">
    <w:p w14:paraId="44929EAD" w14:textId="53DD88DD" w:rsidR="00A33280" w:rsidRPr="00A33280" w:rsidRDefault="00A33280">
      <w:pPr>
        <w:pStyle w:val="FootnoteText"/>
      </w:pPr>
      <w:r>
        <w:rPr>
          <w:rStyle w:val="FootnoteReference"/>
        </w:rPr>
        <w:footnoteRef/>
      </w:r>
      <w:r>
        <w:t xml:space="preserve"> </w:t>
      </w:r>
      <w:r>
        <w:rPr>
          <w:i/>
          <w:iCs/>
        </w:rPr>
        <w:t>Id.</w:t>
      </w:r>
      <w:r>
        <w:t xml:space="preserve"> at 15 (“‘Stop!’ faltered Dorian. ‘</w:t>
      </w:r>
      <w:proofErr w:type="gramStart"/>
      <w:r>
        <w:t>stop</w:t>
      </w:r>
      <w:proofErr w:type="gramEnd"/>
      <w:r>
        <w:t>! You bewilder me. I don’t know what to say. There is some answer to you</w:t>
      </w:r>
      <w:r w:rsidR="001A6D72">
        <w:t>, but I cannot find it. Don’t speak. Let me think. Or, rather, let me try not to think.”).</w:t>
      </w:r>
    </w:p>
  </w:footnote>
  <w:footnote w:id="121">
    <w:p w14:paraId="3559FC5A" w14:textId="22042D8C" w:rsidR="008B1EB3" w:rsidRPr="00C50CFB" w:rsidRDefault="008B1EB3">
      <w:pPr>
        <w:pStyle w:val="FootnoteText"/>
      </w:pPr>
      <w:r>
        <w:rPr>
          <w:rStyle w:val="FootnoteReference"/>
        </w:rPr>
        <w:footnoteRef/>
      </w:r>
      <w:r>
        <w:t xml:space="preserve"> </w:t>
      </w:r>
      <w:r>
        <w:rPr>
          <w:i/>
          <w:iCs/>
        </w:rPr>
        <w:t>See</w:t>
      </w:r>
      <w:r>
        <w:t xml:space="preserve"> </w:t>
      </w:r>
      <w:r>
        <w:rPr>
          <w:i/>
          <w:iCs/>
        </w:rPr>
        <w:t>id.</w:t>
      </w:r>
      <w:r>
        <w:t xml:space="preserve"> at 1</w:t>
      </w:r>
      <w:r w:rsidR="00E31040">
        <w:t>6</w:t>
      </w:r>
      <w:r>
        <w:t xml:space="preserve"> (“</w:t>
      </w:r>
      <w:r w:rsidR="00E31040">
        <w:t xml:space="preserve">With his subtle smile, Lord Henry watched [Dorian]. </w:t>
      </w:r>
      <w:r w:rsidR="003A4557">
        <w:t>He knew the precise psychological moment when to say nothing. He felt intensely interested. He was amazed at the sudden impression his words had produced . . . He had merely shot an arrow into the air. Had it hit the mark?”)</w:t>
      </w:r>
      <w:r w:rsidR="00C50CFB">
        <w:t xml:space="preserve">; </w:t>
      </w:r>
      <w:r w:rsidR="00C50CFB">
        <w:rPr>
          <w:i/>
          <w:iCs/>
        </w:rPr>
        <w:t>see also id.</w:t>
      </w:r>
      <w:r w:rsidR="00C50CFB">
        <w:t xml:space="preserve"> at </w:t>
      </w:r>
      <w:r w:rsidR="007D0DEE">
        <w:t>5–6 (“</w:t>
      </w:r>
      <w:r w:rsidR="00DE34AA">
        <w:t>‘</w:t>
      </w:r>
      <w:r w:rsidR="007D0DEE">
        <w:t>I don’t believe that, Harry, and I don’t believe you do either</w:t>
      </w:r>
      <w:r w:rsidR="00DE34AA">
        <w:t>.’”).</w:t>
      </w:r>
    </w:p>
  </w:footnote>
  <w:footnote w:id="122">
    <w:p w14:paraId="4E92F286" w14:textId="7E6F5E7A" w:rsidR="002C2EDE" w:rsidRPr="00A813B8" w:rsidRDefault="002C2EDE">
      <w:pPr>
        <w:pStyle w:val="FootnoteText"/>
      </w:pPr>
      <w:r>
        <w:rPr>
          <w:rStyle w:val="FootnoteReference"/>
        </w:rPr>
        <w:footnoteRef/>
      </w:r>
      <w:r>
        <w:t xml:space="preserve"> </w:t>
      </w:r>
      <w:r w:rsidR="00A813B8">
        <w:rPr>
          <w:i/>
          <w:iCs/>
        </w:rPr>
        <w:t>Id.</w:t>
      </w:r>
      <w:r w:rsidR="00A813B8">
        <w:t xml:space="preserve"> at 80–81.</w:t>
      </w:r>
    </w:p>
  </w:footnote>
  <w:footnote w:id="123">
    <w:p w14:paraId="1C32ECB3" w14:textId="5FD8DB4F" w:rsidR="005E7C27" w:rsidRPr="005E7C27" w:rsidRDefault="005E7C27">
      <w:pPr>
        <w:pStyle w:val="FootnoteText"/>
      </w:pPr>
      <w:r>
        <w:rPr>
          <w:rStyle w:val="FootnoteReference"/>
        </w:rPr>
        <w:footnoteRef/>
      </w:r>
      <w:r>
        <w:t xml:space="preserve"> </w:t>
      </w:r>
      <w:r>
        <w:rPr>
          <w:i/>
          <w:iCs/>
        </w:rPr>
        <w:t>Id.</w:t>
      </w:r>
      <w:r>
        <w:t xml:space="preserve"> at 106–15.</w:t>
      </w:r>
    </w:p>
  </w:footnote>
  <w:footnote w:id="124">
    <w:p w14:paraId="234516F8" w14:textId="15920A0B" w:rsidR="00FF525C" w:rsidRPr="00E94D77" w:rsidRDefault="00FF525C">
      <w:pPr>
        <w:pStyle w:val="FootnoteText"/>
      </w:pPr>
      <w:r>
        <w:rPr>
          <w:rStyle w:val="FootnoteReference"/>
        </w:rPr>
        <w:footnoteRef/>
      </w:r>
      <w:r>
        <w:t xml:space="preserve"> </w:t>
      </w:r>
      <w:r w:rsidR="00E94D77">
        <w:rPr>
          <w:i/>
          <w:iCs/>
        </w:rPr>
        <w:t>Id.</w:t>
      </w:r>
      <w:r w:rsidR="00E94D77">
        <w:t xml:space="preserve"> at 116.</w:t>
      </w:r>
    </w:p>
  </w:footnote>
  <w:footnote w:id="125">
    <w:p w14:paraId="32AC7B79" w14:textId="5F0C937C" w:rsidR="006D5584" w:rsidRPr="006D5584" w:rsidRDefault="006D5584">
      <w:pPr>
        <w:pStyle w:val="FootnoteText"/>
      </w:pPr>
      <w:r>
        <w:rPr>
          <w:rStyle w:val="FootnoteReference"/>
        </w:rPr>
        <w:footnoteRef/>
      </w:r>
      <w:r>
        <w:t xml:space="preserve"> </w:t>
      </w:r>
      <w:r>
        <w:rPr>
          <w:i/>
          <w:iCs/>
        </w:rPr>
        <w:t>Id.</w:t>
      </w:r>
      <w:r>
        <w:t xml:space="preserve"> at 150–55.</w:t>
      </w:r>
    </w:p>
  </w:footnote>
  <w:footnote w:id="126">
    <w:p w14:paraId="56074AF6" w14:textId="5AD49907" w:rsidR="00012112" w:rsidRPr="00012112" w:rsidRDefault="00012112">
      <w:pPr>
        <w:pStyle w:val="FootnoteText"/>
      </w:pPr>
      <w:r>
        <w:rPr>
          <w:rStyle w:val="FootnoteReference"/>
        </w:rPr>
        <w:footnoteRef/>
      </w:r>
      <w:r>
        <w:t xml:space="preserve"> </w:t>
      </w:r>
      <w:r>
        <w:rPr>
          <w:i/>
          <w:iCs/>
        </w:rPr>
        <w:t>See id.</w:t>
      </w:r>
      <w:r>
        <w:t xml:space="preserve"> at </w:t>
      </w:r>
      <w:r w:rsidR="00700824">
        <w:t>116</w:t>
      </w:r>
      <w:r w:rsidR="0060640D">
        <w:t xml:space="preserve">, </w:t>
      </w:r>
      <w:r w:rsidR="006C0CC4">
        <w:t>122–25</w:t>
      </w:r>
      <w:r w:rsidR="00700824">
        <w:t>.</w:t>
      </w:r>
    </w:p>
  </w:footnote>
  <w:footnote w:id="127">
    <w:p w14:paraId="7FD8190B" w14:textId="6E89F9E4" w:rsidR="003A0A14" w:rsidRPr="002C7B80" w:rsidRDefault="003A0A14">
      <w:pPr>
        <w:pStyle w:val="FootnoteText"/>
      </w:pPr>
      <w:r>
        <w:rPr>
          <w:rStyle w:val="FootnoteReference"/>
        </w:rPr>
        <w:footnoteRef/>
      </w:r>
      <w:r w:rsidR="002C7B80">
        <w:t xml:space="preserve"> </w:t>
      </w:r>
      <w:r w:rsidR="002C7B80">
        <w:rPr>
          <w:i/>
          <w:iCs/>
        </w:rPr>
        <w:t>See id.</w:t>
      </w:r>
      <w:r w:rsidR="002C7B80">
        <w:t xml:space="preserve"> at 86–87</w:t>
      </w:r>
      <w:r w:rsidR="00F104E9">
        <w:t>, 182–83.</w:t>
      </w:r>
      <w:r w:rsidR="002C7B80">
        <w:t xml:space="preserve"> </w:t>
      </w:r>
    </w:p>
  </w:footnote>
  <w:footnote w:id="128">
    <w:p w14:paraId="742C9FE5" w14:textId="4CBEDACF" w:rsidR="00BD6C63" w:rsidRPr="00BD6C63" w:rsidRDefault="00BD6C63">
      <w:pPr>
        <w:pStyle w:val="FootnoteText"/>
      </w:pPr>
      <w:r>
        <w:rPr>
          <w:rStyle w:val="FootnoteReference"/>
        </w:rPr>
        <w:footnoteRef/>
      </w:r>
      <w:r>
        <w:t xml:space="preserve"> </w:t>
      </w:r>
      <w:r>
        <w:rPr>
          <w:i/>
          <w:iCs/>
        </w:rPr>
        <w:t>See id.</w:t>
      </w:r>
      <w:r>
        <w:t xml:space="preserve"> at </w:t>
      </w:r>
      <w:r w:rsidR="00C171ED">
        <w:t xml:space="preserve">104, </w:t>
      </w:r>
      <w:r>
        <w:t>116.</w:t>
      </w:r>
    </w:p>
  </w:footnote>
  <w:footnote w:id="129">
    <w:p w14:paraId="5263CB92" w14:textId="0E874453" w:rsidR="00E24790" w:rsidRPr="00DC18D3" w:rsidRDefault="00E24790">
      <w:pPr>
        <w:pStyle w:val="FootnoteText"/>
      </w:pPr>
      <w:r>
        <w:rPr>
          <w:rStyle w:val="FootnoteReference"/>
        </w:rPr>
        <w:footnoteRef/>
      </w:r>
      <w:r>
        <w:t xml:space="preserve"> </w:t>
      </w:r>
      <w:r w:rsidR="00DC18D3">
        <w:rPr>
          <w:i/>
          <w:iCs/>
        </w:rPr>
        <w:t>See id.</w:t>
      </w:r>
      <w:r w:rsidR="00DC18D3">
        <w:t xml:space="preserve"> at 128–29 (“‘My God!’ [Basil] exclaimed. ‘</w:t>
      </w:r>
      <w:proofErr w:type="gramStart"/>
      <w:r w:rsidR="00DC18D3">
        <w:t>and</w:t>
      </w:r>
      <w:proofErr w:type="gramEnd"/>
      <w:r w:rsidR="00DC18D3">
        <w:t xml:space="preserve"> this is what you have done with your life, why, you must be worse even than those who talk against you fancy you to be!’ He held the light up again to the </w:t>
      </w:r>
      <w:proofErr w:type="gramStart"/>
      <w:r w:rsidR="00DC18D3">
        <w:t>canvas, and</w:t>
      </w:r>
      <w:proofErr w:type="gramEnd"/>
      <w:r w:rsidR="00DC18D3">
        <w:t xml:space="preserve"> examined it. The surface seemed </w:t>
      </w:r>
      <w:r w:rsidR="008B7303">
        <w:t xml:space="preserve">to be quite undisturbed, and as he had left it. It was from within, apparently, that the foulness of horror had come. Through some strange quickening of inner </w:t>
      </w:r>
      <w:proofErr w:type="gramStart"/>
      <w:r w:rsidR="008B7303">
        <w:t>life</w:t>
      </w:r>
      <w:proofErr w:type="gramEnd"/>
      <w:r w:rsidR="008B7303">
        <w:t xml:space="preserve"> the leprosies of sin were slowly eating the thing away. The rotting of a corpse in a watery grave was not so fearful.”).</w:t>
      </w:r>
    </w:p>
  </w:footnote>
  <w:footnote w:id="130">
    <w:p w14:paraId="20529016" w14:textId="3777CA42" w:rsidR="007F76BE" w:rsidRPr="002C51AF" w:rsidRDefault="007F76BE">
      <w:pPr>
        <w:pStyle w:val="FootnoteText"/>
      </w:pPr>
      <w:r>
        <w:rPr>
          <w:rStyle w:val="FootnoteReference"/>
        </w:rPr>
        <w:footnoteRef/>
      </w:r>
      <w:r>
        <w:t xml:space="preserve"> </w:t>
      </w:r>
      <w:r w:rsidR="002C51AF">
        <w:rPr>
          <w:i/>
          <w:iCs/>
        </w:rPr>
        <w:t>Id.</w:t>
      </w:r>
      <w:r w:rsidR="002C51AF">
        <w:t xml:space="preserve"> at </w:t>
      </w:r>
      <w:r w:rsidR="009278EC">
        <w:t xml:space="preserve">100–01, </w:t>
      </w:r>
      <w:r w:rsidR="002C51AF">
        <w:t>127–30.</w:t>
      </w:r>
    </w:p>
  </w:footnote>
  <w:footnote w:id="131">
    <w:p w14:paraId="5227012B" w14:textId="32A18F89" w:rsidR="00DE44E8" w:rsidRPr="00DE44E8" w:rsidRDefault="00DE44E8">
      <w:pPr>
        <w:pStyle w:val="FootnoteText"/>
      </w:pPr>
      <w:r>
        <w:rPr>
          <w:rStyle w:val="FootnoteReference"/>
        </w:rPr>
        <w:footnoteRef/>
      </w:r>
      <w:r>
        <w:t xml:space="preserve"> </w:t>
      </w:r>
      <w:r>
        <w:rPr>
          <w:i/>
          <w:iCs/>
        </w:rPr>
        <w:t>Id.</w:t>
      </w:r>
      <w:r>
        <w:t xml:space="preserve"> at 182–84.</w:t>
      </w:r>
    </w:p>
  </w:footnote>
  <w:footnote w:id="132">
    <w:p w14:paraId="5B6B3828" w14:textId="7ADB84D3" w:rsidR="009271BF" w:rsidRPr="009271BF" w:rsidRDefault="009271BF">
      <w:pPr>
        <w:pStyle w:val="FootnoteText"/>
      </w:pPr>
      <w:r>
        <w:rPr>
          <w:rStyle w:val="FootnoteReference"/>
        </w:rPr>
        <w:footnoteRef/>
      </w:r>
      <w:r>
        <w:t xml:space="preserve"> </w:t>
      </w:r>
      <w:r>
        <w:rPr>
          <w:i/>
          <w:iCs/>
        </w:rPr>
        <w:t>See id.</w:t>
      </w:r>
      <w:r>
        <w:t xml:space="preserve"> at </w:t>
      </w:r>
      <w:r w:rsidR="00AD66B6">
        <w:t>18.</w:t>
      </w:r>
    </w:p>
  </w:footnote>
  <w:footnote w:id="133">
    <w:p w14:paraId="662AC618" w14:textId="69764D16" w:rsidR="00291A26" w:rsidRPr="00B9027D" w:rsidRDefault="00291A26">
      <w:pPr>
        <w:pStyle w:val="FootnoteText"/>
      </w:pPr>
      <w:r>
        <w:rPr>
          <w:rStyle w:val="FootnoteReference"/>
        </w:rPr>
        <w:footnoteRef/>
      </w:r>
      <w:r>
        <w:t xml:space="preserve"> </w:t>
      </w:r>
      <w:r>
        <w:rPr>
          <w:i/>
          <w:iCs/>
        </w:rPr>
        <w:t>See</w:t>
      </w:r>
      <w:r>
        <w:t xml:space="preserve"> </w:t>
      </w:r>
      <w:r w:rsidR="000B2C30">
        <w:t xml:space="preserve">Isobel Murray, </w:t>
      </w:r>
      <w:r w:rsidR="000B2C30">
        <w:rPr>
          <w:i/>
          <w:iCs/>
        </w:rPr>
        <w:t>Introduction</w:t>
      </w:r>
      <w:r w:rsidR="000B2C30">
        <w:t xml:space="preserve">, in </w:t>
      </w:r>
      <w:r w:rsidR="000B2C30">
        <w:rPr>
          <w:i/>
          <w:iCs/>
        </w:rPr>
        <w:t>id.</w:t>
      </w:r>
      <w:r w:rsidR="00B9027D">
        <w:t>, viii–xv, at xi.</w:t>
      </w:r>
    </w:p>
  </w:footnote>
  <w:footnote w:id="134">
    <w:p w14:paraId="5ED56DDE" w14:textId="011F647E" w:rsidR="00762142" w:rsidRPr="00762142" w:rsidRDefault="00762142">
      <w:pPr>
        <w:pStyle w:val="FootnoteText"/>
      </w:pPr>
      <w:r>
        <w:rPr>
          <w:rStyle w:val="FootnoteReference"/>
        </w:rPr>
        <w:footnoteRef/>
      </w:r>
      <w:r>
        <w:t xml:space="preserve"> </w:t>
      </w:r>
      <w:r>
        <w:rPr>
          <w:i/>
          <w:iCs/>
        </w:rPr>
        <w:t>See</w:t>
      </w:r>
      <w:r>
        <w:t xml:space="preserve"> </w:t>
      </w:r>
      <w:r>
        <w:rPr>
          <w:i/>
          <w:iCs/>
        </w:rPr>
        <w:t>supra</w:t>
      </w:r>
      <w:r>
        <w:t xml:space="preserve"> note 103 and accompanying text.</w:t>
      </w:r>
    </w:p>
  </w:footnote>
  <w:footnote w:id="135">
    <w:p w14:paraId="69D6AD59" w14:textId="44D89B05" w:rsidR="00BF2238" w:rsidRPr="00BF2238" w:rsidRDefault="00BF2238">
      <w:pPr>
        <w:pStyle w:val="FootnoteText"/>
      </w:pPr>
      <w:r>
        <w:rPr>
          <w:rStyle w:val="FootnoteReference"/>
        </w:rPr>
        <w:footnoteRef/>
      </w:r>
      <w:r>
        <w:t xml:space="preserve"> </w:t>
      </w:r>
      <w:r>
        <w:rPr>
          <w:i/>
          <w:iCs/>
        </w:rPr>
        <w:t>See</w:t>
      </w:r>
      <w:r>
        <w:t xml:space="preserve"> </w:t>
      </w:r>
      <w:r w:rsidRPr="00BF2238">
        <w:rPr>
          <w:smallCaps/>
        </w:rPr>
        <w:t>Annas</w:t>
      </w:r>
      <w:r>
        <w:t xml:space="preserve">, </w:t>
      </w:r>
      <w:r>
        <w:rPr>
          <w:i/>
          <w:iCs/>
        </w:rPr>
        <w:t>supra</w:t>
      </w:r>
      <w:r>
        <w:t xml:space="preserve"> note </w:t>
      </w:r>
      <w:r>
        <w:fldChar w:fldCharType="begin"/>
      </w:r>
      <w:r>
        <w:instrText xml:space="preserve"> NOTEREF _Ref174629283 \h </w:instrText>
      </w:r>
      <w:r>
        <w:fldChar w:fldCharType="separate"/>
      </w:r>
      <w:r w:rsidR="00B3355A">
        <w:t>87</w:t>
      </w:r>
      <w:r>
        <w:fldChar w:fldCharType="end"/>
      </w:r>
      <w:r>
        <w:t xml:space="preserve">, at </w:t>
      </w:r>
      <w:r w:rsidR="008E1ACA">
        <w:t>44.</w:t>
      </w:r>
    </w:p>
  </w:footnote>
  <w:footnote w:id="136">
    <w:p w14:paraId="51D53678" w14:textId="5485E31B" w:rsidR="00F8636C" w:rsidRPr="00DF1474" w:rsidRDefault="00F8636C">
      <w:pPr>
        <w:pStyle w:val="FootnoteText"/>
      </w:pPr>
      <w:r>
        <w:rPr>
          <w:rStyle w:val="FootnoteReference"/>
        </w:rPr>
        <w:footnoteRef/>
      </w:r>
      <w:r>
        <w:t xml:space="preserve"> </w:t>
      </w:r>
      <w:r w:rsidR="00127064">
        <w:rPr>
          <w:i/>
          <w:iCs/>
        </w:rPr>
        <w:t>See</w:t>
      </w:r>
      <w:r w:rsidR="009F3ECF">
        <w:t xml:space="preserve"> </w:t>
      </w:r>
      <w:r w:rsidR="009F3ECF" w:rsidRPr="009F3ECF">
        <w:rPr>
          <w:smallCaps/>
        </w:rPr>
        <w:t>Catherine Wilson</w:t>
      </w:r>
      <w:r w:rsidR="009F3ECF">
        <w:t xml:space="preserve">, </w:t>
      </w:r>
      <w:r w:rsidR="009F3ECF" w:rsidRPr="009F3ECF">
        <w:rPr>
          <w:smallCaps/>
        </w:rPr>
        <w:t>Epicureanism at the Origins of Modernity</w:t>
      </w:r>
      <w:r w:rsidR="009F3ECF">
        <w:t xml:space="preserve"> </w:t>
      </w:r>
      <w:r w:rsidR="009F3ECF" w:rsidRPr="009F3ECF">
        <w:rPr>
          <w:highlight w:val="yellow"/>
        </w:rPr>
        <w:t>X</w:t>
      </w:r>
      <w:r w:rsidR="009F3ECF">
        <w:t xml:space="preserve"> (2008);</w:t>
      </w:r>
      <w:r w:rsidR="00127064">
        <w:rPr>
          <w:i/>
          <w:iCs/>
        </w:rPr>
        <w:t xml:space="preserve"> </w:t>
      </w:r>
      <w:r w:rsidR="0043598D">
        <w:t xml:space="preserve">Howard Jones, </w:t>
      </w:r>
      <w:r w:rsidR="0043598D">
        <w:rPr>
          <w:i/>
          <w:iCs/>
        </w:rPr>
        <w:t xml:space="preserve">Epicurus and </w:t>
      </w:r>
      <w:r w:rsidR="005D0A7C">
        <w:rPr>
          <w:i/>
          <w:iCs/>
        </w:rPr>
        <w:t>Epicureanism</w:t>
      </w:r>
      <w:r w:rsidR="005D0A7C">
        <w:t xml:space="preserve">, in </w:t>
      </w:r>
      <w:r w:rsidR="005D0A7C" w:rsidRPr="00F0708B">
        <w:rPr>
          <w:smallCaps/>
        </w:rPr>
        <w:t>The Classical Tradition</w:t>
      </w:r>
      <w:r w:rsidR="005D0A7C">
        <w:t xml:space="preserve"> </w:t>
      </w:r>
      <w:r w:rsidR="005D0A7C" w:rsidRPr="00F0708B">
        <w:rPr>
          <w:highlight w:val="yellow"/>
        </w:rPr>
        <w:t>X–Y, Z</w:t>
      </w:r>
      <w:r w:rsidR="005D0A7C">
        <w:t xml:space="preserve"> (</w:t>
      </w:r>
      <w:r w:rsidR="00F0708B">
        <w:t>Anthony Grafton et al. eds. 2010).</w:t>
      </w:r>
      <w:r w:rsidR="005D0A7C">
        <w:rPr>
          <w:i/>
          <w:iCs/>
        </w:rPr>
        <w:t xml:space="preserve"> </w:t>
      </w:r>
      <w:r w:rsidR="001D74E2">
        <w:t xml:space="preserve">Little known </w:t>
      </w:r>
      <w:r w:rsidR="00F0708B">
        <w:t xml:space="preserve">in England </w:t>
      </w:r>
      <w:r w:rsidR="00861D2F">
        <w:t xml:space="preserve">before the </w:t>
      </w:r>
      <w:r w:rsidR="0054375D">
        <w:t>mid-</w:t>
      </w:r>
      <w:r w:rsidR="00861D2F">
        <w:t>seventeenth century, Epicureanism surged</w:t>
      </w:r>
      <w:r w:rsidR="00BA1C75">
        <w:t xml:space="preserve"> in popularity due to</w:t>
      </w:r>
      <w:r w:rsidR="00861D2F">
        <w:t xml:space="preserve"> the efforts of </w:t>
      </w:r>
      <w:r w:rsidR="00DA3139">
        <w:t xml:space="preserve">the </w:t>
      </w:r>
      <w:r w:rsidR="00861D2F">
        <w:t>French philosopher Pierre Gassendi</w:t>
      </w:r>
      <w:r w:rsidR="0054375D">
        <w:t xml:space="preserve"> and </w:t>
      </w:r>
      <w:r w:rsidR="00DA3139">
        <w:t xml:space="preserve">the English Dr. Walter Charleton, </w:t>
      </w:r>
      <w:r w:rsidR="001E2892">
        <w:t xml:space="preserve">who served as </w:t>
      </w:r>
      <w:r w:rsidR="00DA3139">
        <w:t>physician to Charles I.</w:t>
      </w:r>
      <w:r w:rsidR="00BE6C7E">
        <w:t xml:space="preserve"> </w:t>
      </w:r>
      <w:r w:rsidR="00BE6C7E">
        <w:rPr>
          <w:i/>
          <w:iCs/>
        </w:rPr>
        <w:t>Id.</w:t>
      </w:r>
    </w:p>
  </w:footnote>
  <w:footnote w:id="137">
    <w:p w14:paraId="27764ED4" w14:textId="0EA4055B" w:rsidR="0072254D" w:rsidRPr="0072254D" w:rsidRDefault="0072254D">
      <w:pPr>
        <w:pStyle w:val="FootnoteText"/>
        <w:rPr>
          <w:i/>
          <w:iCs/>
        </w:rPr>
      </w:pPr>
      <w:r>
        <w:rPr>
          <w:rStyle w:val="FootnoteReference"/>
        </w:rPr>
        <w:footnoteRef/>
      </w:r>
      <w:r>
        <w:t xml:space="preserve"> </w:t>
      </w:r>
      <w:r w:rsidR="005C190B" w:rsidRPr="00BF2238">
        <w:rPr>
          <w:smallCaps/>
        </w:rPr>
        <w:t>Annas</w:t>
      </w:r>
      <w:r w:rsidR="005C190B">
        <w:t xml:space="preserve">, </w:t>
      </w:r>
      <w:r w:rsidR="005C190B">
        <w:rPr>
          <w:i/>
          <w:iCs/>
        </w:rPr>
        <w:t>supra</w:t>
      </w:r>
      <w:r w:rsidR="005C190B">
        <w:t xml:space="preserve"> note </w:t>
      </w:r>
      <w:r w:rsidR="005C190B">
        <w:fldChar w:fldCharType="begin"/>
      </w:r>
      <w:r w:rsidR="005C190B">
        <w:instrText xml:space="preserve"> NOTEREF _Ref174629283 \h </w:instrText>
      </w:r>
      <w:r w:rsidR="005C190B">
        <w:fldChar w:fldCharType="separate"/>
      </w:r>
      <w:r w:rsidR="00B3355A">
        <w:t>87</w:t>
      </w:r>
      <w:r w:rsidR="005C190B">
        <w:fldChar w:fldCharType="end"/>
      </w:r>
      <w:r w:rsidR="005C190B">
        <w:t>, at 44.</w:t>
      </w:r>
    </w:p>
  </w:footnote>
  <w:footnote w:id="138">
    <w:p w14:paraId="17A548E6" w14:textId="74F9E448" w:rsidR="00F80152" w:rsidRPr="002E1CAA" w:rsidRDefault="00F80152">
      <w:pPr>
        <w:pStyle w:val="FootnoteText"/>
      </w:pPr>
      <w:r>
        <w:rPr>
          <w:rStyle w:val="FootnoteReference"/>
        </w:rPr>
        <w:footnoteRef/>
      </w:r>
      <w:r>
        <w:t xml:space="preserve"> </w:t>
      </w:r>
      <w:r w:rsidR="000C0F22">
        <w:t xml:space="preserve">Jefferson openly described himself as “an Epicurean” in an 1819 letter to William Short. </w:t>
      </w:r>
      <w:r w:rsidR="009F0D40">
        <w:t xml:space="preserve">Letter from </w:t>
      </w:r>
      <w:r w:rsidR="000C0F22">
        <w:t>Thomas Jefferson to William Short</w:t>
      </w:r>
      <w:r w:rsidR="009F0D40">
        <w:t xml:space="preserve"> (</w:t>
      </w:r>
      <w:r w:rsidR="009D13B0">
        <w:t>Oct. 31, 1819)</w:t>
      </w:r>
      <w:r w:rsidR="000C0F22">
        <w:t xml:space="preserve">, </w:t>
      </w:r>
      <w:hyperlink r:id="rId21" w:history="1">
        <w:r w:rsidR="00263BB3" w:rsidRPr="00B00F60">
          <w:rPr>
            <w:rStyle w:val="Hyperlink"/>
          </w:rPr>
          <w:t>https://founders.archives.gov/documents/Jefferson/03-15-02-0141-0001</w:t>
        </w:r>
      </w:hyperlink>
      <w:r w:rsidR="00263BB3">
        <w:t xml:space="preserve"> [</w:t>
      </w:r>
      <w:r w:rsidR="00E3096E" w:rsidRPr="00E3096E">
        <w:t>https://perma.cc/PP8G-RX6C</w:t>
      </w:r>
      <w:r w:rsidR="00E3096E">
        <w:t xml:space="preserve">]. </w:t>
      </w:r>
      <w:r w:rsidR="00C806BC">
        <w:t xml:space="preserve">Though Locke was cagier about his Epicureanism—likely due to the increased </w:t>
      </w:r>
      <w:r w:rsidR="009E3B35">
        <w:t>risk</w:t>
      </w:r>
      <w:r w:rsidR="00C806BC">
        <w:t xml:space="preserve"> of religious persecution for </w:t>
      </w:r>
      <w:r w:rsidR="009E3B35">
        <w:t>“</w:t>
      </w:r>
      <w:r w:rsidR="00BE41F6">
        <w:t>heresy</w:t>
      </w:r>
      <w:r w:rsidR="009E3B35">
        <w:t>”</w:t>
      </w:r>
      <w:r w:rsidR="00C806BC">
        <w:t xml:space="preserve"> during his time</w:t>
      </w:r>
      <w:r w:rsidR="009E3B35">
        <w:t>—</w:t>
      </w:r>
      <w:r w:rsidR="00C806BC">
        <w:t>historians</w:t>
      </w:r>
      <w:r w:rsidR="009E3B35">
        <w:t xml:space="preserve"> </w:t>
      </w:r>
      <w:r w:rsidR="00C806BC">
        <w:t>and philosophers widely acknowledge</w:t>
      </w:r>
      <w:r w:rsidR="00E11D06">
        <w:t xml:space="preserve"> the influence of Epicureanism (as “purified” by Gassendi, </w:t>
      </w:r>
      <w:r w:rsidR="00E11D06">
        <w:rPr>
          <w:i/>
          <w:iCs/>
        </w:rPr>
        <w:t>see supra</w:t>
      </w:r>
      <w:r w:rsidR="00E11D06">
        <w:t xml:space="preserve"> note </w:t>
      </w:r>
      <w:r w:rsidR="00E11D06">
        <w:fldChar w:fldCharType="begin"/>
      </w:r>
      <w:r w:rsidR="00E11D06">
        <w:instrText xml:space="preserve"> NOTEREF _Ref174707659 \h </w:instrText>
      </w:r>
      <w:r w:rsidR="00E11D06">
        <w:fldChar w:fldCharType="separate"/>
      </w:r>
      <w:r w:rsidR="00B3355A">
        <w:t>120</w:t>
      </w:r>
      <w:r w:rsidR="00E11D06">
        <w:fldChar w:fldCharType="end"/>
      </w:r>
      <w:r w:rsidR="00E11D06">
        <w:t>)</w:t>
      </w:r>
      <w:r w:rsidR="00C806BC">
        <w:t xml:space="preserve"> on his work. </w:t>
      </w:r>
      <w:r w:rsidR="00C806BC">
        <w:rPr>
          <w:i/>
          <w:iCs/>
        </w:rPr>
        <w:t>See, e.g.</w:t>
      </w:r>
      <w:r w:rsidR="00C806BC">
        <w:t xml:space="preserve">, Jones, </w:t>
      </w:r>
      <w:r w:rsidR="00C806BC">
        <w:rPr>
          <w:i/>
          <w:iCs/>
        </w:rPr>
        <w:t>supra</w:t>
      </w:r>
      <w:r w:rsidR="00C806BC">
        <w:t xml:space="preserve"> note </w:t>
      </w:r>
      <w:r w:rsidR="00C806BC">
        <w:fldChar w:fldCharType="begin"/>
      </w:r>
      <w:r w:rsidR="00C806BC">
        <w:instrText xml:space="preserve"> NOTEREF _Ref174707659 \h </w:instrText>
      </w:r>
      <w:r w:rsidR="00C806BC">
        <w:fldChar w:fldCharType="separate"/>
      </w:r>
      <w:r w:rsidR="00B3355A">
        <w:t>120</w:t>
      </w:r>
      <w:r w:rsidR="00C806BC">
        <w:fldChar w:fldCharType="end"/>
      </w:r>
      <w:r w:rsidR="00C806BC">
        <w:t xml:space="preserve">, at </w:t>
      </w:r>
      <w:r w:rsidR="00C806BC" w:rsidRPr="00C806BC">
        <w:rPr>
          <w:highlight w:val="yellow"/>
        </w:rPr>
        <w:t>X</w:t>
      </w:r>
      <w:r w:rsidR="00C806BC">
        <w:t xml:space="preserve">. </w:t>
      </w:r>
      <w:r w:rsidR="004F1AD2">
        <w:t xml:space="preserve">At any rate, Chapter XXI of Book II of the </w:t>
      </w:r>
      <w:r w:rsidR="004F1AD2">
        <w:rPr>
          <w:i/>
          <w:iCs/>
        </w:rPr>
        <w:t>Essay</w:t>
      </w:r>
      <w:r w:rsidR="004F1AD2">
        <w:t xml:space="preserve"> is shot through with </w:t>
      </w:r>
      <w:r w:rsidR="00514237">
        <w:t xml:space="preserve">Epicurean ideas. </w:t>
      </w:r>
      <w:r w:rsidR="00514237">
        <w:rPr>
          <w:i/>
          <w:iCs/>
        </w:rPr>
        <w:t>Compare</w:t>
      </w:r>
      <w:r w:rsidR="00514237">
        <w:t xml:space="preserve"> </w:t>
      </w:r>
      <w:r w:rsidR="00514237" w:rsidRPr="00BE41F6">
        <w:rPr>
          <w:smallCaps/>
        </w:rPr>
        <w:t>Locke</w:t>
      </w:r>
      <w:r w:rsidR="00514237">
        <w:t xml:space="preserve">, </w:t>
      </w:r>
      <w:r w:rsidR="00514237">
        <w:rPr>
          <w:i/>
          <w:iCs/>
        </w:rPr>
        <w:t>supra</w:t>
      </w:r>
      <w:r w:rsidR="00514237">
        <w:t xml:space="preserve"> note </w:t>
      </w:r>
      <w:r w:rsidR="00AF7129">
        <w:fldChar w:fldCharType="begin"/>
      </w:r>
      <w:r w:rsidR="00AF7129">
        <w:instrText xml:space="preserve"> NOTEREF _Ref174633335 \h </w:instrText>
      </w:r>
      <w:r w:rsidR="00AF7129">
        <w:fldChar w:fldCharType="separate"/>
      </w:r>
      <w:r w:rsidR="00B3355A">
        <w:t>76</w:t>
      </w:r>
      <w:r w:rsidR="00AF7129">
        <w:fldChar w:fldCharType="end"/>
      </w:r>
      <w:r w:rsidR="00AF7129">
        <w:t xml:space="preserve">, at </w:t>
      </w:r>
      <w:r w:rsidR="005D7856">
        <w:t>182</w:t>
      </w:r>
      <w:r w:rsidR="00E32E1E">
        <w:t xml:space="preserve">–91 </w:t>
      </w:r>
      <w:r w:rsidR="00E32E1E">
        <w:rPr>
          <w:i/>
          <w:iCs/>
        </w:rPr>
        <w:t>with</w:t>
      </w:r>
      <w:r w:rsidR="00E32E1E">
        <w:t xml:space="preserve"> </w:t>
      </w:r>
      <w:r w:rsidR="002E1CAA">
        <w:t xml:space="preserve">Julia Annas, </w:t>
      </w:r>
      <w:r w:rsidR="002E1CAA">
        <w:rPr>
          <w:i/>
          <w:iCs/>
        </w:rPr>
        <w:t>Epicurus on Pleasure and Happiness</w:t>
      </w:r>
      <w:r w:rsidR="002E1CAA">
        <w:t xml:space="preserve">, 15 </w:t>
      </w:r>
      <w:r w:rsidR="002E1CAA" w:rsidRPr="00E41555">
        <w:rPr>
          <w:smallCaps/>
        </w:rPr>
        <w:t>Phil. Topics</w:t>
      </w:r>
      <w:r w:rsidR="002E1CAA">
        <w:t xml:space="preserve"> </w:t>
      </w:r>
      <w:r w:rsidR="00CB583A">
        <w:t xml:space="preserve">5, </w:t>
      </w:r>
      <w:r w:rsidR="00386245">
        <w:t>15–18</w:t>
      </w:r>
      <w:r w:rsidR="005D7856">
        <w:t xml:space="preserve"> (1987).</w:t>
      </w:r>
      <w:r w:rsidR="008469F3">
        <w:t xml:space="preserve"> </w:t>
      </w:r>
    </w:p>
  </w:footnote>
  <w:footnote w:id="139">
    <w:p w14:paraId="109E9F73" w14:textId="25488887" w:rsidR="007E6390" w:rsidRPr="002E2119" w:rsidRDefault="007E6390">
      <w:pPr>
        <w:pStyle w:val="FootnoteText"/>
      </w:pPr>
      <w:r>
        <w:rPr>
          <w:rStyle w:val="FootnoteReference"/>
        </w:rPr>
        <w:footnoteRef/>
      </w:r>
      <w:r>
        <w:t xml:space="preserve"> </w:t>
      </w:r>
      <w:r>
        <w:rPr>
          <w:i/>
          <w:iCs/>
        </w:rPr>
        <w:t>See</w:t>
      </w:r>
      <w:r>
        <w:t xml:space="preserve"> </w:t>
      </w:r>
      <w:r w:rsidR="00DB45DC" w:rsidRPr="008B45FE">
        <w:rPr>
          <w:smallCaps/>
        </w:rPr>
        <w:t>Annas</w:t>
      </w:r>
      <w:r w:rsidR="00DB45DC">
        <w:t xml:space="preserve">, </w:t>
      </w:r>
      <w:r w:rsidR="00DB45DC">
        <w:rPr>
          <w:i/>
          <w:iCs/>
        </w:rPr>
        <w:t>supra</w:t>
      </w:r>
      <w:r w:rsidR="00DB45DC">
        <w:t xml:space="preserve"> note </w:t>
      </w:r>
      <w:r w:rsidR="00DB45DC">
        <w:fldChar w:fldCharType="begin"/>
      </w:r>
      <w:r w:rsidR="00DB45DC">
        <w:instrText xml:space="preserve"> NOTEREF _Ref174535572 \h </w:instrText>
      </w:r>
      <w:r w:rsidR="00DB45DC">
        <w:fldChar w:fldCharType="separate"/>
      </w:r>
      <w:r w:rsidR="00B3355A">
        <w:t>70</w:t>
      </w:r>
      <w:r w:rsidR="00DB45DC">
        <w:fldChar w:fldCharType="end"/>
      </w:r>
      <w:r w:rsidR="00DB45DC">
        <w:t xml:space="preserve">, at 188; </w:t>
      </w:r>
      <w:r>
        <w:t xml:space="preserve">Annas, </w:t>
      </w:r>
      <w:r>
        <w:rPr>
          <w:i/>
          <w:iCs/>
        </w:rPr>
        <w:t>supra</w:t>
      </w:r>
      <w:r>
        <w:t xml:space="preserve"> note </w:t>
      </w:r>
      <w:r>
        <w:fldChar w:fldCharType="begin"/>
      </w:r>
      <w:r>
        <w:instrText xml:space="preserve"> NOTEREF _Ref174708402 \h </w:instrText>
      </w:r>
      <w:r>
        <w:fldChar w:fldCharType="separate"/>
      </w:r>
      <w:r w:rsidR="00B3355A">
        <w:t>122</w:t>
      </w:r>
      <w:r>
        <w:fldChar w:fldCharType="end"/>
      </w:r>
      <w:r>
        <w:t>, at 5, 17</w:t>
      </w:r>
      <w:r w:rsidR="003B4008">
        <w:t xml:space="preserve">. </w:t>
      </w:r>
      <w:r w:rsidR="00712B23">
        <w:t xml:space="preserve">Frustratingly </w:t>
      </w:r>
      <w:r w:rsidR="00D27AD6">
        <w:t>few</w:t>
      </w:r>
      <w:r w:rsidR="00712B23">
        <w:t xml:space="preserve"> records of Epicurus’ direct teachings remain</w:t>
      </w:r>
      <w:r w:rsidR="00ED45E8">
        <w:t xml:space="preserve">, and much of his philosophy must be inferred from </w:t>
      </w:r>
      <w:r w:rsidR="00CB0209">
        <w:t>better-preserved objections to his ideas</w:t>
      </w:r>
      <w:r w:rsidR="00A22817">
        <w:t xml:space="preserve"> written by other ancient philosophers</w:t>
      </w:r>
      <w:r w:rsidR="00712B23">
        <w:t xml:space="preserve">. </w:t>
      </w:r>
      <w:r w:rsidR="00DB45DC">
        <w:rPr>
          <w:i/>
          <w:iCs/>
        </w:rPr>
        <w:t>See</w:t>
      </w:r>
      <w:r w:rsidR="00DB45DC">
        <w:t xml:space="preserve"> </w:t>
      </w:r>
      <w:r w:rsidR="00DB45DC">
        <w:rPr>
          <w:i/>
          <w:iCs/>
        </w:rPr>
        <w:t>id.</w:t>
      </w:r>
      <w:r w:rsidR="00DB45DC">
        <w:t xml:space="preserve"> at 5</w:t>
      </w:r>
      <w:r w:rsidR="00CB0209">
        <w:t xml:space="preserve"> &amp; n.1</w:t>
      </w:r>
      <w:r w:rsidR="00DB45DC">
        <w:t xml:space="preserve">; </w:t>
      </w:r>
      <w:r w:rsidR="002E2119">
        <w:t xml:space="preserve">David </w:t>
      </w:r>
      <w:proofErr w:type="spellStart"/>
      <w:r w:rsidR="002E2119">
        <w:t>Konstan</w:t>
      </w:r>
      <w:proofErr w:type="spellEnd"/>
      <w:r w:rsidR="002E2119">
        <w:t xml:space="preserve">, </w:t>
      </w:r>
      <w:r w:rsidR="002E2119">
        <w:rPr>
          <w:i/>
          <w:iCs/>
        </w:rPr>
        <w:t>Epicurus</w:t>
      </w:r>
      <w:r w:rsidR="002E2119">
        <w:t xml:space="preserve">, </w:t>
      </w:r>
      <w:r w:rsidR="002E2119" w:rsidRPr="00CB0209">
        <w:rPr>
          <w:smallCaps/>
        </w:rPr>
        <w:t>Stan. Encyc. Phil.</w:t>
      </w:r>
      <w:r w:rsidR="002E2119">
        <w:t xml:space="preserve"> (</w:t>
      </w:r>
      <w:r w:rsidR="00D03807">
        <w:t xml:space="preserve">July 8, 2022), </w:t>
      </w:r>
      <w:hyperlink r:id="rId22" w:anchor="Sour" w:history="1">
        <w:r w:rsidR="00D03807" w:rsidRPr="00B00F60">
          <w:rPr>
            <w:rStyle w:val="Hyperlink"/>
          </w:rPr>
          <w:t>https://plato.stanford.edu/entries/epicurus/#Sour</w:t>
        </w:r>
      </w:hyperlink>
      <w:r w:rsidR="00D03807">
        <w:t xml:space="preserve"> [</w:t>
      </w:r>
      <w:r w:rsidR="00CB0209" w:rsidRPr="00CB0209">
        <w:t>https://perma.cc/5TAL-9XTV</w:t>
      </w:r>
      <w:r w:rsidR="00CB0209">
        <w:t>] (listing historical sources).</w:t>
      </w:r>
    </w:p>
  </w:footnote>
  <w:footnote w:id="140">
    <w:p w14:paraId="2FF608B9" w14:textId="2E31BC69" w:rsidR="000D17DE" w:rsidRPr="000D17DE" w:rsidRDefault="000D17DE">
      <w:pPr>
        <w:pStyle w:val="FootnoteText"/>
      </w:pPr>
      <w:r>
        <w:rPr>
          <w:rStyle w:val="FootnoteReference"/>
        </w:rPr>
        <w:footnoteRef/>
      </w:r>
      <w:r>
        <w:t xml:space="preserve"> </w:t>
      </w:r>
      <w:r>
        <w:rPr>
          <w:i/>
          <w:iCs/>
        </w:rPr>
        <w:t>See, e.g.</w:t>
      </w:r>
      <w:r>
        <w:t xml:space="preserve">, </w:t>
      </w:r>
      <w:r>
        <w:rPr>
          <w:i/>
          <w:iCs/>
        </w:rPr>
        <w:t>Epicure</w:t>
      </w:r>
      <w:r>
        <w:t xml:space="preserve">, Merriam-Webster.com, </w:t>
      </w:r>
      <w:hyperlink r:id="rId23" w:history="1">
        <w:r w:rsidRPr="00B00F60">
          <w:rPr>
            <w:rStyle w:val="Hyperlink"/>
          </w:rPr>
          <w:t>https://www.merriam-webster.com/dictionary/epicure</w:t>
        </w:r>
      </w:hyperlink>
      <w:r>
        <w:t xml:space="preserve"> [</w:t>
      </w:r>
      <w:r w:rsidRPr="000D17DE">
        <w:t>https://perma.cc/3EZE-3WV7</w:t>
      </w:r>
      <w:r>
        <w:t xml:space="preserve">] (defining “epicure” as </w:t>
      </w:r>
      <w:r w:rsidR="00021567">
        <w:t>“</w:t>
      </w:r>
      <w:r w:rsidR="00021567" w:rsidRPr="00021567">
        <w:t>one devoted to sensual pleasure</w:t>
      </w:r>
      <w:r w:rsidR="00021567">
        <w:t>” and noting that “</w:t>
      </w:r>
      <w:r w:rsidR="00094D01" w:rsidRPr="00094D01">
        <w:t>Detractors of Epicurus in his own time and later</w:t>
      </w:r>
      <w:r w:rsidR="00094D01">
        <w:t>. . .</w:t>
      </w:r>
      <w:r w:rsidR="00094D01" w:rsidRPr="00094D01">
        <w:t xml:space="preserve"> reduced </w:t>
      </w:r>
      <w:r w:rsidR="00667BC8">
        <w:t>[Epicurus’]</w:t>
      </w:r>
      <w:r w:rsidR="00094D01" w:rsidRPr="00094D01">
        <w:t xml:space="preserve"> notions of pleasure to material and sensual gratification.</w:t>
      </w:r>
      <w:r w:rsidR="00094D01">
        <w:t>”)</w:t>
      </w:r>
      <w:r w:rsidR="00E55F2F">
        <w:t xml:space="preserve">; </w:t>
      </w:r>
      <w:r w:rsidR="00E55F2F" w:rsidRPr="00FD215C">
        <w:rPr>
          <w:smallCaps/>
        </w:rPr>
        <w:t>Annas</w:t>
      </w:r>
      <w:r w:rsidR="00E55F2F">
        <w:t xml:space="preserve">, supra note </w:t>
      </w:r>
      <w:r w:rsidR="00E55F2F">
        <w:fldChar w:fldCharType="begin"/>
      </w:r>
      <w:r w:rsidR="00E55F2F">
        <w:instrText xml:space="preserve"> NOTEREF _Ref174535572 \h </w:instrText>
      </w:r>
      <w:r w:rsidR="00E55F2F">
        <w:fldChar w:fldCharType="separate"/>
      </w:r>
      <w:r w:rsidR="00E55F2F">
        <w:t>70</w:t>
      </w:r>
      <w:r w:rsidR="00E55F2F">
        <w:fldChar w:fldCharType="end"/>
      </w:r>
      <w:r w:rsidR="00E55F2F">
        <w:t>, at 334–</w:t>
      </w:r>
      <w:r w:rsidR="00FD215C">
        <w:t>35.</w:t>
      </w:r>
    </w:p>
  </w:footnote>
  <w:footnote w:id="141">
    <w:p w14:paraId="0416EFA4" w14:textId="4A02A719" w:rsidR="00775C12" w:rsidRPr="00775C12" w:rsidRDefault="00775C12">
      <w:pPr>
        <w:pStyle w:val="FootnoteText"/>
      </w:pPr>
      <w:r>
        <w:rPr>
          <w:rStyle w:val="FootnoteReference"/>
        </w:rPr>
        <w:footnoteRef/>
      </w:r>
      <w:r>
        <w:t xml:space="preserve"> </w:t>
      </w:r>
      <w:r>
        <w:rPr>
          <w:i/>
          <w:iCs/>
        </w:rPr>
        <w:t>See</w:t>
      </w:r>
      <w:r>
        <w:t xml:space="preserve"> </w:t>
      </w:r>
      <w:r w:rsidRPr="007427F5">
        <w:rPr>
          <w:smallCaps/>
        </w:rPr>
        <w:t>Annas</w:t>
      </w:r>
      <w:r>
        <w:t xml:space="preserve">, </w:t>
      </w:r>
      <w:r>
        <w:rPr>
          <w:i/>
          <w:iCs/>
        </w:rPr>
        <w:t>supra</w:t>
      </w:r>
      <w:r>
        <w:t xml:space="preserve"> note </w:t>
      </w:r>
      <w:r>
        <w:fldChar w:fldCharType="begin"/>
      </w:r>
      <w:r>
        <w:instrText xml:space="preserve"> NOTEREF _Ref174535572 \h </w:instrText>
      </w:r>
      <w:r>
        <w:fldChar w:fldCharType="separate"/>
      </w:r>
      <w:r w:rsidR="00B3355A">
        <w:t>70</w:t>
      </w:r>
      <w:r>
        <w:fldChar w:fldCharType="end"/>
      </w:r>
      <w:r>
        <w:t xml:space="preserve">, at </w:t>
      </w:r>
      <w:r w:rsidR="007427F5">
        <w:t>334.</w:t>
      </w:r>
    </w:p>
  </w:footnote>
  <w:footnote w:id="142">
    <w:p w14:paraId="6234CD1D" w14:textId="2ABD82D6" w:rsidR="006127AE" w:rsidRPr="006127AE" w:rsidRDefault="006127AE">
      <w:pPr>
        <w:pStyle w:val="FootnoteText"/>
      </w:pPr>
      <w:r>
        <w:rPr>
          <w:rStyle w:val="FootnoteReference"/>
        </w:rPr>
        <w:footnoteRef/>
      </w:r>
      <w:r>
        <w:t xml:space="preserve"> </w:t>
      </w:r>
      <w:r>
        <w:rPr>
          <w:i/>
          <w:iCs/>
        </w:rPr>
        <w:t>Id.</w:t>
      </w:r>
      <w:r>
        <w:t xml:space="preserve"> at 190.</w:t>
      </w:r>
    </w:p>
  </w:footnote>
  <w:footnote w:id="143">
    <w:p w14:paraId="283F35A3" w14:textId="4D6E45F2" w:rsidR="00D43A52" w:rsidRPr="00D43A52" w:rsidRDefault="00D43A52">
      <w:pPr>
        <w:pStyle w:val="FootnoteText"/>
      </w:pPr>
      <w:r>
        <w:rPr>
          <w:rStyle w:val="FootnoteReference"/>
        </w:rPr>
        <w:footnoteRef/>
      </w:r>
      <w:r>
        <w:t xml:space="preserve"> </w:t>
      </w:r>
      <w:r>
        <w:rPr>
          <w:i/>
          <w:iCs/>
        </w:rPr>
        <w:t>Id.</w:t>
      </w:r>
      <w:r>
        <w:t xml:space="preserve"> at </w:t>
      </w:r>
      <w:r w:rsidR="004B7E3C">
        <w:t xml:space="preserve">190, </w:t>
      </w:r>
      <w:r>
        <w:t>337</w:t>
      </w:r>
    </w:p>
  </w:footnote>
  <w:footnote w:id="144">
    <w:p w14:paraId="3228E44B" w14:textId="2A92C9C9" w:rsidR="000F6820" w:rsidRPr="000F6820" w:rsidRDefault="000F6820">
      <w:pPr>
        <w:pStyle w:val="FootnoteText"/>
      </w:pPr>
      <w:r>
        <w:rPr>
          <w:rStyle w:val="FootnoteReference"/>
        </w:rPr>
        <w:footnoteRef/>
      </w:r>
      <w:r>
        <w:t xml:space="preserve"> </w:t>
      </w:r>
      <w:r>
        <w:rPr>
          <w:i/>
          <w:iCs/>
        </w:rPr>
        <w:t>See id.</w:t>
      </w:r>
      <w:r>
        <w:t xml:space="preserve"> at 337</w:t>
      </w:r>
      <w:r w:rsidR="00325177">
        <w:t xml:space="preserve"> (noting that </w:t>
      </w:r>
      <w:r w:rsidR="001B4DCE">
        <w:t>“the natural/not natural distinction cuts right across that of mental and bodily”).</w:t>
      </w:r>
    </w:p>
  </w:footnote>
  <w:footnote w:id="145">
    <w:p w14:paraId="293B2B04" w14:textId="5BC7993A" w:rsidR="00BD3422" w:rsidRPr="00BD3422" w:rsidRDefault="00BD3422" w:rsidP="00BD3422">
      <w:pPr>
        <w:pStyle w:val="FootnoteText"/>
      </w:pPr>
      <w:r>
        <w:rPr>
          <w:rStyle w:val="FootnoteReference"/>
        </w:rPr>
        <w:footnoteRef/>
      </w:r>
      <w:r>
        <w:t xml:space="preserve"> </w:t>
      </w:r>
      <w:r>
        <w:rPr>
          <w:i/>
          <w:iCs/>
        </w:rPr>
        <w:t>Id.</w:t>
      </w:r>
      <w:r>
        <w:t xml:space="preserve"> at 190.</w:t>
      </w:r>
    </w:p>
  </w:footnote>
  <w:footnote w:id="146">
    <w:p w14:paraId="0B1B0CD5" w14:textId="535C2E8A" w:rsidR="00000320" w:rsidRPr="004C61C2" w:rsidRDefault="00000320">
      <w:pPr>
        <w:pStyle w:val="FootnoteText"/>
      </w:pPr>
      <w:r>
        <w:rPr>
          <w:rStyle w:val="FootnoteReference"/>
        </w:rPr>
        <w:footnoteRef/>
      </w:r>
      <w:r>
        <w:t xml:space="preserve"> </w:t>
      </w:r>
      <w:r>
        <w:rPr>
          <w:i/>
          <w:iCs/>
        </w:rPr>
        <w:t>Id.</w:t>
      </w:r>
      <w:r w:rsidR="004C61C2">
        <w:t xml:space="preserve"> </w:t>
      </w:r>
      <w:r w:rsidR="00BA1F0F">
        <w:t xml:space="preserve">at 336–37 </w:t>
      </w:r>
      <w:r w:rsidR="004C61C2">
        <w:t>(“the Epicurean strategy for living the best life is directed at finding and following natural desires.”).</w:t>
      </w:r>
    </w:p>
  </w:footnote>
  <w:footnote w:id="147">
    <w:p w14:paraId="7147580F" w14:textId="626D1D83" w:rsidR="00691EED" w:rsidRPr="00BA1F0F" w:rsidRDefault="00691EED">
      <w:pPr>
        <w:pStyle w:val="FootnoteText"/>
      </w:pPr>
      <w:r>
        <w:rPr>
          <w:rStyle w:val="FootnoteReference"/>
        </w:rPr>
        <w:footnoteRef/>
      </w:r>
      <w:r>
        <w:t xml:space="preserve"> </w:t>
      </w:r>
      <w:r>
        <w:rPr>
          <w:i/>
          <w:iCs/>
        </w:rPr>
        <w:t>Id.</w:t>
      </w:r>
      <w:r w:rsidR="00BA1F0F">
        <w:t xml:space="preserve"> at 190.</w:t>
      </w:r>
    </w:p>
  </w:footnote>
  <w:footnote w:id="148">
    <w:p w14:paraId="02221320" w14:textId="720BE6F9" w:rsidR="00FF129F" w:rsidRPr="00FF129F" w:rsidRDefault="00FF129F">
      <w:pPr>
        <w:pStyle w:val="FootnoteText"/>
      </w:pPr>
      <w:r>
        <w:rPr>
          <w:rStyle w:val="FootnoteReference"/>
        </w:rPr>
        <w:footnoteRef/>
      </w:r>
      <w:r>
        <w:t xml:space="preserve"> </w:t>
      </w:r>
      <w:r>
        <w:rPr>
          <w:i/>
          <w:iCs/>
        </w:rPr>
        <w:t>Id.</w:t>
      </w:r>
    </w:p>
  </w:footnote>
  <w:footnote w:id="149">
    <w:p w14:paraId="32CF107C" w14:textId="12FDBE3E" w:rsidR="00200FA2" w:rsidRPr="00200FA2" w:rsidRDefault="00200FA2">
      <w:pPr>
        <w:pStyle w:val="FootnoteText"/>
      </w:pPr>
      <w:r>
        <w:rPr>
          <w:rStyle w:val="FootnoteReference"/>
        </w:rPr>
        <w:footnoteRef/>
      </w:r>
      <w:r>
        <w:t xml:space="preserve"> </w:t>
      </w:r>
      <w:r>
        <w:rPr>
          <w:i/>
          <w:iCs/>
        </w:rPr>
        <w:t>Id.</w:t>
      </w:r>
      <w:r>
        <w:t xml:space="preserve"> at </w:t>
      </w:r>
      <w:r w:rsidR="007866F3">
        <w:t>191–93.</w:t>
      </w:r>
    </w:p>
  </w:footnote>
  <w:footnote w:id="150">
    <w:p w14:paraId="551882EB" w14:textId="725B4422" w:rsidR="0058018A" w:rsidRPr="0058018A" w:rsidRDefault="0058018A">
      <w:pPr>
        <w:pStyle w:val="FootnoteText"/>
      </w:pPr>
      <w:r>
        <w:rPr>
          <w:rStyle w:val="FootnoteReference"/>
        </w:rPr>
        <w:footnoteRef/>
      </w:r>
      <w:r>
        <w:t xml:space="preserve"> </w:t>
      </w:r>
      <w:r>
        <w:rPr>
          <w:i/>
          <w:iCs/>
        </w:rPr>
        <w:t>Id.</w:t>
      </w:r>
      <w:r>
        <w:t xml:space="preserve"> at 191.</w:t>
      </w:r>
    </w:p>
  </w:footnote>
  <w:footnote w:id="151">
    <w:p w14:paraId="1EF31701" w14:textId="080A0A46" w:rsidR="00A10CAE" w:rsidRPr="00A10CAE" w:rsidRDefault="00A10CAE">
      <w:pPr>
        <w:pStyle w:val="FootnoteText"/>
      </w:pPr>
      <w:r>
        <w:rPr>
          <w:rStyle w:val="FootnoteReference"/>
        </w:rPr>
        <w:footnoteRef/>
      </w:r>
      <w:r>
        <w:t xml:space="preserve"> See </w:t>
      </w:r>
      <w:r>
        <w:rPr>
          <w:i/>
          <w:iCs/>
        </w:rPr>
        <w:t>id.</w:t>
      </w:r>
      <w:r>
        <w:t xml:space="preserve"> at 191–92 (“</w:t>
      </w:r>
      <w:proofErr w:type="gramStart"/>
      <w:r>
        <w:t>Non-necessary</w:t>
      </w:r>
      <w:proofErr w:type="gramEnd"/>
      <w:r>
        <w:t xml:space="preserve"> desires will just be desires whose objects we do not need, and which do not bring pain if not satisfied.”). </w:t>
      </w:r>
    </w:p>
  </w:footnote>
  <w:footnote w:id="152">
    <w:p w14:paraId="75B3404E" w14:textId="64792063" w:rsidR="002A1182" w:rsidRPr="002A1182" w:rsidRDefault="002A1182">
      <w:pPr>
        <w:pStyle w:val="FootnoteText"/>
      </w:pPr>
      <w:r>
        <w:rPr>
          <w:rStyle w:val="FootnoteReference"/>
        </w:rPr>
        <w:footnoteRef/>
      </w:r>
      <w:r>
        <w:t xml:space="preserve"> </w:t>
      </w:r>
      <w:r>
        <w:rPr>
          <w:i/>
          <w:iCs/>
        </w:rPr>
        <w:t>Id.</w:t>
      </w:r>
      <w:r>
        <w:t xml:space="preserve"> at 192–23. </w:t>
      </w:r>
      <w:r w:rsidR="00766E25">
        <w:t>Annas acknowledges that</w:t>
      </w:r>
      <w:r w:rsidR="00480866">
        <w:t xml:space="preserve"> Epicurus did not explicitly articulate</w:t>
      </w:r>
      <w:r w:rsidR="00766E25">
        <w:t xml:space="preserve"> this generic/specific distinction </w:t>
      </w:r>
      <w:r w:rsidR="00480866">
        <w:t>within any of the extant texts, but</w:t>
      </w:r>
      <w:r w:rsidR="00FA0BEE">
        <w:t xml:space="preserve"> I</w:t>
      </w:r>
      <w:r w:rsidR="006B0DF8">
        <w:t xml:space="preserve"> share her belief that its explanatory power is </w:t>
      </w:r>
      <w:r w:rsidR="00707FED">
        <w:t>strong enough to make it implicit in</w:t>
      </w:r>
      <w:r w:rsidR="00BD3F0F">
        <w:t xml:space="preserve"> his theory of desire.</w:t>
      </w:r>
      <w:r w:rsidR="00BB56F4">
        <w:t xml:space="preserve"> </w:t>
      </w:r>
      <w:r w:rsidR="00BB56F4">
        <w:rPr>
          <w:i/>
          <w:iCs/>
        </w:rPr>
        <w:t>See id.</w:t>
      </w:r>
      <w:r w:rsidR="006B0DF8">
        <w:t xml:space="preserve"> </w:t>
      </w:r>
      <w:r w:rsidR="00766E25">
        <w:t xml:space="preserve"> </w:t>
      </w:r>
    </w:p>
  </w:footnote>
  <w:footnote w:id="153">
    <w:p w14:paraId="2FE94BFD" w14:textId="459DF407" w:rsidR="009250FE" w:rsidRPr="009250FE" w:rsidRDefault="009250FE">
      <w:pPr>
        <w:pStyle w:val="FootnoteText"/>
      </w:pPr>
      <w:r>
        <w:rPr>
          <w:rStyle w:val="FootnoteReference"/>
        </w:rPr>
        <w:footnoteRef/>
      </w:r>
      <w:r>
        <w:t xml:space="preserve"> </w:t>
      </w:r>
      <w:r>
        <w:rPr>
          <w:i/>
          <w:iCs/>
        </w:rPr>
        <w:t>Id.</w:t>
      </w:r>
    </w:p>
  </w:footnote>
  <w:footnote w:id="154">
    <w:p w14:paraId="71BBB66A" w14:textId="4B3E50C0" w:rsidR="00C1274A" w:rsidRPr="00C1274A" w:rsidRDefault="00C1274A">
      <w:pPr>
        <w:pStyle w:val="FootnoteText"/>
      </w:pPr>
      <w:r>
        <w:rPr>
          <w:rStyle w:val="FootnoteReference"/>
        </w:rPr>
        <w:footnoteRef/>
      </w:r>
      <w:r>
        <w:t xml:space="preserve"> </w:t>
      </w:r>
      <w:r>
        <w:rPr>
          <w:i/>
          <w:iCs/>
        </w:rPr>
        <w:t>Id.</w:t>
      </w:r>
      <w:r>
        <w:t xml:space="preserve"> </w:t>
      </w:r>
      <w:r w:rsidR="00474C2E">
        <w:t>at 192.</w:t>
      </w:r>
    </w:p>
  </w:footnote>
  <w:footnote w:id="155">
    <w:p w14:paraId="55ABFD1E" w14:textId="2A306BEE" w:rsidR="00442BDF" w:rsidRDefault="00442BDF">
      <w:pPr>
        <w:pStyle w:val="FootnoteText"/>
      </w:pPr>
      <w:r>
        <w:rPr>
          <w:rStyle w:val="FootnoteReference"/>
        </w:rPr>
        <w:footnoteRef/>
      </w:r>
      <w:r>
        <w:t xml:space="preserve"> The </w:t>
      </w:r>
      <w:r w:rsidR="00543D6E">
        <w:t>necessary/empty box is blacked-out</w:t>
      </w:r>
      <w:r w:rsidR="00110980">
        <w:t xml:space="preserve"> because </w:t>
      </w:r>
      <w:r w:rsidR="00543D6E">
        <w:t xml:space="preserve">empty desires </w:t>
      </w:r>
      <w:proofErr w:type="gramStart"/>
      <w:r w:rsidR="00543D6E">
        <w:t>by definition cannot</w:t>
      </w:r>
      <w:proofErr w:type="gramEnd"/>
      <w:r w:rsidR="00543D6E">
        <w:t xml:space="preserve"> be necessary.</w:t>
      </w:r>
    </w:p>
  </w:footnote>
  <w:footnote w:id="156">
    <w:p w14:paraId="7679E4E9" w14:textId="67DAA8BD" w:rsidR="00A112D3" w:rsidRPr="00A112D3" w:rsidRDefault="00A112D3">
      <w:pPr>
        <w:pStyle w:val="FootnoteText"/>
      </w:pPr>
      <w:r>
        <w:rPr>
          <w:rStyle w:val="FootnoteReference"/>
        </w:rPr>
        <w:footnoteRef/>
      </w:r>
      <w:r>
        <w:t xml:space="preserve"> </w:t>
      </w:r>
      <w:r>
        <w:rPr>
          <w:i/>
          <w:iCs/>
        </w:rPr>
        <w:t>See</w:t>
      </w:r>
      <w:r>
        <w:t xml:space="preserve"> </w:t>
      </w:r>
      <w:r>
        <w:rPr>
          <w:i/>
          <w:iCs/>
        </w:rPr>
        <w:t>supra</w:t>
      </w:r>
      <w:r>
        <w:t xml:space="preserve"> notes </w:t>
      </w:r>
      <w:r w:rsidR="005C7AAB">
        <w:fldChar w:fldCharType="begin"/>
      </w:r>
      <w:r w:rsidR="005C7AAB">
        <w:instrText xml:space="preserve"> NOTEREF _Ref174702456 \h </w:instrText>
      </w:r>
      <w:r w:rsidR="005C7AAB">
        <w:fldChar w:fldCharType="separate"/>
      </w:r>
      <w:r w:rsidR="00B3355A">
        <w:t>101</w:t>
      </w:r>
      <w:r w:rsidR="005C7AAB">
        <w:fldChar w:fldCharType="end"/>
      </w:r>
      <w:r w:rsidR="005C7AAB">
        <w:t>–</w:t>
      </w:r>
      <w:r w:rsidR="005C7AAB">
        <w:fldChar w:fldCharType="begin"/>
      </w:r>
      <w:r w:rsidR="005C7AAB">
        <w:instrText xml:space="preserve"> NOTEREF _Ref174702479 \h </w:instrText>
      </w:r>
      <w:r w:rsidR="005C7AAB">
        <w:fldChar w:fldCharType="separate"/>
      </w:r>
      <w:r w:rsidR="00B3355A">
        <w:t>118</w:t>
      </w:r>
      <w:r w:rsidR="005C7AAB">
        <w:fldChar w:fldCharType="end"/>
      </w:r>
      <w:r w:rsidR="005C7AAB">
        <w:t xml:space="preserve"> and accompanying text.</w:t>
      </w:r>
    </w:p>
  </w:footnote>
  <w:footnote w:id="157">
    <w:p w14:paraId="7EF76959" w14:textId="682A4EF6" w:rsidR="004F0851" w:rsidRPr="002229AA" w:rsidRDefault="004F0851">
      <w:pPr>
        <w:pStyle w:val="FootnoteText"/>
      </w:pPr>
      <w:r>
        <w:rPr>
          <w:rStyle w:val="FootnoteReference"/>
        </w:rPr>
        <w:footnoteRef/>
      </w:r>
      <w:r>
        <w:t xml:space="preserve"> </w:t>
      </w:r>
      <w:r w:rsidR="002229AA">
        <w:rPr>
          <w:i/>
          <w:iCs/>
        </w:rPr>
        <w:t>See</w:t>
      </w:r>
      <w:r w:rsidR="002229AA">
        <w:t xml:space="preserve"> Murray, </w:t>
      </w:r>
      <w:r w:rsidR="002229AA">
        <w:rPr>
          <w:i/>
          <w:iCs/>
        </w:rPr>
        <w:t>supra</w:t>
      </w:r>
      <w:r w:rsidR="002229AA">
        <w:t xml:space="preserve"> note </w:t>
      </w:r>
      <w:r w:rsidR="002229AA">
        <w:fldChar w:fldCharType="begin"/>
      </w:r>
      <w:r w:rsidR="002229AA">
        <w:instrText xml:space="preserve"> NOTEREF _Ref174791011 \h </w:instrText>
      </w:r>
      <w:r w:rsidR="002229AA">
        <w:fldChar w:fldCharType="separate"/>
      </w:r>
      <w:r w:rsidR="00B3355A">
        <w:t>117</w:t>
      </w:r>
      <w:r w:rsidR="002229AA">
        <w:fldChar w:fldCharType="end"/>
      </w:r>
      <w:r w:rsidR="002229AA">
        <w:t xml:space="preserve">, at </w:t>
      </w:r>
      <w:r w:rsidR="00B90E75">
        <w:t>x.</w:t>
      </w:r>
    </w:p>
  </w:footnote>
  <w:footnote w:id="158">
    <w:p w14:paraId="256C8D19" w14:textId="5858222E" w:rsidR="007900AA" w:rsidRDefault="007900AA">
      <w:pPr>
        <w:pStyle w:val="FootnoteText"/>
      </w:pPr>
      <w:r>
        <w:rPr>
          <w:rStyle w:val="FootnoteReference"/>
        </w:rPr>
        <w:footnoteRef/>
      </w:r>
      <w:r>
        <w:t xml:space="preserve"> [</w:t>
      </w:r>
      <w:r w:rsidRPr="007900AA">
        <w:rPr>
          <w:highlight w:val="yellow"/>
        </w:rPr>
        <w:t>Cite</w:t>
      </w:r>
      <w:r>
        <w:t>] re aromantic and asexual people.</w:t>
      </w:r>
    </w:p>
  </w:footnote>
  <w:footnote w:id="159">
    <w:p w14:paraId="0CB3A1C6" w14:textId="354AF476" w:rsidR="007900AA" w:rsidRDefault="007900AA">
      <w:pPr>
        <w:pStyle w:val="FootnoteText"/>
      </w:pPr>
      <w:r>
        <w:rPr>
          <w:rStyle w:val="FootnoteReference"/>
        </w:rPr>
        <w:footnoteRef/>
      </w:r>
      <w:r>
        <w:t xml:space="preserve"> [</w:t>
      </w:r>
      <w:r w:rsidRPr="007900AA">
        <w:rPr>
          <w:highlight w:val="yellow"/>
        </w:rPr>
        <w:t>Cite</w:t>
      </w:r>
      <w:r>
        <w:t>].</w:t>
      </w:r>
    </w:p>
  </w:footnote>
  <w:footnote w:id="160">
    <w:p w14:paraId="68D7A3D3" w14:textId="163DA35B" w:rsidR="00F643BC" w:rsidRDefault="00F643BC">
      <w:pPr>
        <w:pStyle w:val="FootnoteText"/>
      </w:pPr>
      <w:r>
        <w:rPr>
          <w:rStyle w:val="FootnoteReference"/>
        </w:rPr>
        <w:footnoteRef/>
      </w:r>
      <w:r>
        <w:t xml:space="preserve"> </w:t>
      </w:r>
      <w:r w:rsidR="0013553A">
        <w:rPr>
          <w:i/>
          <w:iCs/>
        </w:rPr>
        <w:t>See</w:t>
      </w:r>
      <w:r w:rsidR="0013553A">
        <w:t xml:space="preserve"> </w:t>
      </w:r>
      <w:r w:rsidR="0013553A" w:rsidRPr="00F643BC">
        <w:rPr>
          <w:smallCaps/>
        </w:rPr>
        <w:t>Wilde</w:t>
      </w:r>
      <w:r w:rsidR="0013553A">
        <w:t xml:space="preserve">, </w:t>
      </w:r>
      <w:r w:rsidR="0013553A">
        <w:rPr>
          <w:i/>
          <w:iCs/>
        </w:rPr>
        <w:t>supra</w:t>
      </w:r>
      <w:r w:rsidR="0013553A">
        <w:t xml:space="preserve"> note </w:t>
      </w:r>
      <w:r w:rsidR="0013553A">
        <w:fldChar w:fldCharType="begin"/>
      </w:r>
      <w:r w:rsidR="0013553A">
        <w:instrText xml:space="preserve"> NOTEREF _Ref174702456 \h </w:instrText>
      </w:r>
      <w:r w:rsidR="0013553A">
        <w:fldChar w:fldCharType="separate"/>
      </w:r>
      <w:r w:rsidR="00B3355A">
        <w:t>101</w:t>
      </w:r>
      <w:r w:rsidR="0013553A">
        <w:fldChar w:fldCharType="end"/>
      </w:r>
      <w:r w:rsidR="0013553A">
        <w:t>, at 1–12 (“</w:t>
      </w:r>
      <w:r w:rsidR="007269F8">
        <w:t>‘</w:t>
      </w:r>
      <w:r w:rsidR="0013553A">
        <w:t xml:space="preserve">As long as I </w:t>
      </w:r>
      <w:r w:rsidR="00C05827">
        <w:t xml:space="preserve">[Basil] </w:t>
      </w:r>
      <w:r w:rsidR="0013553A">
        <w:t>live, the personality of Dorian Gray will dominate me.</w:t>
      </w:r>
      <w:r w:rsidR="007269F8">
        <w:t>’</w:t>
      </w:r>
      <w:r w:rsidR="0013553A">
        <w:t>”).</w:t>
      </w:r>
    </w:p>
  </w:footnote>
  <w:footnote w:id="161">
    <w:p w14:paraId="3A668606" w14:textId="5ECE2813" w:rsidR="0013553A" w:rsidRPr="00743B15" w:rsidRDefault="0013553A">
      <w:pPr>
        <w:pStyle w:val="FootnoteText"/>
      </w:pPr>
      <w:r>
        <w:rPr>
          <w:rStyle w:val="FootnoteReference"/>
        </w:rPr>
        <w:footnoteRef/>
      </w:r>
      <w:r>
        <w:t xml:space="preserve"> </w:t>
      </w:r>
      <w:r>
        <w:rPr>
          <w:i/>
          <w:iCs/>
        </w:rPr>
        <w:t>See id.</w:t>
      </w:r>
      <w:r>
        <w:t xml:space="preserve"> at 120–21, 129–31.</w:t>
      </w:r>
      <w:r w:rsidR="000B19CE">
        <w:t xml:space="preserve"> </w:t>
      </w:r>
      <w:r w:rsidR="00743B15">
        <w:rPr>
          <w:i/>
          <w:iCs/>
        </w:rPr>
        <w:t>But see</w:t>
      </w:r>
      <w:r w:rsidR="00743B15">
        <w:t xml:space="preserve"> </w:t>
      </w:r>
      <w:r w:rsidR="00743B15">
        <w:rPr>
          <w:i/>
          <w:iCs/>
        </w:rPr>
        <w:t>id.</w:t>
      </w:r>
      <w:r w:rsidR="00743B15">
        <w:t xml:space="preserve"> at 125–26 (“</w:t>
      </w:r>
      <w:r w:rsidR="007269F8">
        <w:t>‘</w:t>
      </w:r>
      <w:r w:rsidR="00C05827">
        <w:t>As for what I [Basil] said</w:t>
      </w:r>
      <w:r w:rsidR="0048257D">
        <w:t xml:space="preserve"> to you [Dorian]</w:t>
      </w:r>
      <w:r w:rsidR="00C05827">
        <w:t xml:space="preserve"> tonight,</w:t>
      </w:r>
      <w:r w:rsidR="0048257D">
        <w:t xml:space="preserve"> I have said it for your good. You know I have always been a staunch friend to you.</w:t>
      </w:r>
      <w:r w:rsidR="007269F8">
        <w:t>’</w:t>
      </w:r>
      <w:r w:rsidR="0048257D">
        <w:t>”).</w:t>
      </w:r>
      <w:r w:rsidR="00C05827">
        <w:t xml:space="preserve"> </w:t>
      </w:r>
    </w:p>
  </w:footnote>
  <w:footnote w:id="162">
    <w:p w14:paraId="106733EA" w14:textId="555AC35E" w:rsidR="004B6375" w:rsidRPr="00C50CFB" w:rsidRDefault="004B6375">
      <w:pPr>
        <w:pStyle w:val="FootnoteText"/>
      </w:pPr>
      <w:r>
        <w:rPr>
          <w:rStyle w:val="FootnoteReference"/>
        </w:rPr>
        <w:footnoteRef/>
      </w:r>
      <w:r>
        <w:t xml:space="preserve"> </w:t>
      </w:r>
      <w:r w:rsidR="00C50CFB">
        <w:rPr>
          <w:i/>
          <w:iCs/>
        </w:rPr>
        <w:t>See supra</w:t>
      </w:r>
      <w:r w:rsidR="00C50CFB">
        <w:t xml:space="preserve"> note</w:t>
      </w:r>
      <w:r w:rsidR="00AA250B">
        <w:t>s</w:t>
      </w:r>
      <w:r w:rsidR="00C50CFB">
        <w:t xml:space="preserve"> </w:t>
      </w:r>
      <w:r w:rsidR="00144B89">
        <w:fldChar w:fldCharType="begin"/>
      </w:r>
      <w:r w:rsidR="00144B89">
        <w:instrText xml:space="preserve"> NOTEREF _Ref174793235 \h </w:instrText>
      </w:r>
      <w:r w:rsidR="00144B89">
        <w:fldChar w:fldCharType="separate"/>
      </w:r>
      <w:r w:rsidR="00B3355A">
        <w:t>103</w:t>
      </w:r>
      <w:r w:rsidR="00144B89">
        <w:fldChar w:fldCharType="end"/>
      </w:r>
      <w:r w:rsidR="00144B89">
        <w:t>–</w:t>
      </w:r>
      <w:r w:rsidR="00144B89">
        <w:fldChar w:fldCharType="begin"/>
      </w:r>
      <w:r w:rsidR="00144B89">
        <w:instrText xml:space="preserve"> NOTEREF _Ref174793239 \h </w:instrText>
      </w:r>
      <w:r w:rsidR="00144B89">
        <w:fldChar w:fldCharType="separate"/>
      </w:r>
      <w:r w:rsidR="00B3355A">
        <w:t>105</w:t>
      </w:r>
      <w:r w:rsidR="00144B89">
        <w:fldChar w:fldCharType="end"/>
      </w:r>
      <w:r w:rsidR="00AA250B">
        <w:t xml:space="preserve"> and accompanying text</w:t>
      </w:r>
      <w:r w:rsidR="00144B89">
        <w:t>.</w:t>
      </w:r>
    </w:p>
  </w:footnote>
  <w:footnote w:id="163">
    <w:p w14:paraId="7DB15F38" w14:textId="7A615F08" w:rsidR="00106C3E" w:rsidRPr="00AA250B" w:rsidRDefault="00106C3E">
      <w:pPr>
        <w:pStyle w:val="FootnoteText"/>
      </w:pPr>
      <w:r>
        <w:rPr>
          <w:rStyle w:val="FootnoteReference"/>
        </w:rPr>
        <w:footnoteRef/>
      </w:r>
      <w:r>
        <w:t xml:space="preserve"> </w:t>
      </w:r>
      <w:r w:rsidR="00AA250B" w:rsidRPr="00AA250B">
        <w:rPr>
          <w:smallCaps/>
        </w:rPr>
        <w:t>Wilde</w:t>
      </w:r>
      <w:r w:rsidR="00AA250B">
        <w:t xml:space="preserve">, </w:t>
      </w:r>
      <w:r w:rsidR="00AA250B">
        <w:rPr>
          <w:i/>
          <w:iCs/>
        </w:rPr>
        <w:t>supra</w:t>
      </w:r>
      <w:r w:rsidR="00AA250B">
        <w:t xml:space="preserve"> note </w:t>
      </w:r>
      <w:r w:rsidR="00AA250B">
        <w:fldChar w:fldCharType="begin"/>
      </w:r>
      <w:r w:rsidR="00AA250B">
        <w:instrText xml:space="preserve"> NOTEREF _Ref174702456 \h </w:instrText>
      </w:r>
      <w:r w:rsidR="00AA250B">
        <w:fldChar w:fldCharType="separate"/>
      </w:r>
      <w:r w:rsidR="00B3355A">
        <w:t>101</w:t>
      </w:r>
      <w:r w:rsidR="00AA250B">
        <w:fldChar w:fldCharType="end"/>
      </w:r>
      <w:r w:rsidR="00AA250B">
        <w:t>, at 151.</w:t>
      </w:r>
    </w:p>
  </w:footnote>
  <w:footnote w:id="164">
    <w:p w14:paraId="59DC5020" w14:textId="28D6BB20" w:rsidR="002C29D6" w:rsidRPr="00B86D24" w:rsidRDefault="002C29D6">
      <w:pPr>
        <w:pStyle w:val="FootnoteText"/>
      </w:pPr>
      <w:r>
        <w:rPr>
          <w:rStyle w:val="FootnoteReference"/>
        </w:rPr>
        <w:footnoteRef/>
      </w:r>
      <w:r>
        <w:t xml:space="preserve"> </w:t>
      </w:r>
      <w:r>
        <w:rPr>
          <w:i/>
          <w:iCs/>
        </w:rPr>
        <w:t>See</w:t>
      </w:r>
      <w:r>
        <w:t xml:space="preserve"> </w:t>
      </w:r>
      <w:r w:rsidR="00B86D24">
        <w:rPr>
          <w:i/>
          <w:iCs/>
        </w:rPr>
        <w:t>id.</w:t>
      </w:r>
      <w:r w:rsidR="00B86D24">
        <w:t xml:space="preserve"> at 38–46</w:t>
      </w:r>
      <w:r w:rsidR="006409F4">
        <w:t xml:space="preserve">, 120–21, 129–31, </w:t>
      </w:r>
      <w:r w:rsidR="009276DD">
        <w:t>156–58.</w:t>
      </w:r>
    </w:p>
  </w:footnote>
  <w:footnote w:id="165">
    <w:p w14:paraId="677D6E9E" w14:textId="5A20B9AD" w:rsidR="00756A57" w:rsidRPr="00756A57" w:rsidRDefault="00756A57">
      <w:pPr>
        <w:pStyle w:val="FootnoteText"/>
      </w:pPr>
      <w:r>
        <w:rPr>
          <w:rStyle w:val="FootnoteReference"/>
        </w:rPr>
        <w:footnoteRef/>
      </w:r>
      <w:r>
        <w:t xml:space="preserve"> </w:t>
      </w:r>
      <w:r>
        <w:rPr>
          <w:i/>
          <w:iCs/>
        </w:rPr>
        <w:t>See id.</w:t>
      </w:r>
      <w:r>
        <w:t xml:space="preserve"> at </w:t>
      </w:r>
      <w:r w:rsidR="008B2284">
        <w:t>35</w:t>
      </w:r>
      <w:r w:rsidR="00BE6EA8">
        <w:t>–36</w:t>
      </w:r>
    </w:p>
  </w:footnote>
  <w:footnote w:id="166">
    <w:p w14:paraId="526F3A1F" w14:textId="2FBBC030" w:rsidR="009276DD" w:rsidRPr="009276DD" w:rsidRDefault="009276DD">
      <w:pPr>
        <w:pStyle w:val="FootnoteText"/>
      </w:pPr>
      <w:r>
        <w:rPr>
          <w:rStyle w:val="FootnoteReference"/>
        </w:rPr>
        <w:footnoteRef/>
      </w:r>
      <w:r>
        <w:rPr>
          <w:i/>
          <w:iCs/>
        </w:rPr>
        <w:t xml:space="preserve"> See id.</w:t>
      </w:r>
      <w:r>
        <w:t xml:space="preserve"> at </w:t>
      </w:r>
      <w:r w:rsidR="007269F8">
        <w:t>151</w:t>
      </w:r>
      <w:r w:rsidR="00A67041">
        <w:t>.</w:t>
      </w:r>
    </w:p>
  </w:footnote>
  <w:footnote w:id="167">
    <w:p w14:paraId="3B7FFE05" w14:textId="3082D9B8" w:rsidR="002C5BEA" w:rsidRPr="002C5BEA" w:rsidRDefault="002C5BEA">
      <w:pPr>
        <w:pStyle w:val="FootnoteText"/>
      </w:pPr>
      <w:r>
        <w:rPr>
          <w:rStyle w:val="FootnoteReference"/>
        </w:rPr>
        <w:footnoteRef/>
      </w:r>
      <w:r>
        <w:t xml:space="preserve"> </w:t>
      </w:r>
      <w:r>
        <w:rPr>
          <w:i/>
          <w:iCs/>
        </w:rPr>
        <w:t>See</w:t>
      </w:r>
      <w:r>
        <w:t xml:space="preserve"> </w:t>
      </w:r>
      <w:r w:rsidRPr="000B31E0">
        <w:rPr>
          <w:i/>
          <w:iCs/>
        </w:rPr>
        <w:t>Luke</w:t>
      </w:r>
      <w:r>
        <w:t xml:space="preserve"> 6:43–45.</w:t>
      </w:r>
    </w:p>
  </w:footnote>
  <w:footnote w:id="168">
    <w:p w14:paraId="5BAAD20E" w14:textId="70B1B08C" w:rsidR="00EA39D7" w:rsidRPr="00EA39D7" w:rsidRDefault="00EA39D7">
      <w:pPr>
        <w:pStyle w:val="FootnoteText"/>
      </w:pPr>
      <w:r>
        <w:rPr>
          <w:rStyle w:val="FootnoteReference"/>
        </w:rPr>
        <w:footnoteRef/>
      </w:r>
      <w:r>
        <w:t xml:space="preserve"> </w:t>
      </w:r>
      <w:r>
        <w:rPr>
          <w:i/>
          <w:iCs/>
        </w:rPr>
        <w:t>See</w:t>
      </w:r>
      <w:r>
        <w:t xml:space="preserve"> </w:t>
      </w:r>
      <w:r>
        <w:rPr>
          <w:i/>
          <w:iCs/>
        </w:rPr>
        <w:t>The Scoop on ‘The Proof is in the Pudding</w:t>
      </w:r>
      <w:r>
        <w:t>,</w:t>
      </w:r>
      <w:r>
        <w:rPr>
          <w:i/>
          <w:iCs/>
        </w:rPr>
        <w:t>’</w:t>
      </w:r>
      <w:r>
        <w:t xml:space="preserve"> </w:t>
      </w:r>
      <w:r w:rsidRPr="00192009">
        <w:rPr>
          <w:smallCaps/>
        </w:rPr>
        <w:t>Merriam-Webster.com</w:t>
      </w:r>
      <w:r>
        <w:t xml:space="preserve"> (</w:t>
      </w:r>
      <w:r w:rsidR="00192009">
        <w:t xml:space="preserve">visited Aug. 17, 2024), </w:t>
      </w:r>
      <w:hyperlink r:id="rId24" w:history="1">
        <w:r w:rsidR="00192009" w:rsidRPr="00F52814">
          <w:rPr>
            <w:rStyle w:val="Hyperlink"/>
          </w:rPr>
          <w:t>https://www.merriam-webster.com/wordplay/origin-of-the-proof-is-in-the-pudding-meaning</w:t>
        </w:r>
      </w:hyperlink>
      <w:r w:rsidR="00192009">
        <w:t xml:space="preserve"> [</w:t>
      </w:r>
      <w:r w:rsidR="00192009" w:rsidRPr="00192009">
        <w:t>https://perma.cc/B4YY-K43H</w:t>
      </w:r>
      <w:r w:rsidR="00192009">
        <w:t>].</w:t>
      </w:r>
    </w:p>
  </w:footnote>
  <w:footnote w:id="169">
    <w:p w14:paraId="64036869" w14:textId="6359D966" w:rsidR="00F74BF3" w:rsidRPr="00625879" w:rsidRDefault="00F74BF3" w:rsidP="00F74BF3">
      <w:pPr>
        <w:pStyle w:val="FootnoteText"/>
      </w:pPr>
      <w:r>
        <w:rPr>
          <w:rStyle w:val="FootnoteReference"/>
        </w:rPr>
        <w:footnoteRef/>
      </w:r>
      <w:r>
        <w:t xml:space="preserve"> </w:t>
      </w:r>
      <w:r>
        <w:rPr>
          <w:i/>
          <w:iCs/>
        </w:rPr>
        <w:t>See id.</w:t>
      </w:r>
      <w:r>
        <w:t xml:space="preserve"> at 336–37; Annas, </w:t>
      </w:r>
      <w:r>
        <w:rPr>
          <w:i/>
          <w:iCs/>
        </w:rPr>
        <w:t>supra</w:t>
      </w:r>
      <w:r>
        <w:t xml:space="preserve"> note </w:t>
      </w:r>
      <w:r>
        <w:fldChar w:fldCharType="begin"/>
      </w:r>
      <w:r>
        <w:instrText xml:space="preserve"> NOTEREF _Ref174708402 \h </w:instrText>
      </w:r>
      <w:r>
        <w:fldChar w:fldCharType="separate"/>
      </w:r>
      <w:r w:rsidR="00B3355A">
        <w:t>122</w:t>
      </w:r>
      <w:r>
        <w:fldChar w:fldCharType="end"/>
      </w:r>
      <w:r>
        <w:t>, at 17 (“Epicurus in telling us how to act is bringing several factors into our judgment as to how to achieve the final good of a pleasant life, and central among these is virtue.”).</w:t>
      </w:r>
    </w:p>
  </w:footnote>
  <w:footnote w:id="170">
    <w:p w14:paraId="71C96240" w14:textId="78B87D98" w:rsidR="00F74BF3" w:rsidRPr="00DB3320" w:rsidRDefault="00F74BF3" w:rsidP="00F74BF3">
      <w:pPr>
        <w:pStyle w:val="FootnoteText"/>
      </w:pPr>
      <w:r>
        <w:rPr>
          <w:rStyle w:val="FootnoteReference"/>
        </w:rPr>
        <w:footnoteRef/>
      </w:r>
      <w:r>
        <w:t xml:space="preserve"> Jefferson to Short, </w:t>
      </w:r>
      <w:r>
        <w:rPr>
          <w:i/>
          <w:iCs/>
        </w:rPr>
        <w:t>supra</w:t>
      </w:r>
      <w:r>
        <w:t xml:space="preserve"> note </w:t>
      </w:r>
      <w:r>
        <w:fldChar w:fldCharType="begin"/>
      </w:r>
      <w:r>
        <w:instrText xml:space="preserve"> NOTEREF _Ref174708402 \h </w:instrText>
      </w:r>
      <w:r>
        <w:fldChar w:fldCharType="separate"/>
      </w:r>
      <w:r w:rsidR="00B3355A">
        <w:t>122</w:t>
      </w:r>
      <w:r>
        <w:fldChar w:fldCharType="end"/>
      </w:r>
      <w:r>
        <w:t>, encl.</w:t>
      </w:r>
      <w:r w:rsidR="00FD3802">
        <w:t xml:space="preserve"> (“Syllabus of the Doctrines of Epicurus”)</w:t>
      </w:r>
      <w:r>
        <w:t xml:space="preserve">; </w:t>
      </w:r>
      <w:r>
        <w:rPr>
          <w:i/>
          <w:iCs/>
        </w:rPr>
        <w:t>see also</w:t>
      </w:r>
      <w:r>
        <w:t xml:space="preserve"> </w:t>
      </w:r>
      <w:r w:rsidRPr="00827BF3">
        <w:rPr>
          <w:smallCaps/>
        </w:rPr>
        <w:t>Locke</w:t>
      </w:r>
      <w:r>
        <w:t xml:space="preserve">, </w:t>
      </w:r>
      <w:r>
        <w:rPr>
          <w:i/>
          <w:iCs/>
        </w:rPr>
        <w:t xml:space="preserve">supra </w:t>
      </w:r>
      <w:r>
        <w:t xml:space="preserve">note </w:t>
      </w:r>
      <w:r>
        <w:fldChar w:fldCharType="begin"/>
      </w:r>
      <w:r>
        <w:instrText xml:space="preserve"> NOTEREF _Ref174633335 \h </w:instrText>
      </w:r>
      <w:r>
        <w:fldChar w:fldCharType="separate"/>
      </w:r>
      <w:r w:rsidR="00B3355A">
        <w:t>76</w:t>
      </w:r>
      <w:r>
        <w:fldChar w:fldCharType="end"/>
      </w:r>
      <w:r>
        <w:t>, at 190–91.</w:t>
      </w:r>
    </w:p>
  </w:footnote>
  <w:footnote w:id="171">
    <w:p w14:paraId="0D0B9A66" w14:textId="0858FF15" w:rsidR="002B203F" w:rsidRPr="00FE1D46" w:rsidRDefault="002B203F">
      <w:pPr>
        <w:pStyle w:val="FootnoteText"/>
      </w:pPr>
      <w:r>
        <w:rPr>
          <w:rStyle w:val="FootnoteReference"/>
        </w:rPr>
        <w:footnoteRef/>
      </w:r>
      <w:r>
        <w:t xml:space="preserve"> </w:t>
      </w:r>
      <w:r>
        <w:rPr>
          <w:i/>
          <w:iCs/>
        </w:rPr>
        <w:t>See</w:t>
      </w:r>
      <w:r>
        <w:t xml:space="preserve"> </w:t>
      </w:r>
      <w:r w:rsidR="00FE1D46">
        <w:t xml:space="preserve">Brennan, </w:t>
      </w:r>
      <w:r w:rsidR="00FE1D46">
        <w:rPr>
          <w:i/>
          <w:iCs/>
        </w:rPr>
        <w:t>supra</w:t>
      </w:r>
      <w:r w:rsidR="00FE1D46">
        <w:t xml:space="preserve"> note </w:t>
      </w:r>
      <w:r w:rsidR="00FE1D46">
        <w:fldChar w:fldCharType="begin"/>
      </w:r>
      <w:r w:rsidR="00FE1D46">
        <w:instrText xml:space="preserve"> NOTEREF _Ref174464901 \h </w:instrText>
      </w:r>
      <w:r w:rsidR="00FE1D46">
        <w:fldChar w:fldCharType="separate"/>
      </w:r>
      <w:r w:rsidR="00B3355A">
        <w:t>60</w:t>
      </w:r>
      <w:r w:rsidR="00FE1D46">
        <w:fldChar w:fldCharType="end"/>
      </w:r>
      <w:r w:rsidR="00FE1D46">
        <w:t xml:space="preserve">, at </w:t>
      </w:r>
      <w:r w:rsidR="00CC5762">
        <w:t>13–15.</w:t>
      </w:r>
    </w:p>
  </w:footnote>
  <w:footnote w:id="172">
    <w:p w14:paraId="61E4B35D" w14:textId="527DC852" w:rsidR="007855CA" w:rsidRPr="007855CA" w:rsidRDefault="007855CA">
      <w:pPr>
        <w:pStyle w:val="FootnoteText"/>
      </w:pPr>
      <w:r>
        <w:rPr>
          <w:rStyle w:val="FootnoteReference"/>
        </w:rPr>
        <w:footnoteRef/>
      </w:r>
      <w:r>
        <w:t xml:space="preserve"> </w:t>
      </w:r>
      <w:r>
        <w:rPr>
          <w:i/>
          <w:iCs/>
        </w:rPr>
        <w:t>Id.</w:t>
      </w:r>
    </w:p>
  </w:footnote>
  <w:footnote w:id="173">
    <w:p w14:paraId="54308077" w14:textId="4C2EF53B" w:rsidR="000829FF" w:rsidRDefault="000829FF">
      <w:pPr>
        <w:pStyle w:val="FootnoteText"/>
      </w:pPr>
      <w:r>
        <w:rPr>
          <w:rStyle w:val="FootnoteReference"/>
        </w:rPr>
        <w:footnoteRef/>
      </w:r>
      <w:r>
        <w:t xml:space="preserve"> West Va. Bd. of Educ. v. Barnette, 319 U.S. 624, 638 (1943).</w:t>
      </w:r>
    </w:p>
  </w:footnote>
  <w:footnote w:id="174">
    <w:p w14:paraId="00220174" w14:textId="436C71F2" w:rsidR="004072F5" w:rsidRPr="00925179" w:rsidRDefault="004072F5">
      <w:pPr>
        <w:pStyle w:val="FootnoteText"/>
      </w:pPr>
      <w:r>
        <w:rPr>
          <w:rStyle w:val="FootnoteReference"/>
        </w:rPr>
        <w:footnoteRef/>
      </w:r>
      <w:r>
        <w:t xml:space="preserve"> </w:t>
      </w:r>
      <w:r w:rsidR="00A21E82">
        <w:rPr>
          <w:i/>
          <w:iCs/>
        </w:rPr>
        <w:t>See, e.g.</w:t>
      </w:r>
      <w:r w:rsidR="00A21E82">
        <w:t xml:space="preserve">, 303 Creative v. Elenis, </w:t>
      </w:r>
      <w:r w:rsidR="002A5125">
        <w:t>600 U.S. 570, 584–</w:t>
      </w:r>
      <w:r w:rsidR="00925179">
        <w:t xml:space="preserve">86 </w:t>
      </w:r>
      <w:r w:rsidR="009B31F3">
        <w:t xml:space="preserve">(2023) </w:t>
      </w:r>
      <w:r w:rsidR="00925179">
        <w:t xml:space="preserve">(quoting </w:t>
      </w:r>
      <w:r w:rsidR="00925179">
        <w:rPr>
          <w:i/>
          <w:iCs/>
        </w:rPr>
        <w:t>Barnette</w:t>
      </w:r>
      <w:r w:rsidR="00925179">
        <w:t>, 319 U.S. at 642).</w:t>
      </w:r>
    </w:p>
  </w:footnote>
  <w:footnote w:id="175">
    <w:p w14:paraId="0EA640D3" w14:textId="2C4F1A48" w:rsidR="00764F11" w:rsidRDefault="00764F11">
      <w:pPr>
        <w:pStyle w:val="FootnoteText"/>
      </w:pPr>
      <w:r>
        <w:rPr>
          <w:rStyle w:val="FootnoteReference"/>
        </w:rPr>
        <w:footnoteRef/>
      </w:r>
      <w:r>
        <w:t xml:space="preserve"> </w:t>
      </w:r>
      <w:r w:rsidR="00C268A9">
        <w:rPr>
          <w:i/>
          <w:iCs/>
        </w:rPr>
        <w:t>E.g.</w:t>
      </w:r>
      <w:r w:rsidR="00C268A9">
        <w:t>,</w:t>
      </w:r>
      <w:r w:rsidR="00C268A9">
        <w:rPr>
          <w:i/>
          <w:iCs/>
        </w:rPr>
        <w:t xml:space="preserve"> </w:t>
      </w:r>
      <w:r w:rsidR="00C268A9">
        <w:t xml:space="preserve">Leah Litman, </w:t>
      </w:r>
      <w:r w:rsidR="00C268A9">
        <w:rPr>
          <w:i/>
          <w:iCs/>
        </w:rPr>
        <w:t>The New Substantive Due Process</w:t>
      </w:r>
      <w:r w:rsidR="00C268A9">
        <w:t xml:space="preserve">, 102 </w:t>
      </w:r>
      <w:r w:rsidR="00C268A9" w:rsidRPr="007D7EF5">
        <w:rPr>
          <w:smallCaps/>
        </w:rPr>
        <w:t>Tex. L. Rev.</w:t>
      </w:r>
      <w:r w:rsidR="00C268A9">
        <w:t xml:space="preserve"> (forthcoming 2025) (manuscript at 8) (on file with author).</w:t>
      </w:r>
    </w:p>
  </w:footnote>
  <w:footnote w:id="176">
    <w:p w14:paraId="036A39F0" w14:textId="4F95EDAD" w:rsidR="00EA78A8" w:rsidRPr="00D118EF" w:rsidRDefault="00EA78A8">
      <w:pPr>
        <w:pStyle w:val="FootnoteText"/>
      </w:pPr>
      <w:r>
        <w:rPr>
          <w:rStyle w:val="FootnoteReference"/>
        </w:rPr>
        <w:footnoteRef/>
      </w:r>
      <w:r>
        <w:t xml:space="preserve"> </w:t>
      </w:r>
      <w:r w:rsidR="000B31E0">
        <w:rPr>
          <w:i/>
          <w:iCs/>
        </w:rPr>
        <w:t>E.g.</w:t>
      </w:r>
      <w:r w:rsidR="000B31E0">
        <w:t xml:space="preserve">, </w:t>
      </w:r>
      <w:r w:rsidR="00C268A9">
        <w:rPr>
          <w:i/>
          <w:iCs/>
        </w:rPr>
        <w:t>id.</w:t>
      </w:r>
      <w:r w:rsidR="004A4A2B">
        <w:t xml:space="preserve"> (manuscript at 6)</w:t>
      </w:r>
      <w:r w:rsidR="00423A2C">
        <w:t xml:space="preserve">. </w:t>
      </w:r>
      <w:r w:rsidR="00423A2C">
        <w:rPr>
          <w:i/>
          <w:iCs/>
        </w:rPr>
        <w:t>But see</w:t>
      </w:r>
      <w:r w:rsidR="00423A2C">
        <w:t xml:space="preserve"> </w:t>
      </w:r>
      <w:r w:rsidR="00423A2C">
        <w:rPr>
          <w:i/>
          <w:iCs/>
        </w:rPr>
        <w:t>id.</w:t>
      </w:r>
      <w:r w:rsidR="00423A2C">
        <w:t xml:space="preserve"> </w:t>
      </w:r>
      <w:r w:rsidR="00C268A9">
        <w:t>(manuscript at 7)</w:t>
      </w:r>
      <w:r w:rsidR="00423A2C">
        <w:t xml:space="preserve"> (“The written Constitution has some indication that there is a set of not-explicitly-spelled-out</w:t>
      </w:r>
      <w:r w:rsidR="00D118EF">
        <w:t xml:space="preserve"> substantive rights that are protected from government interference.”); Brennan, </w:t>
      </w:r>
      <w:r w:rsidR="00D118EF">
        <w:rPr>
          <w:i/>
          <w:iCs/>
        </w:rPr>
        <w:t>supra</w:t>
      </w:r>
      <w:r w:rsidR="00D118EF">
        <w:t xml:space="preserve"> note </w:t>
      </w:r>
      <w:r w:rsidR="00D118EF">
        <w:fldChar w:fldCharType="begin"/>
      </w:r>
      <w:r w:rsidR="00D118EF">
        <w:instrText xml:space="preserve"> NOTEREF _Ref174464901 \h </w:instrText>
      </w:r>
      <w:r w:rsidR="00D118EF">
        <w:fldChar w:fldCharType="separate"/>
      </w:r>
      <w:r w:rsidR="00B3355A">
        <w:t>60</w:t>
      </w:r>
      <w:r w:rsidR="00D118EF">
        <w:fldChar w:fldCharType="end"/>
      </w:r>
      <w:r w:rsidR="00D118EF">
        <w:t xml:space="preserve">, at </w:t>
      </w:r>
      <w:r w:rsidR="00CC7E4A">
        <w:t>13 (noting the “open-ended[ness]” of other, seemingly more specific Constitutional provisions).</w:t>
      </w:r>
    </w:p>
  </w:footnote>
  <w:footnote w:id="177">
    <w:p w14:paraId="52D73C82" w14:textId="3355498D" w:rsidR="00014F80" w:rsidRDefault="00014F80">
      <w:pPr>
        <w:pStyle w:val="FootnoteText"/>
      </w:pPr>
      <w:r>
        <w:rPr>
          <w:rStyle w:val="FootnoteReference"/>
        </w:rPr>
        <w:footnoteRef/>
      </w:r>
      <w:r>
        <w:t xml:space="preserve"> </w:t>
      </w:r>
      <w:r>
        <w:rPr>
          <w:i/>
          <w:iCs/>
        </w:rPr>
        <w:t>See</w:t>
      </w:r>
      <w:r>
        <w:t xml:space="preserve"> </w:t>
      </w:r>
      <w:r w:rsidR="00926D77">
        <w:t>U.S. Const. Amend. V</w:t>
      </w:r>
      <w:r w:rsidR="002C709C">
        <w:t>,</w:t>
      </w:r>
      <w:r w:rsidR="00926D77">
        <w:t xml:space="preserve"> XIV</w:t>
      </w:r>
      <w:r w:rsidR="00C51AB1">
        <w:t xml:space="preserve"> §</w:t>
      </w:r>
      <w:r w:rsidR="00CC76DF">
        <w:t xml:space="preserve"> 1</w:t>
      </w:r>
      <w:r w:rsidR="00926D77">
        <w:t xml:space="preserve">; </w:t>
      </w:r>
      <w:r w:rsidR="006F7431">
        <w:t xml:space="preserve">Douglas NeJaime &amp; Reva Siegel, </w:t>
      </w:r>
      <w:r w:rsidR="006F7431">
        <w:rPr>
          <w:i/>
          <w:iCs/>
        </w:rPr>
        <w:t xml:space="preserve">Addressing the </w:t>
      </w:r>
      <w:r w:rsidR="006F7431">
        <w:t xml:space="preserve">Lochner </w:t>
      </w:r>
      <w:r w:rsidR="006F7431">
        <w:rPr>
          <w:i/>
          <w:iCs/>
        </w:rPr>
        <w:t>Objection: Substantive Due Process and the Role of Courts in a Democracy</w:t>
      </w:r>
      <w:r w:rsidR="006F7431">
        <w:t xml:space="preserve">, 96 </w:t>
      </w:r>
      <w:r w:rsidR="006F7431" w:rsidRPr="00755C89">
        <w:rPr>
          <w:smallCaps/>
        </w:rPr>
        <w:t>N.Y.U. L. Rev.</w:t>
      </w:r>
      <w:r w:rsidR="006F7431">
        <w:t xml:space="preserve"> 1902, 1903–06 (2021).</w:t>
      </w:r>
      <w:r w:rsidR="00A90CE6">
        <w:t xml:space="preserve"> </w:t>
      </w:r>
    </w:p>
    <w:p w14:paraId="627DDD6A" w14:textId="37936F61" w:rsidR="00A90CE6" w:rsidRPr="008F2279" w:rsidRDefault="005A7536" w:rsidP="00A90CE6">
      <w:pPr>
        <w:pStyle w:val="FootnoteText"/>
        <w:ind w:firstLine="630"/>
      </w:pPr>
      <w:r>
        <w:t>The substantive due process analysis is the same for both the Due Process Clause of the Fifth Amendment and that of the Fourteenth Amendment</w:t>
      </w:r>
      <w:r w:rsidR="00097DD7">
        <w:t xml:space="preserve">. </w:t>
      </w:r>
      <w:r w:rsidR="00097DD7">
        <w:rPr>
          <w:i/>
          <w:iCs/>
        </w:rPr>
        <w:t>See, e.g.</w:t>
      </w:r>
      <w:r w:rsidR="00097DD7">
        <w:t>, Department of State v. Mu</w:t>
      </w:r>
      <w:r w:rsidR="00097DD7">
        <w:rPr>
          <w:rFonts w:ascii="Times New Roman" w:hAnsi="Times New Roman"/>
        </w:rPr>
        <w:t>ñoz, 144 S. Ct. 1812, 1821–</w:t>
      </w:r>
      <w:r w:rsidR="008F2279">
        <w:rPr>
          <w:rFonts w:ascii="Times New Roman" w:hAnsi="Times New Roman"/>
        </w:rPr>
        <w:t xml:space="preserve">22 (2024) (applying the </w:t>
      </w:r>
      <w:r w:rsidR="00C63825">
        <w:rPr>
          <w:rFonts w:ascii="Times New Roman" w:hAnsi="Times New Roman"/>
        </w:rPr>
        <w:t>rule</w:t>
      </w:r>
      <w:r w:rsidR="008F2279">
        <w:rPr>
          <w:rFonts w:ascii="Times New Roman" w:hAnsi="Times New Roman"/>
        </w:rPr>
        <w:t xml:space="preserve"> of </w:t>
      </w:r>
      <w:r w:rsidR="008F2279">
        <w:rPr>
          <w:rFonts w:ascii="Times New Roman" w:hAnsi="Times New Roman"/>
          <w:i/>
          <w:iCs/>
        </w:rPr>
        <w:t>Washington v. Glucksberg</w:t>
      </w:r>
      <w:r w:rsidR="008F2279">
        <w:rPr>
          <w:rFonts w:ascii="Times New Roman" w:hAnsi="Times New Roman"/>
        </w:rPr>
        <w:t xml:space="preserve">, </w:t>
      </w:r>
      <w:r w:rsidR="00C63825">
        <w:rPr>
          <w:rFonts w:ascii="Times New Roman" w:hAnsi="Times New Roman"/>
        </w:rPr>
        <w:t xml:space="preserve">521 U.S. 702, 720–721 (1997), a Fourteenth Amendment substantive due process case, to </w:t>
      </w:r>
      <w:r w:rsidR="007706C3">
        <w:rPr>
          <w:rFonts w:ascii="Times New Roman" w:hAnsi="Times New Roman"/>
        </w:rPr>
        <w:t>Fifth Amendment substantive due process claim).</w:t>
      </w:r>
      <w:r w:rsidR="00B00374">
        <w:rPr>
          <w:rFonts w:ascii="Times New Roman" w:hAnsi="Times New Roman"/>
        </w:rPr>
        <w:t xml:space="preserve"> Thus, for the sake of clarity, I will use the singular “Due Process Clause” </w:t>
      </w:r>
      <w:r w:rsidR="008A562D">
        <w:rPr>
          <w:rFonts w:ascii="Times New Roman" w:hAnsi="Times New Roman"/>
        </w:rPr>
        <w:t xml:space="preserve">to refer to the text of both Clauses </w:t>
      </w:r>
      <w:r w:rsidR="00B00374">
        <w:rPr>
          <w:rFonts w:ascii="Times New Roman" w:hAnsi="Times New Roman"/>
        </w:rPr>
        <w:t>for the remainder of this section.</w:t>
      </w:r>
    </w:p>
  </w:footnote>
  <w:footnote w:id="178">
    <w:p w14:paraId="48B1D442" w14:textId="38B31BB9" w:rsidR="00C77134" w:rsidRPr="00C77134" w:rsidRDefault="00C77134">
      <w:pPr>
        <w:pStyle w:val="FootnoteText"/>
      </w:pPr>
      <w:r>
        <w:rPr>
          <w:rStyle w:val="FootnoteReference"/>
        </w:rPr>
        <w:footnoteRef/>
      </w:r>
      <w:r>
        <w:t xml:space="preserve"> </w:t>
      </w:r>
      <w:r w:rsidR="0053469C">
        <w:rPr>
          <w:i/>
          <w:iCs/>
        </w:rPr>
        <w:t>E.g.</w:t>
      </w:r>
      <w:r w:rsidR="0053469C">
        <w:t>,</w:t>
      </w:r>
      <w:r>
        <w:t xml:space="preserve"> Litman, </w:t>
      </w:r>
      <w:r>
        <w:rPr>
          <w:i/>
          <w:iCs/>
        </w:rPr>
        <w:t>supra</w:t>
      </w:r>
      <w:r>
        <w:t xml:space="preserve"> note </w:t>
      </w:r>
      <w:r>
        <w:fldChar w:fldCharType="begin"/>
      </w:r>
      <w:r>
        <w:instrText xml:space="preserve"> NOTEREF _Ref175046072 \h </w:instrText>
      </w:r>
      <w:r>
        <w:fldChar w:fldCharType="separate"/>
      </w:r>
      <w:r w:rsidR="00B3355A">
        <w:t>159</w:t>
      </w:r>
      <w:r>
        <w:fldChar w:fldCharType="end"/>
      </w:r>
      <w:r>
        <w:t xml:space="preserve"> (manuscript at 6).</w:t>
      </w:r>
    </w:p>
  </w:footnote>
  <w:footnote w:id="179">
    <w:p w14:paraId="1D8B15A5" w14:textId="6294DEE2" w:rsidR="002E606F" w:rsidRPr="002E606F" w:rsidRDefault="002E606F">
      <w:pPr>
        <w:pStyle w:val="FootnoteText"/>
      </w:pPr>
      <w:r>
        <w:rPr>
          <w:rStyle w:val="FootnoteReference"/>
        </w:rPr>
        <w:footnoteRef/>
      </w:r>
      <w:r>
        <w:t xml:space="preserve"> NeJaime &amp; Siegel, </w:t>
      </w:r>
      <w:r>
        <w:rPr>
          <w:i/>
          <w:iCs/>
        </w:rPr>
        <w:t>supra</w:t>
      </w:r>
      <w:r>
        <w:t xml:space="preserve"> note </w:t>
      </w:r>
      <w:r>
        <w:fldChar w:fldCharType="begin"/>
      </w:r>
      <w:r>
        <w:instrText xml:space="preserve"> NOTEREF _Ref175046444 \h </w:instrText>
      </w:r>
      <w:r>
        <w:fldChar w:fldCharType="separate"/>
      </w:r>
      <w:r w:rsidR="00B3355A">
        <w:t>161</w:t>
      </w:r>
      <w:r>
        <w:fldChar w:fldCharType="end"/>
      </w:r>
      <w:r>
        <w:t xml:space="preserve">, </w:t>
      </w:r>
      <w:proofErr w:type="gramStart"/>
      <w:r>
        <w:t>at</w:t>
      </w:r>
      <w:proofErr w:type="gramEnd"/>
      <w:r>
        <w:t xml:space="preserve"> </w:t>
      </w:r>
      <w:r w:rsidR="00061C7B">
        <w:t>1903–06.</w:t>
      </w:r>
    </w:p>
  </w:footnote>
  <w:footnote w:id="180">
    <w:p w14:paraId="5E81B8ED" w14:textId="216AA869" w:rsidR="00197535" w:rsidRPr="00197535" w:rsidRDefault="00197535">
      <w:pPr>
        <w:pStyle w:val="FootnoteText"/>
      </w:pPr>
      <w:r>
        <w:rPr>
          <w:rStyle w:val="FootnoteReference"/>
        </w:rPr>
        <w:footnoteRef/>
      </w:r>
      <w:r>
        <w:t xml:space="preserve"> </w:t>
      </w:r>
      <w:r w:rsidR="00C81C0B">
        <w:t xml:space="preserve">576 U.S. 644, </w:t>
      </w:r>
      <w:r w:rsidR="0031164A">
        <w:t>675–76</w:t>
      </w:r>
      <w:r w:rsidR="00C81C0B">
        <w:t xml:space="preserve"> (2015).</w:t>
      </w:r>
    </w:p>
  </w:footnote>
  <w:footnote w:id="181">
    <w:p w14:paraId="7373A7B2" w14:textId="116A04BF" w:rsidR="00106CCC" w:rsidRPr="00FD2FDC" w:rsidRDefault="00106CCC">
      <w:pPr>
        <w:pStyle w:val="FootnoteText"/>
      </w:pPr>
      <w:r>
        <w:rPr>
          <w:rStyle w:val="FootnoteReference"/>
        </w:rPr>
        <w:footnoteRef/>
      </w:r>
      <w:r>
        <w:t xml:space="preserve"> </w:t>
      </w:r>
      <w:r>
        <w:rPr>
          <w:i/>
          <w:iCs/>
        </w:rPr>
        <w:t>See</w:t>
      </w:r>
      <w:r>
        <w:t xml:space="preserve"> </w:t>
      </w:r>
      <w:r w:rsidRPr="00692E06">
        <w:rPr>
          <w:i/>
          <w:iCs/>
        </w:rPr>
        <w:t>Samuel Alito on the Supreme Court, Recent Decisions, and His Education</w:t>
      </w:r>
      <w:r w:rsidR="00FD2FDC">
        <w:t xml:space="preserve">, </w:t>
      </w:r>
      <w:r w:rsidR="00FD2FDC" w:rsidRPr="00692E06">
        <w:rPr>
          <w:smallCaps/>
        </w:rPr>
        <w:t>Conversations with Bill Kristol</w:t>
      </w:r>
      <w:r w:rsidR="00FD2FDC">
        <w:t xml:space="preserve"> (July 10, 2015), </w:t>
      </w:r>
      <w:r w:rsidR="008A5CE6">
        <w:t xml:space="preserve">at </w:t>
      </w:r>
      <w:r w:rsidR="00F11C92">
        <w:t xml:space="preserve">1:08:37, </w:t>
      </w:r>
      <w:hyperlink r:id="rId25" w:history="1">
        <w:r w:rsidR="00F11C92" w:rsidRPr="009351BF">
          <w:rPr>
            <w:rStyle w:val="Hyperlink"/>
          </w:rPr>
          <w:t>https://conversationswithbillkristol.org/transcript/samuel-alito-transcript/</w:t>
        </w:r>
      </w:hyperlink>
      <w:r w:rsidR="00FD2FDC">
        <w:t xml:space="preserve"> [</w:t>
      </w:r>
      <w:r w:rsidR="00FD2FDC" w:rsidRPr="00FD2FDC">
        <w:t>https://perma.cc/8RVW-JH5M</w:t>
      </w:r>
      <w:r w:rsidR="00FD2FDC">
        <w:t>]</w:t>
      </w:r>
      <w:r w:rsidR="00692E06">
        <w:t xml:space="preserve"> (hereinafter “</w:t>
      </w:r>
      <w:r w:rsidR="00F53277">
        <w:t>Alito Interview”)</w:t>
      </w:r>
      <w:r w:rsidR="00FD2FDC">
        <w:t xml:space="preserve">; </w:t>
      </w:r>
      <w:r w:rsidR="00FD2FDC">
        <w:rPr>
          <w:i/>
          <w:iCs/>
        </w:rPr>
        <w:t>see also</w:t>
      </w:r>
      <w:r w:rsidR="00FD2FDC">
        <w:t xml:space="preserve"> </w:t>
      </w:r>
      <w:r w:rsidR="00FD2FDC">
        <w:rPr>
          <w:i/>
          <w:iCs/>
        </w:rPr>
        <w:t>Obergefell</w:t>
      </w:r>
      <w:r w:rsidR="00FD2FDC">
        <w:t xml:space="preserve">, 576 U.S. at </w:t>
      </w:r>
      <w:r w:rsidR="00DA00AD">
        <w:t>736–42 (Alito, J., dissenting).</w:t>
      </w:r>
    </w:p>
  </w:footnote>
  <w:footnote w:id="182">
    <w:p w14:paraId="29EBFAC0" w14:textId="5F06EB16" w:rsidR="00D37818" w:rsidRPr="008A5CE6" w:rsidRDefault="00D37818">
      <w:pPr>
        <w:pStyle w:val="FootnoteText"/>
      </w:pPr>
      <w:r>
        <w:rPr>
          <w:rStyle w:val="FootnoteReference"/>
        </w:rPr>
        <w:footnoteRef/>
      </w:r>
      <w:r>
        <w:t xml:space="preserve"> </w:t>
      </w:r>
      <w:r w:rsidR="00F53277">
        <w:t xml:space="preserve">Alito Interview, </w:t>
      </w:r>
      <w:r w:rsidR="00F53277">
        <w:rPr>
          <w:i/>
          <w:iCs/>
        </w:rPr>
        <w:t>supra</w:t>
      </w:r>
      <w:r w:rsidR="00F53277">
        <w:t xml:space="preserve"> note </w:t>
      </w:r>
      <w:r w:rsidR="00F53277">
        <w:fldChar w:fldCharType="begin"/>
      </w:r>
      <w:r w:rsidR="00F53277">
        <w:instrText xml:space="preserve"> NOTEREF _Ref174886729 \h </w:instrText>
      </w:r>
      <w:r w:rsidR="00F53277">
        <w:fldChar w:fldCharType="separate"/>
      </w:r>
      <w:r w:rsidR="00B3355A">
        <w:t>165</w:t>
      </w:r>
      <w:r w:rsidR="00F53277">
        <w:fldChar w:fldCharType="end"/>
      </w:r>
      <w:r w:rsidR="00F11C92">
        <w:t>, at 1:08:37</w:t>
      </w:r>
      <w:r w:rsidR="008A5CE6">
        <w:t>.</w:t>
      </w:r>
      <w:r w:rsidR="00F11C92">
        <w:t xml:space="preserve"> Alito’s comments addressed</w:t>
      </w:r>
      <w:r w:rsidR="0034431B">
        <w:t xml:space="preserve"> only </w:t>
      </w:r>
      <w:r w:rsidR="0034431B">
        <w:rPr>
          <w:i/>
          <w:iCs/>
        </w:rPr>
        <w:t>Obergefell</w:t>
      </w:r>
      <w:r w:rsidR="0034431B">
        <w:t xml:space="preserve">’s substantive due process reasoning, </w:t>
      </w:r>
      <w:r w:rsidR="00C86333">
        <w:t>but</w:t>
      </w:r>
      <w:r w:rsidR="0034431B">
        <w:t xml:space="preserve"> the </w:t>
      </w:r>
      <w:r w:rsidR="00C86333">
        <w:t>majority based its holding</w:t>
      </w:r>
      <w:r w:rsidR="0034431B">
        <w:t xml:space="preserve"> on both the Due Process Clause and the Equal Protection Clause of the Fourteenth Amendment. </w:t>
      </w:r>
      <w:r w:rsidR="0034431B">
        <w:rPr>
          <w:i/>
          <w:iCs/>
        </w:rPr>
        <w:t>See Obergefell</w:t>
      </w:r>
      <w:r w:rsidR="0034431B">
        <w:t xml:space="preserve">, 576 U.S. at </w:t>
      </w:r>
      <w:r w:rsidR="00C86333">
        <w:t>675–76.</w:t>
      </w:r>
    </w:p>
  </w:footnote>
  <w:footnote w:id="183">
    <w:p w14:paraId="09B42D46" w14:textId="6552B012" w:rsidR="00F23182" w:rsidRDefault="00F23182">
      <w:pPr>
        <w:pStyle w:val="FootnoteText"/>
      </w:pPr>
      <w:r>
        <w:rPr>
          <w:rStyle w:val="FootnoteReference"/>
        </w:rPr>
        <w:footnoteRef/>
      </w:r>
      <w:r>
        <w:t xml:space="preserve"> Alito Interview, </w:t>
      </w:r>
      <w:r>
        <w:rPr>
          <w:i/>
          <w:iCs/>
        </w:rPr>
        <w:t>supra</w:t>
      </w:r>
      <w:r>
        <w:t xml:space="preserve"> note </w:t>
      </w:r>
      <w:r>
        <w:fldChar w:fldCharType="begin"/>
      </w:r>
      <w:r>
        <w:instrText xml:space="preserve"> NOTEREF _Ref174886729 \h </w:instrText>
      </w:r>
      <w:r>
        <w:fldChar w:fldCharType="separate"/>
      </w:r>
      <w:r w:rsidR="00B3355A">
        <w:t>165</w:t>
      </w:r>
      <w:r>
        <w:fldChar w:fldCharType="end"/>
      </w:r>
      <w:r>
        <w:t>, at 1:08:37</w:t>
      </w:r>
      <w:r w:rsidR="00F15AF6">
        <w:t xml:space="preserve">; </w:t>
      </w:r>
      <w:r w:rsidR="00F15AF6">
        <w:rPr>
          <w:i/>
          <w:iCs/>
        </w:rPr>
        <w:t>see also</w:t>
      </w:r>
      <w:r w:rsidR="00F15AF6">
        <w:t xml:space="preserve"> </w:t>
      </w:r>
      <w:r w:rsidR="00F15AF6">
        <w:rPr>
          <w:i/>
          <w:iCs/>
        </w:rPr>
        <w:t>Obergefell</w:t>
      </w:r>
      <w:r w:rsidR="00F15AF6">
        <w:t>, 576 U.S. at 737 (Alito, J., dissenting) (</w:t>
      </w:r>
      <w:r w:rsidR="00A50B6C">
        <w:t>“</w:t>
      </w:r>
      <w:r w:rsidR="00A50B6C" w:rsidRPr="00A50B6C">
        <w:t xml:space="preserve">For today's majority, </w:t>
      </w:r>
      <w:r w:rsidR="00A50B6C">
        <w:t>[liberty]</w:t>
      </w:r>
      <w:r w:rsidR="00A50B6C" w:rsidRPr="00A50B6C">
        <w:t xml:space="preserve"> has a distinctively postmodern meaning.</w:t>
      </w:r>
      <w:r w:rsidR="00A50B6C">
        <w:t>”)</w:t>
      </w:r>
      <w:r w:rsidR="00AC4E3D">
        <w:t>.</w:t>
      </w:r>
    </w:p>
  </w:footnote>
  <w:footnote w:id="184">
    <w:p w14:paraId="5A995A2D" w14:textId="5C5FDA1C" w:rsidR="002223D8" w:rsidRPr="009C0A00" w:rsidRDefault="002223D8">
      <w:pPr>
        <w:pStyle w:val="FootnoteText"/>
      </w:pPr>
      <w:r>
        <w:rPr>
          <w:rStyle w:val="FootnoteReference"/>
        </w:rPr>
        <w:footnoteRef/>
      </w:r>
      <w:r>
        <w:t xml:space="preserve"> </w:t>
      </w:r>
      <w:r w:rsidR="00A03522">
        <w:rPr>
          <w:i/>
          <w:iCs/>
        </w:rPr>
        <w:t>See, e.g.</w:t>
      </w:r>
      <w:r w:rsidR="00A03522">
        <w:t xml:space="preserve">, </w:t>
      </w:r>
      <w:r w:rsidR="009C0A00">
        <w:t xml:space="preserve">Douglas NeJaime &amp; Reva Siegel, </w:t>
      </w:r>
      <w:r w:rsidR="009C0A00">
        <w:rPr>
          <w:i/>
          <w:iCs/>
        </w:rPr>
        <w:t xml:space="preserve">Addressing the </w:t>
      </w:r>
      <w:r w:rsidR="009C0A00">
        <w:t xml:space="preserve">Lochner </w:t>
      </w:r>
      <w:r w:rsidR="009C0A00">
        <w:rPr>
          <w:i/>
          <w:iCs/>
        </w:rPr>
        <w:t>Objection: Substantive Due Process and the Role of Courts in a Democracy</w:t>
      </w:r>
      <w:r w:rsidR="009C0A00">
        <w:t xml:space="preserve">, </w:t>
      </w:r>
      <w:r w:rsidR="006719A1">
        <w:t xml:space="preserve">96 </w:t>
      </w:r>
      <w:r w:rsidR="006719A1" w:rsidRPr="00755C89">
        <w:rPr>
          <w:smallCaps/>
        </w:rPr>
        <w:t>N.Y.U. L. Rev.</w:t>
      </w:r>
      <w:r w:rsidR="006719A1">
        <w:t xml:space="preserve"> 1902, </w:t>
      </w:r>
      <w:r w:rsidR="000B72A2">
        <w:t>1903–0</w:t>
      </w:r>
      <w:r w:rsidR="00155C51">
        <w:t xml:space="preserve">6 </w:t>
      </w:r>
      <w:r w:rsidR="000B72A2">
        <w:t>(2021)</w:t>
      </w:r>
      <w:r w:rsidR="00E8216C">
        <w:t>; Leah Litman</w:t>
      </w:r>
      <w:r w:rsidR="008716AA">
        <w:t xml:space="preserve">, </w:t>
      </w:r>
      <w:r w:rsidR="008716AA">
        <w:rPr>
          <w:i/>
          <w:iCs/>
        </w:rPr>
        <w:t>The New Substantive Due Process</w:t>
      </w:r>
      <w:r w:rsidR="008716AA">
        <w:t xml:space="preserve">, </w:t>
      </w:r>
      <w:r w:rsidR="00641766">
        <w:t xml:space="preserve">102 </w:t>
      </w:r>
      <w:r w:rsidR="00641766" w:rsidRPr="007D7EF5">
        <w:rPr>
          <w:smallCaps/>
        </w:rPr>
        <w:t>Tex. L. Rev</w:t>
      </w:r>
      <w:r w:rsidR="00CC0C9D" w:rsidRPr="007D7EF5">
        <w:rPr>
          <w:smallCaps/>
        </w:rPr>
        <w:t>.</w:t>
      </w:r>
      <w:r w:rsidR="00CC0C9D">
        <w:t xml:space="preserve"> </w:t>
      </w:r>
      <w:r w:rsidR="00641766">
        <w:t xml:space="preserve">(forthcoming </w:t>
      </w:r>
      <w:r w:rsidR="000859A6">
        <w:t>2025</w:t>
      </w:r>
      <w:r w:rsidR="00CC0C9D">
        <w:t xml:space="preserve">) (manuscript at 6) </w:t>
      </w:r>
      <w:r w:rsidR="007D7EF5">
        <w:t>(on file with author)</w:t>
      </w:r>
      <w:r w:rsidR="000859A6">
        <w:t xml:space="preserve"> (“</w:t>
      </w:r>
      <w:r w:rsidR="00F87E96">
        <w:t>Substantive due process represents the idea that the due process clauses of the Fifth and Fourteenth Amendment safeguard certain substantive rights that the government cannot restrict with what would otherwise be constitutionally adequate procedures</w:t>
      </w:r>
      <w:r w:rsidR="00D224A1">
        <w:t>.</w:t>
      </w:r>
      <w:r w:rsidR="00F87E96">
        <w:t>”).</w:t>
      </w:r>
    </w:p>
    <w:p w14:paraId="29B88B96" w14:textId="2BD21F78" w:rsidR="00BB50A7" w:rsidRDefault="00BB50A7" w:rsidP="00BB50A7">
      <w:pPr>
        <w:pStyle w:val="FootnoteText"/>
      </w:pPr>
      <w:r>
        <w:t xml:space="preserve">Alito’s </w:t>
      </w:r>
      <w:r w:rsidR="00CF276F">
        <w:t xml:space="preserve">interview </w:t>
      </w:r>
      <w:r>
        <w:t xml:space="preserve">comments addressed only </w:t>
      </w:r>
      <w:r>
        <w:rPr>
          <w:i/>
          <w:iCs/>
        </w:rPr>
        <w:t>Obergefell</w:t>
      </w:r>
      <w:r>
        <w:t>’s substantive due process reasoning</w:t>
      </w:r>
      <w:r w:rsidR="00CF276F">
        <w:t xml:space="preserve">. </w:t>
      </w:r>
      <w:r w:rsidR="00CF276F">
        <w:rPr>
          <w:i/>
          <w:iCs/>
        </w:rPr>
        <w:t xml:space="preserve">See </w:t>
      </w:r>
      <w:r w:rsidR="00CF276F">
        <w:t xml:space="preserve">Alito Interview, </w:t>
      </w:r>
      <w:r w:rsidR="00CF276F">
        <w:rPr>
          <w:i/>
          <w:iCs/>
        </w:rPr>
        <w:t>supra</w:t>
      </w:r>
      <w:r w:rsidR="00CF276F">
        <w:t xml:space="preserve"> note </w:t>
      </w:r>
      <w:r w:rsidR="00CF276F">
        <w:fldChar w:fldCharType="begin"/>
      </w:r>
      <w:r w:rsidR="00CF276F">
        <w:instrText xml:space="preserve"> NOTEREF _Ref174886729 \h </w:instrText>
      </w:r>
      <w:r w:rsidR="00CF276F">
        <w:fldChar w:fldCharType="separate"/>
      </w:r>
      <w:r w:rsidR="00B3355A">
        <w:t>165</w:t>
      </w:r>
      <w:r w:rsidR="00CF276F">
        <w:fldChar w:fldCharType="end"/>
      </w:r>
      <w:r w:rsidR="00CF276F">
        <w:t>, at 1:08:37 (</w:t>
      </w:r>
      <w:r w:rsidR="008E2267">
        <w:t>“</w:t>
      </w:r>
      <w:r w:rsidR="008E2267" w:rsidRPr="008E2267">
        <w:t>Well, the decision was based on, really, one word in the 14th Amendment</w:t>
      </w:r>
      <w:r w:rsidR="0082050B">
        <w:t xml:space="preserve"> </w:t>
      </w:r>
      <w:proofErr w:type="gramStart"/>
      <w:r w:rsidR="0082050B">
        <w:t>. . . .</w:t>
      </w:r>
      <w:proofErr w:type="gramEnd"/>
      <w:r w:rsidR="0082050B">
        <w:t xml:space="preserve"> </w:t>
      </w:r>
      <w:proofErr w:type="gramStart"/>
      <w:r w:rsidR="0082050B" w:rsidRPr="0082050B">
        <w:t>So</w:t>
      </w:r>
      <w:proofErr w:type="gramEnd"/>
      <w:r w:rsidR="0082050B" w:rsidRPr="0082050B">
        <w:t xml:space="preserve"> this was all based on liberty and on a substantive protection of liberty</w:t>
      </w:r>
      <w:r w:rsidR="0082050B">
        <w:t xml:space="preserve">”); </w:t>
      </w:r>
      <w:r w:rsidR="0082050B">
        <w:rPr>
          <w:i/>
          <w:iCs/>
        </w:rPr>
        <w:t xml:space="preserve">see also </w:t>
      </w:r>
      <w:r w:rsidR="0082050B" w:rsidRPr="00477E1E">
        <w:rPr>
          <w:i/>
          <w:iCs/>
        </w:rPr>
        <w:t>Obergefell</w:t>
      </w:r>
      <w:r w:rsidR="0082050B">
        <w:t xml:space="preserve">, 576 U.S. at </w:t>
      </w:r>
      <w:r w:rsidR="005213C3">
        <w:t>738–</w:t>
      </w:r>
      <w:r w:rsidR="002B5ADA">
        <w:t>41 (Alito, J., dissenting) (dismissing the majority’s equal protection reasoning). B</w:t>
      </w:r>
      <w:r w:rsidRPr="0082050B">
        <w:t>ut</w:t>
      </w:r>
      <w:r>
        <w:t xml:space="preserve"> the majority based its holding on both the Due Process Clause and the Equal Protection Clause of the Fourteenth Amendment. </w:t>
      </w:r>
      <w:r>
        <w:rPr>
          <w:i/>
          <w:iCs/>
        </w:rPr>
        <w:t xml:space="preserve">See </w:t>
      </w:r>
      <w:r w:rsidR="00A5013E">
        <w:rPr>
          <w:i/>
          <w:iCs/>
        </w:rPr>
        <w:t>id.</w:t>
      </w:r>
      <w:r w:rsidR="00A5013E">
        <w:t xml:space="preserve"> at</w:t>
      </w:r>
      <w:r>
        <w:t xml:space="preserve"> 675–76</w:t>
      </w:r>
      <w:r w:rsidR="002B5ADA">
        <w:t xml:space="preserve"> (majority opinion)</w:t>
      </w:r>
      <w:r>
        <w:t>.</w:t>
      </w:r>
    </w:p>
  </w:footnote>
  <w:footnote w:id="185">
    <w:p w14:paraId="72A2201A" w14:textId="17BAB65C" w:rsidR="00F7687B" w:rsidRPr="00FD4C04" w:rsidRDefault="00F7687B">
      <w:pPr>
        <w:pStyle w:val="FootnoteText"/>
      </w:pPr>
      <w:r>
        <w:rPr>
          <w:rStyle w:val="FootnoteReference"/>
        </w:rPr>
        <w:footnoteRef/>
      </w:r>
      <w:r>
        <w:t xml:space="preserve"> 198 U.S. 45 (1905).</w:t>
      </w:r>
      <w:r w:rsidR="005F01E8">
        <w:t xml:space="preserve"> </w:t>
      </w:r>
      <w:r w:rsidR="0034474F">
        <w:t xml:space="preserve">Jamal Greene calls </w:t>
      </w:r>
      <w:r w:rsidR="0034474F">
        <w:rPr>
          <w:i/>
          <w:iCs/>
        </w:rPr>
        <w:t>Lochner</w:t>
      </w:r>
      <w:r w:rsidR="0034474F">
        <w:t xml:space="preserve"> a “constitutional meme</w:t>
      </w:r>
      <w:r w:rsidR="00FD4C04">
        <w:t xml:space="preserve">.” Jamal Greene, </w:t>
      </w:r>
      <w:r w:rsidR="00FD4C04">
        <w:rPr>
          <w:i/>
          <w:iCs/>
        </w:rPr>
        <w:t xml:space="preserve">The </w:t>
      </w:r>
      <w:proofErr w:type="spellStart"/>
      <w:r w:rsidR="00FD4C04">
        <w:rPr>
          <w:i/>
          <w:iCs/>
        </w:rPr>
        <w:t>Meming</w:t>
      </w:r>
      <w:proofErr w:type="spellEnd"/>
      <w:r w:rsidR="00FD4C04">
        <w:rPr>
          <w:i/>
          <w:iCs/>
        </w:rPr>
        <w:t xml:space="preserve"> of Substantive Due Process</w:t>
      </w:r>
      <w:r w:rsidR="00FD4C04">
        <w:t xml:space="preserve">, </w:t>
      </w:r>
      <w:r w:rsidR="00722880">
        <w:t xml:space="preserve">31 </w:t>
      </w:r>
      <w:r w:rsidR="00722880" w:rsidRPr="003F1DA2">
        <w:rPr>
          <w:smallCaps/>
        </w:rPr>
        <w:t>Const. Comm.</w:t>
      </w:r>
      <w:r w:rsidR="00722880">
        <w:t xml:space="preserve"> 253, 281–82 (2016).</w:t>
      </w:r>
    </w:p>
  </w:footnote>
  <w:footnote w:id="186">
    <w:p w14:paraId="0C8EC6E2" w14:textId="2E56FF57" w:rsidR="00E22AAD" w:rsidRPr="00C77545" w:rsidRDefault="00E22AAD">
      <w:pPr>
        <w:pStyle w:val="FootnoteText"/>
      </w:pPr>
      <w:r>
        <w:rPr>
          <w:rStyle w:val="FootnoteReference"/>
        </w:rPr>
        <w:footnoteRef/>
      </w:r>
      <w:r>
        <w:t xml:space="preserve"> </w:t>
      </w:r>
      <w:r>
        <w:rPr>
          <w:i/>
          <w:iCs/>
        </w:rPr>
        <w:t>See id.</w:t>
      </w:r>
      <w:r>
        <w:t xml:space="preserve"> at </w:t>
      </w:r>
      <w:r w:rsidR="00D52EFC">
        <w:t xml:space="preserve">53–54; </w:t>
      </w:r>
      <w:r w:rsidR="00C77545">
        <w:t xml:space="preserve">NeJaime &amp; Siegel, </w:t>
      </w:r>
      <w:r w:rsidR="00C77545">
        <w:rPr>
          <w:i/>
          <w:iCs/>
        </w:rPr>
        <w:t>supra</w:t>
      </w:r>
      <w:r w:rsidR="00C77545">
        <w:t xml:space="preserve"> note </w:t>
      </w:r>
      <w:r w:rsidR="00C77545">
        <w:fldChar w:fldCharType="begin"/>
      </w:r>
      <w:r w:rsidR="00C77545">
        <w:instrText xml:space="preserve"> NOTEREF _Ref174896525 \h </w:instrText>
      </w:r>
      <w:r w:rsidR="00C77545">
        <w:fldChar w:fldCharType="separate"/>
      </w:r>
      <w:r w:rsidR="00B3355A">
        <w:t>168</w:t>
      </w:r>
      <w:r w:rsidR="00C77545">
        <w:fldChar w:fldCharType="end"/>
      </w:r>
      <w:r w:rsidR="00C77545">
        <w:t xml:space="preserve">, </w:t>
      </w:r>
      <w:proofErr w:type="gramStart"/>
      <w:r w:rsidR="00C77545">
        <w:t>at</w:t>
      </w:r>
      <w:proofErr w:type="gramEnd"/>
      <w:r w:rsidR="00C77545">
        <w:t xml:space="preserve"> 1905–06 &amp; n</w:t>
      </w:r>
      <w:r w:rsidR="00E919B5">
        <w:t>n</w:t>
      </w:r>
      <w:r w:rsidR="00C77545">
        <w:t>.</w:t>
      </w:r>
      <w:r w:rsidR="00B202F5">
        <w:t>18</w:t>
      </w:r>
      <w:r w:rsidR="00E919B5">
        <w:t>, 20</w:t>
      </w:r>
      <w:r w:rsidR="00B202F5">
        <w:t>.</w:t>
      </w:r>
    </w:p>
  </w:footnote>
  <w:footnote w:id="187">
    <w:p w14:paraId="3F93A0D8" w14:textId="2730E042" w:rsidR="008A3404" w:rsidRPr="008A3404" w:rsidRDefault="008A3404">
      <w:pPr>
        <w:pStyle w:val="FootnoteText"/>
      </w:pPr>
      <w:r>
        <w:rPr>
          <w:rStyle w:val="FootnoteReference"/>
        </w:rPr>
        <w:footnoteRef/>
      </w:r>
      <w:r>
        <w:t xml:space="preserve"> </w:t>
      </w:r>
      <w:r>
        <w:rPr>
          <w:i/>
          <w:iCs/>
        </w:rPr>
        <w:t>See</w:t>
      </w:r>
      <w:r>
        <w:t xml:space="preserve"> </w:t>
      </w:r>
      <w:r>
        <w:rPr>
          <w:i/>
          <w:iCs/>
        </w:rPr>
        <w:t>Lochner</w:t>
      </w:r>
      <w:r>
        <w:t xml:space="preserve">, 198 U.S. at </w:t>
      </w:r>
      <w:r w:rsidR="00915570">
        <w:t>75–76 (Holmes, J., dissenting).</w:t>
      </w:r>
    </w:p>
  </w:footnote>
  <w:footnote w:id="188">
    <w:p w14:paraId="384BD193" w14:textId="10CFFBC1" w:rsidR="00E57A73" w:rsidRDefault="00E57A73">
      <w:pPr>
        <w:pStyle w:val="FootnoteText"/>
      </w:pPr>
      <w:r>
        <w:rPr>
          <w:rStyle w:val="FootnoteReference"/>
        </w:rPr>
        <w:footnoteRef/>
      </w:r>
      <w:r>
        <w:t xml:space="preserve"> West Coast Hotel Co. v. Parrish, 300 U.S. 379, 391 (1937).</w:t>
      </w:r>
    </w:p>
  </w:footnote>
  <w:footnote w:id="189">
    <w:p w14:paraId="4299C862" w14:textId="26AF0D46" w:rsidR="007C72DE" w:rsidRPr="007C72DE" w:rsidRDefault="007C72DE">
      <w:pPr>
        <w:pStyle w:val="FootnoteText"/>
      </w:pPr>
      <w:r>
        <w:rPr>
          <w:rStyle w:val="FootnoteReference"/>
        </w:rPr>
        <w:footnoteRef/>
      </w:r>
      <w:r>
        <w:t xml:space="preserve"> </w:t>
      </w:r>
      <w:r>
        <w:rPr>
          <w:i/>
          <w:iCs/>
        </w:rPr>
        <w:t>See</w:t>
      </w:r>
      <w:r>
        <w:t xml:space="preserve"> NeJaime &amp; Siegel, </w:t>
      </w:r>
      <w:r>
        <w:rPr>
          <w:i/>
          <w:iCs/>
        </w:rPr>
        <w:t>supra</w:t>
      </w:r>
      <w:r>
        <w:t xml:space="preserve"> note </w:t>
      </w:r>
      <w:r>
        <w:fldChar w:fldCharType="begin"/>
      </w:r>
      <w:r>
        <w:instrText xml:space="preserve"> NOTEREF _Ref174896525 \h </w:instrText>
      </w:r>
      <w:r>
        <w:fldChar w:fldCharType="separate"/>
      </w:r>
      <w:r w:rsidR="00B3355A">
        <w:t>168</w:t>
      </w:r>
      <w:r>
        <w:fldChar w:fldCharType="end"/>
      </w:r>
      <w:r>
        <w:t xml:space="preserve">, </w:t>
      </w:r>
      <w:proofErr w:type="gramStart"/>
      <w:r>
        <w:t>at</w:t>
      </w:r>
      <w:proofErr w:type="gramEnd"/>
      <w:r>
        <w:t xml:space="preserve"> 1905–06; Howard Gillman, </w:t>
      </w:r>
      <w:r>
        <w:rPr>
          <w:i/>
          <w:iCs/>
        </w:rPr>
        <w:t>De-Lochnerizing Lochner</w:t>
      </w:r>
      <w:r>
        <w:t xml:space="preserve">, </w:t>
      </w:r>
      <w:r w:rsidR="002C4F1B">
        <w:t xml:space="preserve">860 </w:t>
      </w:r>
      <w:r w:rsidR="002C4F1B" w:rsidRPr="002C4F1B">
        <w:rPr>
          <w:smallCaps/>
        </w:rPr>
        <w:t>B.U. L. Rev.</w:t>
      </w:r>
      <w:r w:rsidR="002C4F1B">
        <w:t xml:space="preserve"> 859, 861 (2005).</w:t>
      </w:r>
    </w:p>
  </w:footnote>
  <w:footnote w:id="190">
    <w:p w14:paraId="03A0C2F8" w14:textId="25E45007" w:rsidR="00351F82" w:rsidRPr="00351F82" w:rsidRDefault="00351F82">
      <w:pPr>
        <w:pStyle w:val="FootnoteText"/>
      </w:pPr>
      <w:r>
        <w:rPr>
          <w:rStyle w:val="FootnoteReference"/>
        </w:rPr>
        <w:footnoteRef/>
      </w:r>
      <w:r>
        <w:t xml:space="preserve"> </w:t>
      </w:r>
      <w:r w:rsidRPr="0010471E">
        <w:rPr>
          <w:i/>
          <w:iCs/>
        </w:rPr>
        <w:t>See</w:t>
      </w:r>
      <w:r w:rsidRPr="0010471E">
        <w:t xml:space="preserve"> Griswold v. Connecticut, </w:t>
      </w:r>
      <w:r w:rsidR="00BF0977" w:rsidRPr="0010471E">
        <w:t>381</w:t>
      </w:r>
      <w:r w:rsidR="00BF0977">
        <w:t xml:space="preserve"> U.S. </w:t>
      </w:r>
      <w:r w:rsidR="0010471E">
        <w:t>479, 485–86 (1965)</w:t>
      </w:r>
    </w:p>
  </w:footnote>
  <w:footnote w:id="191">
    <w:p w14:paraId="588CCB32" w14:textId="402A9C93" w:rsidR="00351F82" w:rsidRPr="00EC7371" w:rsidRDefault="00351F82">
      <w:pPr>
        <w:pStyle w:val="FootnoteText"/>
      </w:pPr>
      <w:r>
        <w:rPr>
          <w:rStyle w:val="FootnoteReference"/>
        </w:rPr>
        <w:footnoteRef/>
      </w:r>
      <w:r>
        <w:t xml:space="preserve"> See </w:t>
      </w:r>
      <w:r w:rsidRPr="00103A7F">
        <w:t xml:space="preserve">Planned Parenthood </w:t>
      </w:r>
      <w:r w:rsidR="00103A7F" w:rsidRPr="00103A7F">
        <w:t xml:space="preserve">of Se. Penn. </w:t>
      </w:r>
      <w:r w:rsidRPr="00103A7F">
        <w:t>v. Casey,</w:t>
      </w:r>
      <w:r>
        <w:t xml:space="preserve"> </w:t>
      </w:r>
      <w:r w:rsidR="00103A7F">
        <w:t xml:space="preserve">505 U.S. 833, 846–47 </w:t>
      </w:r>
      <w:r w:rsidR="00EC7371">
        <w:t xml:space="preserve">(1992), </w:t>
      </w:r>
      <w:r w:rsidR="00EC7371">
        <w:rPr>
          <w:i/>
          <w:iCs/>
        </w:rPr>
        <w:t>overruled by</w:t>
      </w:r>
      <w:r w:rsidR="00EC7371">
        <w:t xml:space="preserve"> Dobbs v. Jackson Whole Women’s Health, </w:t>
      </w:r>
      <w:r w:rsidR="00144DE2">
        <w:t xml:space="preserve">597 U.S. 215, </w:t>
      </w:r>
      <w:r w:rsidR="00021719">
        <w:t>231</w:t>
      </w:r>
      <w:r w:rsidR="001955CC">
        <w:t xml:space="preserve"> </w:t>
      </w:r>
      <w:r w:rsidR="00EC7371">
        <w:t>(2023).</w:t>
      </w:r>
    </w:p>
  </w:footnote>
  <w:footnote w:id="192">
    <w:p w14:paraId="006795EE" w14:textId="4F934AA5" w:rsidR="00EC7371" w:rsidRPr="00EC7371" w:rsidRDefault="00EC7371">
      <w:pPr>
        <w:pStyle w:val="FootnoteText"/>
      </w:pPr>
      <w:r>
        <w:rPr>
          <w:rStyle w:val="FootnoteReference"/>
        </w:rPr>
        <w:footnoteRef/>
      </w:r>
      <w:r>
        <w:t xml:space="preserve"> </w:t>
      </w:r>
      <w:r>
        <w:rPr>
          <w:i/>
          <w:iCs/>
        </w:rPr>
        <w:t xml:space="preserve">See </w:t>
      </w:r>
      <w:r w:rsidR="00B82001">
        <w:t xml:space="preserve">Lawrence v. Texas, </w:t>
      </w:r>
      <w:r w:rsidR="00D503B0">
        <w:t xml:space="preserve">539 U.S. 558, </w:t>
      </w:r>
      <w:r w:rsidR="00395192">
        <w:t>578–</w:t>
      </w:r>
      <w:r w:rsidR="007171C4">
        <w:t>79 (2003)</w:t>
      </w:r>
      <w:r>
        <w:t>.</w:t>
      </w:r>
    </w:p>
  </w:footnote>
  <w:footnote w:id="193">
    <w:p w14:paraId="4D475601" w14:textId="4ED3450A" w:rsidR="0027207A" w:rsidRPr="00F6758E" w:rsidRDefault="0027207A">
      <w:pPr>
        <w:pStyle w:val="FootnoteText"/>
      </w:pPr>
      <w:r>
        <w:rPr>
          <w:rStyle w:val="FootnoteReference"/>
        </w:rPr>
        <w:footnoteRef/>
      </w:r>
      <w:r>
        <w:t xml:space="preserve"> </w:t>
      </w:r>
      <w:r>
        <w:rPr>
          <w:i/>
          <w:iCs/>
        </w:rPr>
        <w:t>See</w:t>
      </w:r>
      <w:r>
        <w:t xml:space="preserve"> </w:t>
      </w:r>
      <w:r w:rsidR="00F6758E">
        <w:t xml:space="preserve">NeJaime &amp; Siegel, </w:t>
      </w:r>
      <w:r w:rsidR="00F6758E">
        <w:rPr>
          <w:i/>
          <w:iCs/>
        </w:rPr>
        <w:t>supra</w:t>
      </w:r>
      <w:r w:rsidR="00F6758E">
        <w:t xml:space="preserve"> note </w:t>
      </w:r>
      <w:r w:rsidR="00F6758E">
        <w:fldChar w:fldCharType="begin"/>
      </w:r>
      <w:r w:rsidR="00F6758E">
        <w:instrText xml:space="preserve"> NOTEREF _Ref174896525 \h </w:instrText>
      </w:r>
      <w:r w:rsidR="00F6758E">
        <w:fldChar w:fldCharType="separate"/>
      </w:r>
      <w:r w:rsidR="00B3355A">
        <w:t>168</w:t>
      </w:r>
      <w:r w:rsidR="00F6758E">
        <w:fldChar w:fldCharType="end"/>
      </w:r>
      <w:r w:rsidR="00F6758E">
        <w:t xml:space="preserve">, at 1905–06 (“The constitutional objection to substantive due process is routinely captured by a single declaration: </w:t>
      </w:r>
      <w:r w:rsidR="00F6758E">
        <w:rPr>
          <w:i/>
          <w:iCs/>
        </w:rPr>
        <w:t>Lochner</w:t>
      </w:r>
      <w:r w:rsidR="00F6758E">
        <w:t>.”)</w:t>
      </w:r>
      <w:r w:rsidR="009D4D67">
        <w:t xml:space="preserve">; Litman, </w:t>
      </w:r>
      <w:r w:rsidR="009D4D67">
        <w:rPr>
          <w:i/>
          <w:iCs/>
        </w:rPr>
        <w:t>supra</w:t>
      </w:r>
      <w:r w:rsidR="009D4D67">
        <w:t xml:space="preserve"> note </w:t>
      </w:r>
      <w:r w:rsidR="009D4D67">
        <w:fldChar w:fldCharType="begin"/>
      </w:r>
      <w:r w:rsidR="009D4D67">
        <w:instrText xml:space="preserve"> NOTEREF _Ref174896525 \h </w:instrText>
      </w:r>
      <w:r w:rsidR="009D4D67">
        <w:fldChar w:fldCharType="separate"/>
      </w:r>
      <w:r w:rsidR="00B3355A">
        <w:t>168</w:t>
      </w:r>
      <w:r w:rsidR="009D4D67">
        <w:fldChar w:fldCharType="end"/>
      </w:r>
      <w:r w:rsidR="009D4D67">
        <w:t xml:space="preserve"> (</w:t>
      </w:r>
      <w:r w:rsidR="00320EF4">
        <w:t>manuscript at 10</w:t>
      </w:r>
      <w:r w:rsidR="00410932">
        <w:t>–13)</w:t>
      </w:r>
      <w:r w:rsidR="00F6758E">
        <w:t>.</w:t>
      </w:r>
    </w:p>
  </w:footnote>
  <w:footnote w:id="194">
    <w:p w14:paraId="2C3D015B" w14:textId="69AB1223" w:rsidR="003F4C33" w:rsidRPr="003F4C33" w:rsidRDefault="003F4C33">
      <w:pPr>
        <w:pStyle w:val="FootnoteText"/>
      </w:pPr>
      <w:r>
        <w:rPr>
          <w:rStyle w:val="FootnoteReference"/>
        </w:rPr>
        <w:footnoteRef/>
      </w:r>
      <w:r>
        <w:t xml:space="preserve"> </w:t>
      </w:r>
      <w:r>
        <w:rPr>
          <w:i/>
          <w:iCs/>
        </w:rPr>
        <w:t>See</w:t>
      </w:r>
      <w:r>
        <w:t xml:space="preserve"> Alito Interview, </w:t>
      </w:r>
      <w:r>
        <w:rPr>
          <w:i/>
          <w:iCs/>
        </w:rPr>
        <w:t>supra</w:t>
      </w:r>
      <w:r>
        <w:t xml:space="preserve"> note </w:t>
      </w:r>
      <w:r>
        <w:fldChar w:fldCharType="begin"/>
      </w:r>
      <w:r>
        <w:instrText xml:space="preserve"> NOTEREF _Ref174886729 \h </w:instrText>
      </w:r>
      <w:r>
        <w:fldChar w:fldCharType="separate"/>
      </w:r>
      <w:r w:rsidR="00B3355A">
        <w:t>165</w:t>
      </w:r>
      <w:r>
        <w:fldChar w:fldCharType="end"/>
      </w:r>
      <w:r>
        <w:t>, at 1:08:37 (“</w:t>
      </w:r>
      <w:r w:rsidR="00316EFD" w:rsidRPr="00316EFD">
        <w:t xml:space="preserve">The idea of substantive due process has been very controversial throughout the Court’s history. It was a prominent feature in </w:t>
      </w:r>
      <w:proofErr w:type="gramStart"/>
      <w:r w:rsidR="00316EFD" w:rsidRPr="00316EFD">
        <w:t>a number of</w:t>
      </w:r>
      <w:proofErr w:type="gramEnd"/>
      <w:r w:rsidR="00316EFD" w:rsidRPr="00316EFD">
        <w:t xml:space="preserve"> pre-New Deal Supreme Court decisions where it was used to protect property rights. And the New Deal Constitutional Revolution tried to either kill off substantive due process completely or relegate it to very, very minor role.</w:t>
      </w:r>
      <w:r w:rsidR="00316EFD">
        <w:t>”).</w:t>
      </w:r>
    </w:p>
  </w:footnote>
  <w:footnote w:id="195">
    <w:p w14:paraId="5B05AB04" w14:textId="03759B2D" w:rsidR="001D47D7" w:rsidRDefault="001D47D7">
      <w:pPr>
        <w:pStyle w:val="FootnoteText"/>
      </w:pPr>
      <w:r>
        <w:rPr>
          <w:rStyle w:val="FootnoteReference"/>
        </w:rPr>
        <w:footnoteRef/>
      </w:r>
      <w:r>
        <w:t xml:space="preserve"> </w:t>
      </w:r>
      <w:r w:rsidR="007905AB" w:rsidRPr="002E5095">
        <w:rPr>
          <w:smallCaps/>
        </w:rPr>
        <w:t>Madiba Dennie, The Originalism Trap</w:t>
      </w:r>
      <w:r w:rsidR="007905AB">
        <w:rPr>
          <w:smallCaps/>
        </w:rPr>
        <w:t>: How Extremists Stole the Constitution and How We The People Can Take It Back</w:t>
      </w:r>
      <w:r w:rsidR="007905AB">
        <w:t xml:space="preserve"> 4 (2024)</w:t>
      </w:r>
    </w:p>
  </w:footnote>
  <w:footnote w:id="196">
    <w:p w14:paraId="5C7ED789" w14:textId="7F14457A" w:rsidR="007E7500" w:rsidRPr="00BA0C5F" w:rsidRDefault="007E7500" w:rsidP="007E7500">
      <w:pPr>
        <w:pStyle w:val="FootnoteText"/>
      </w:pPr>
      <w:r>
        <w:rPr>
          <w:rStyle w:val="FootnoteReference"/>
        </w:rPr>
        <w:footnoteRef/>
      </w:r>
      <w:r w:rsidR="00B80DDB">
        <w:t xml:space="preserve"> </w:t>
      </w:r>
      <w:r w:rsidR="00D4570C">
        <w:t>“Supposed” because o</w:t>
      </w:r>
      <w:r w:rsidR="009704CE">
        <w:t>riginalism</w:t>
      </w:r>
      <w:r w:rsidR="00D4570C">
        <w:t xml:space="preserve"> itself is riddled with subjectivity.</w:t>
      </w:r>
      <w:r w:rsidR="004051BE">
        <w:t xml:space="preserve"> </w:t>
      </w:r>
      <w:r w:rsidR="004051BE">
        <w:rPr>
          <w:i/>
          <w:iCs/>
        </w:rPr>
        <w:t>See, e.g.</w:t>
      </w:r>
      <w:r w:rsidR="004051BE">
        <w:t>,</w:t>
      </w:r>
      <w:r>
        <w:t xml:space="preserve"> </w:t>
      </w:r>
      <w:r w:rsidR="007905AB">
        <w:rPr>
          <w:i/>
          <w:iCs/>
        </w:rPr>
        <w:t>id.</w:t>
      </w:r>
      <w:r w:rsidR="007905AB">
        <w:t xml:space="preserve"> at </w:t>
      </w:r>
      <w:r w:rsidR="00BC2CA3">
        <w:t xml:space="preserve">10–12, </w:t>
      </w:r>
      <w:r w:rsidR="001B7C3C">
        <w:t>18</w:t>
      </w:r>
      <w:r w:rsidR="00F018D3">
        <w:t xml:space="preserve">, </w:t>
      </w:r>
      <w:r w:rsidR="0066797F">
        <w:t xml:space="preserve">28, </w:t>
      </w:r>
      <w:r w:rsidR="00F018D3">
        <w:t>88</w:t>
      </w:r>
      <w:r w:rsidR="00864834">
        <w:t>–92</w:t>
      </w:r>
      <w:r w:rsidR="005F1D01">
        <w:t xml:space="preserve">; </w:t>
      </w:r>
      <w:r w:rsidR="007121CB">
        <w:t xml:space="preserve">Reva B. Siegel, </w:t>
      </w:r>
      <w:r w:rsidR="000E2BA9">
        <w:rPr>
          <w:i/>
          <w:iCs/>
        </w:rPr>
        <w:t xml:space="preserve">The History of History and Tradition: The Roots of </w:t>
      </w:r>
      <w:proofErr w:type="spellStart"/>
      <w:r w:rsidR="000E2BA9">
        <w:t>Dobbs</w:t>
      </w:r>
      <w:r w:rsidR="000E2BA9">
        <w:rPr>
          <w:i/>
          <w:iCs/>
        </w:rPr>
        <w:t>’s</w:t>
      </w:r>
      <w:proofErr w:type="spellEnd"/>
      <w:r w:rsidR="000E2BA9">
        <w:rPr>
          <w:i/>
          <w:iCs/>
        </w:rPr>
        <w:t xml:space="preserve"> Method (and Originalism) in the Defense of Segregation</w:t>
      </w:r>
      <w:r w:rsidR="000E2BA9">
        <w:t xml:space="preserve">, </w:t>
      </w:r>
      <w:r w:rsidR="00F16596">
        <w:t xml:space="preserve">2023 </w:t>
      </w:r>
      <w:r w:rsidR="00F16596" w:rsidRPr="000026D8">
        <w:rPr>
          <w:smallCaps/>
        </w:rPr>
        <w:t>Yale L.J.F.</w:t>
      </w:r>
      <w:r w:rsidR="00F16596">
        <w:t xml:space="preserve"> 99, </w:t>
      </w:r>
      <w:r w:rsidR="000026D8">
        <w:t xml:space="preserve">101 (discussing the choice to determine the “history and tradition” of </w:t>
      </w:r>
      <w:r w:rsidR="00231751">
        <w:t>abortion rights by the state-counting method)</w:t>
      </w:r>
      <w:r w:rsidR="00D6694C">
        <w:t xml:space="preserve">; </w:t>
      </w:r>
      <w:r w:rsidR="00D6694C" w:rsidRPr="00D6694C">
        <w:rPr>
          <w:highlight w:val="yellow"/>
        </w:rPr>
        <w:t>others</w:t>
      </w:r>
      <w:r>
        <w:t>.</w:t>
      </w:r>
    </w:p>
  </w:footnote>
  <w:footnote w:id="197">
    <w:p w14:paraId="5641E0EF" w14:textId="52614D70" w:rsidR="00ED5218" w:rsidRPr="008E697B" w:rsidRDefault="00ED5218">
      <w:pPr>
        <w:pStyle w:val="FootnoteText"/>
      </w:pPr>
      <w:r>
        <w:rPr>
          <w:rStyle w:val="FootnoteReference"/>
        </w:rPr>
        <w:footnoteRef/>
      </w:r>
      <w:r>
        <w:t xml:space="preserve"> </w:t>
      </w:r>
      <w:r>
        <w:rPr>
          <w:i/>
          <w:iCs/>
        </w:rPr>
        <w:t>See</w:t>
      </w:r>
      <w:r>
        <w:t xml:space="preserve"> </w:t>
      </w:r>
      <w:r w:rsidR="00CC2787" w:rsidRPr="00CC2787">
        <w:t>Washington v. Glucksb</w:t>
      </w:r>
      <w:r w:rsidR="006A5851">
        <w:t>e</w:t>
      </w:r>
      <w:r w:rsidR="00CC2787" w:rsidRPr="00CC2787">
        <w:t>rg</w:t>
      </w:r>
      <w:r w:rsidR="00CC2787">
        <w:t>, 521 U.S. 702, 7</w:t>
      </w:r>
      <w:r w:rsidR="00496004">
        <w:t>20–</w:t>
      </w:r>
      <w:r w:rsidR="00CC2787">
        <w:t>22 (1997) (</w:t>
      </w:r>
      <w:r w:rsidR="008A2F5C">
        <w:t>Rehnquist, C.J., for the majority) (“</w:t>
      </w:r>
      <w:r w:rsidR="00496004" w:rsidRPr="00496004">
        <w:t xml:space="preserve">This </w:t>
      </w:r>
      <w:r w:rsidR="00496004">
        <w:t xml:space="preserve">[history-focused] </w:t>
      </w:r>
      <w:r w:rsidR="00496004" w:rsidRPr="00496004">
        <w:t>approach tends to rein in the subjective elements that are necessarily present in due-process judicial review.</w:t>
      </w:r>
      <w:r w:rsidR="00496004">
        <w:t xml:space="preserve">”); </w:t>
      </w:r>
      <w:r>
        <w:t xml:space="preserve">Alito Interview, </w:t>
      </w:r>
      <w:r>
        <w:rPr>
          <w:i/>
          <w:iCs/>
        </w:rPr>
        <w:t>supra</w:t>
      </w:r>
      <w:r>
        <w:t xml:space="preserve"> note </w:t>
      </w:r>
      <w:r>
        <w:fldChar w:fldCharType="begin"/>
      </w:r>
      <w:r>
        <w:instrText xml:space="preserve"> NOTEREF _Ref174886729 \h </w:instrText>
      </w:r>
      <w:r>
        <w:fldChar w:fldCharType="separate"/>
      </w:r>
      <w:r w:rsidR="00B3355A">
        <w:t>165</w:t>
      </w:r>
      <w:r>
        <w:fldChar w:fldCharType="end"/>
      </w:r>
      <w:r>
        <w:t>, at 1:08:37</w:t>
      </w:r>
      <w:r w:rsidR="008E697B">
        <w:t xml:space="preserve"> (praising </w:t>
      </w:r>
      <w:r w:rsidR="008E697B">
        <w:rPr>
          <w:i/>
          <w:iCs/>
        </w:rPr>
        <w:t>Glucksb</w:t>
      </w:r>
      <w:r w:rsidR="006A5851">
        <w:rPr>
          <w:i/>
          <w:iCs/>
        </w:rPr>
        <w:t>e</w:t>
      </w:r>
      <w:r w:rsidR="008E697B">
        <w:rPr>
          <w:i/>
          <w:iCs/>
        </w:rPr>
        <w:t>rg</w:t>
      </w:r>
      <w:r w:rsidR="00E021BA">
        <w:t>’s approach</w:t>
      </w:r>
      <w:r w:rsidR="00CD251A">
        <w:t xml:space="preserve"> as limiting subjectivity</w:t>
      </w:r>
      <w:r w:rsidR="00202543">
        <w:t>)</w:t>
      </w:r>
      <w:r w:rsidR="00A14569">
        <w:t xml:space="preserve">; </w:t>
      </w:r>
      <w:r w:rsidR="00A14569" w:rsidRPr="00A14569">
        <w:rPr>
          <w:highlight w:val="yellow"/>
        </w:rPr>
        <w:t>others</w:t>
      </w:r>
      <w:r w:rsidR="00202543">
        <w:t>.</w:t>
      </w:r>
    </w:p>
  </w:footnote>
  <w:footnote w:id="198">
    <w:p w14:paraId="470DF82F" w14:textId="26216436" w:rsidR="006A5851" w:rsidRPr="00127B29" w:rsidRDefault="006A5851">
      <w:pPr>
        <w:pStyle w:val="FootnoteText"/>
      </w:pPr>
      <w:r>
        <w:rPr>
          <w:rStyle w:val="FootnoteReference"/>
        </w:rPr>
        <w:footnoteRef/>
      </w:r>
      <w:r w:rsidR="00D2064F">
        <w:t xml:space="preserve"> </w:t>
      </w:r>
      <w:r w:rsidR="00D2064F">
        <w:rPr>
          <w:i/>
          <w:iCs/>
        </w:rPr>
        <w:t xml:space="preserve">See </w:t>
      </w:r>
      <w:r w:rsidR="00B23EEE">
        <w:t>Dep</w:t>
      </w:r>
      <w:r w:rsidR="000D5FDE">
        <w:t>artmen</w:t>
      </w:r>
      <w:r w:rsidR="00B23EEE">
        <w:t>t of State v. Mu</w:t>
      </w:r>
      <w:r w:rsidR="00D2064F">
        <w:rPr>
          <w:rFonts w:ascii="Times New Roman" w:hAnsi="Times New Roman"/>
        </w:rPr>
        <w:t>ñoz, 144 S. Ct. 1812, 1821–22 (2024)</w:t>
      </w:r>
      <w:r w:rsidR="007E276D">
        <w:rPr>
          <w:rFonts w:ascii="Times New Roman" w:hAnsi="Times New Roman"/>
        </w:rPr>
        <w:t xml:space="preserve"> (quoting </w:t>
      </w:r>
      <w:r w:rsidR="007E276D">
        <w:rPr>
          <w:rFonts w:ascii="Times New Roman" w:hAnsi="Times New Roman"/>
          <w:i/>
          <w:iCs/>
        </w:rPr>
        <w:t>Glucksberg</w:t>
      </w:r>
      <w:r w:rsidR="007E276D">
        <w:rPr>
          <w:rFonts w:ascii="Times New Roman" w:hAnsi="Times New Roman"/>
        </w:rPr>
        <w:t xml:space="preserve">, </w:t>
      </w:r>
      <w:r w:rsidR="00D93EF8">
        <w:rPr>
          <w:rFonts w:ascii="Times New Roman" w:hAnsi="Times New Roman"/>
        </w:rPr>
        <w:t>521 U.S. at 721)</w:t>
      </w:r>
      <w:r w:rsidR="00D2064F">
        <w:rPr>
          <w:rFonts w:ascii="Times New Roman" w:hAnsi="Times New Roman"/>
        </w:rPr>
        <w:t>.</w:t>
      </w:r>
    </w:p>
  </w:footnote>
  <w:footnote w:id="199">
    <w:p w14:paraId="7BEDB809" w14:textId="61826B36" w:rsidR="007B58D6" w:rsidRPr="007B58D6" w:rsidRDefault="007B58D6">
      <w:pPr>
        <w:pStyle w:val="FootnoteText"/>
      </w:pPr>
      <w:r>
        <w:rPr>
          <w:rStyle w:val="FootnoteReference"/>
        </w:rPr>
        <w:footnoteRef/>
      </w:r>
      <w:r>
        <w:t xml:space="preserve"> </w:t>
      </w:r>
      <w:r>
        <w:rPr>
          <w:i/>
          <w:iCs/>
        </w:rPr>
        <w:t>Id.</w:t>
      </w:r>
      <w:r>
        <w:t xml:space="preserve"> </w:t>
      </w:r>
      <w:proofErr w:type="gramStart"/>
      <w:r>
        <w:t>at</w:t>
      </w:r>
      <w:proofErr w:type="gramEnd"/>
      <w:r>
        <w:t xml:space="preserve"> 1822.</w:t>
      </w:r>
    </w:p>
  </w:footnote>
  <w:footnote w:id="200">
    <w:p w14:paraId="6B9D53F7" w14:textId="5312717F" w:rsidR="006377A7" w:rsidRPr="006377A7" w:rsidRDefault="006377A7">
      <w:pPr>
        <w:pStyle w:val="FootnoteText"/>
      </w:pPr>
      <w:r>
        <w:rPr>
          <w:rStyle w:val="FootnoteReference"/>
        </w:rPr>
        <w:footnoteRef/>
      </w:r>
      <w:r>
        <w:t xml:space="preserve"> </w:t>
      </w:r>
      <w:r>
        <w:rPr>
          <w:i/>
          <w:iCs/>
        </w:rPr>
        <w:t>See</w:t>
      </w:r>
      <w:r>
        <w:t xml:space="preserve"> </w:t>
      </w:r>
      <w:r w:rsidRPr="00D93EF8">
        <w:rPr>
          <w:smallCaps/>
        </w:rPr>
        <w:t>Dennie</w:t>
      </w:r>
      <w:r>
        <w:t xml:space="preserve">, </w:t>
      </w:r>
      <w:r>
        <w:rPr>
          <w:i/>
          <w:iCs/>
        </w:rPr>
        <w:t>supra</w:t>
      </w:r>
      <w:r>
        <w:t xml:space="preserve"> note </w:t>
      </w:r>
      <w:r>
        <w:fldChar w:fldCharType="begin"/>
      </w:r>
      <w:r>
        <w:instrText xml:space="preserve"> NOTEREF _Ref174977973 \h </w:instrText>
      </w:r>
      <w:r>
        <w:fldChar w:fldCharType="separate"/>
      </w:r>
      <w:r w:rsidR="00B3355A">
        <w:t>179</w:t>
      </w:r>
      <w:r>
        <w:fldChar w:fldCharType="end"/>
      </w:r>
      <w:r>
        <w:t>, at 78–79.</w:t>
      </w:r>
    </w:p>
  </w:footnote>
  <w:footnote w:id="201">
    <w:p w14:paraId="3BE56CCD" w14:textId="545B3106" w:rsidR="007E276D" w:rsidRPr="001B7A4F" w:rsidRDefault="007E276D">
      <w:pPr>
        <w:pStyle w:val="FootnoteText"/>
      </w:pPr>
      <w:r>
        <w:rPr>
          <w:rStyle w:val="FootnoteReference"/>
        </w:rPr>
        <w:footnoteRef/>
      </w:r>
      <w:r>
        <w:t xml:space="preserve"> </w:t>
      </w:r>
      <w:r w:rsidR="008F2D60" w:rsidRPr="008F2D60">
        <w:rPr>
          <w:i/>
          <w:iCs/>
        </w:rPr>
        <w:t>Mu</w:t>
      </w:r>
      <w:r w:rsidR="008F2D60" w:rsidRPr="008F2D60">
        <w:rPr>
          <w:rFonts w:ascii="Times New Roman" w:hAnsi="Times New Roman"/>
          <w:i/>
          <w:iCs/>
        </w:rPr>
        <w:t>ñoz</w:t>
      </w:r>
      <w:r w:rsidR="008F2D60">
        <w:rPr>
          <w:rFonts w:ascii="Times New Roman" w:hAnsi="Times New Roman"/>
        </w:rPr>
        <w:t xml:space="preserve">, 144 S. Ct. at </w:t>
      </w:r>
      <w:r w:rsidR="001B7A4F">
        <w:rPr>
          <w:rFonts w:ascii="Times New Roman" w:hAnsi="Times New Roman"/>
        </w:rPr>
        <w:t xml:space="preserve">1822 (quoting </w:t>
      </w:r>
      <w:r w:rsidR="001B7A4F">
        <w:rPr>
          <w:rFonts w:ascii="Times New Roman" w:hAnsi="Times New Roman"/>
          <w:i/>
          <w:iCs/>
        </w:rPr>
        <w:t>Glucksberg</w:t>
      </w:r>
      <w:r w:rsidR="001B7A4F">
        <w:rPr>
          <w:rFonts w:ascii="Times New Roman" w:hAnsi="Times New Roman"/>
        </w:rPr>
        <w:t>, 521 U.S. at 720–21</w:t>
      </w:r>
      <w:r w:rsidR="00C11696">
        <w:rPr>
          <w:rFonts w:ascii="Times New Roman" w:hAnsi="Times New Roman"/>
        </w:rPr>
        <w:t>)</w:t>
      </w:r>
      <w:r w:rsidR="001B7A4F">
        <w:rPr>
          <w:rFonts w:ascii="Times New Roman" w:hAnsi="Times New Roman"/>
        </w:rPr>
        <w:t>.</w:t>
      </w:r>
    </w:p>
  </w:footnote>
  <w:footnote w:id="202">
    <w:p w14:paraId="6B61B7B6" w14:textId="0906DC3D" w:rsidR="00F41DD6" w:rsidRPr="00526635" w:rsidRDefault="00F41DD6">
      <w:pPr>
        <w:pStyle w:val="FootnoteText"/>
      </w:pPr>
      <w:r>
        <w:rPr>
          <w:rStyle w:val="FootnoteReference"/>
        </w:rPr>
        <w:footnoteRef/>
      </w:r>
      <w:r>
        <w:t xml:space="preserve"> The originalist </w:t>
      </w:r>
      <w:r w:rsidR="00413402">
        <w:t xml:space="preserve">method of substantive due process analysis has </w:t>
      </w:r>
      <w:r w:rsidR="00A40926">
        <w:t>experienced</w:t>
      </w:r>
      <w:r w:rsidR="00B371E3">
        <w:t xml:space="preserve"> varying levels of success at the Supreme Court. First articulated by Justice Antonin Scalia in a footnote joined by only one other justice in his plurality opinion for the Court in </w:t>
      </w:r>
      <w:r w:rsidR="00B371E3">
        <w:rPr>
          <w:i/>
          <w:iCs/>
        </w:rPr>
        <w:t xml:space="preserve">Michael H. v. </w:t>
      </w:r>
      <w:r w:rsidR="00F10711">
        <w:rPr>
          <w:i/>
          <w:iCs/>
        </w:rPr>
        <w:t>Gerald D.</w:t>
      </w:r>
      <w:r w:rsidR="00F10711">
        <w:t xml:space="preserve">, </w:t>
      </w:r>
      <w:r w:rsidR="00C13497">
        <w:t xml:space="preserve">491 U.S. 110, </w:t>
      </w:r>
      <w:r w:rsidR="009E4F37">
        <w:t>127 &amp; n.6 (1989)</w:t>
      </w:r>
      <w:r w:rsidR="00EA1B1E">
        <w:t xml:space="preserve"> (denying the right of an “adulterous natural father” to </w:t>
      </w:r>
      <w:r w:rsidR="005829F3">
        <w:t>visit his child)</w:t>
      </w:r>
      <w:r w:rsidR="009E4F37">
        <w:t>,</w:t>
      </w:r>
      <w:r w:rsidR="00E134DE">
        <w:t xml:space="preserve"> a majority </w:t>
      </w:r>
      <w:r w:rsidR="005829F3">
        <w:t xml:space="preserve">of the Court deployed the method to deny the right to assisted suicide in </w:t>
      </w:r>
      <w:r w:rsidR="005829F3">
        <w:rPr>
          <w:i/>
          <w:iCs/>
        </w:rPr>
        <w:t>Washington v. Glucksberg</w:t>
      </w:r>
      <w:r w:rsidR="005829F3">
        <w:t xml:space="preserve">, 521 U.S. </w:t>
      </w:r>
      <w:r w:rsidR="00C852B6">
        <w:t xml:space="preserve">702, 720–22. </w:t>
      </w:r>
      <w:proofErr w:type="gramStart"/>
      <w:r w:rsidR="00B31DB1">
        <w:t>A majority of</w:t>
      </w:r>
      <w:proofErr w:type="gramEnd"/>
      <w:r w:rsidR="00B31DB1">
        <w:t xml:space="preserve"> the Court then </w:t>
      </w:r>
      <w:r w:rsidR="0033671B">
        <w:t xml:space="preserve">explicitly rejected the originalist method in </w:t>
      </w:r>
      <w:r w:rsidR="0033671B">
        <w:rPr>
          <w:i/>
          <w:iCs/>
        </w:rPr>
        <w:t>Lawrence v. Texas</w:t>
      </w:r>
      <w:r w:rsidR="0033671B">
        <w:t xml:space="preserve">, 539 U.S. 558, </w:t>
      </w:r>
      <w:r w:rsidR="0097087F">
        <w:t>572 (2003) (“History and tradition are the starting point but not in all cases the ending point of the substantive due process inquiry.” (internal quotation and alterations omitted)).</w:t>
      </w:r>
      <w:r w:rsidR="005A4C27">
        <w:t xml:space="preserve"> This remained the case until</w:t>
      </w:r>
      <w:r w:rsidR="004D1AB8">
        <w:t xml:space="preserve"> the Court decided</w:t>
      </w:r>
      <w:r w:rsidR="00AE6DC3">
        <w:t xml:space="preserve"> </w:t>
      </w:r>
      <w:r w:rsidR="00AE6DC3">
        <w:rPr>
          <w:i/>
          <w:iCs/>
        </w:rPr>
        <w:t xml:space="preserve">Department of State v. </w:t>
      </w:r>
      <w:r w:rsidR="00AE6DC3" w:rsidRPr="008F2D60">
        <w:rPr>
          <w:i/>
          <w:iCs/>
        </w:rPr>
        <w:t>Mu</w:t>
      </w:r>
      <w:r w:rsidR="00AE6DC3" w:rsidRPr="008F2D60">
        <w:rPr>
          <w:rFonts w:ascii="Times New Roman" w:hAnsi="Times New Roman"/>
          <w:i/>
          <w:iCs/>
        </w:rPr>
        <w:t>ñoz</w:t>
      </w:r>
      <w:r w:rsidR="004D1AB8">
        <w:rPr>
          <w:rFonts w:ascii="Times New Roman" w:hAnsi="Times New Roman"/>
        </w:rPr>
        <w:t xml:space="preserve"> in June 2024, in which</w:t>
      </w:r>
      <w:r w:rsidR="00AE6DC3">
        <w:rPr>
          <w:rFonts w:ascii="Times New Roman" w:hAnsi="Times New Roman"/>
        </w:rPr>
        <w:t xml:space="preserve"> </w:t>
      </w:r>
      <w:r w:rsidR="006143C5">
        <w:rPr>
          <w:rFonts w:ascii="Times New Roman" w:hAnsi="Times New Roman"/>
        </w:rPr>
        <w:t xml:space="preserve">it applied </w:t>
      </w:r>
      <w:r w:rsidR="00526635">
        <w:rPr>
          <w:rFonts w:ascii="Times New Roman" w:hAnsi="Times New Roman"/>
        </w:rPr>
        <w:t xml:space="preserve">the </w:t>
      </w:r>
      <w:r w:rsidR="00526635">
        <w:rPr>
          <w:rFonts w:ascii="Times New Roman" w:hAnsi="Times New Roman"/>
          <w:i/>
          <w:iCs/>
        </w:rPr>
        <w:t>Glucksberg</w:t>
      </w:r>
      <w:r w:rsidR="00526635">
        <w:rPr>
          <w:rFonts w:ascii="Times New Roman" w:hAnsi="Times New Roman"/>
        </w:rPr>
        <w:t xml:space="preserve"> test verbatim without citing </w:t>
      </w:r>
      <w:r w:rsidR="00526635">
        <w:rPr>
          <w:rFonts w:ascii="Times New Roman" w:hAnsi="Times New Roman"/>
          <w:i/>
          <w:iCs/>
        </w:rPr>
        <w:t>Lawrence</w:t>
      </w:r>
      <w:r w:rsidR="00526635">
        <w:rPr>
          <w:rFonts w:ascii="Times New Roman" w:hAnsi="Times New Roman"/>
        </w:rPr>
        <w:t xml:space="preserve"> at all. </w:t>
      </w:r>
      <w:r w:rsidR="00526635">
        <w:rPr>
          <w:rFonts w:ascii="Times New Roman" w:hAnsi="Times New Roman"/>
          <w:i/>
          <w:iCs/>
        </w:rPr>
        <w:t xml:space="preserve">See </w:t>
      </w:r>
      <w:r w:rsidR="00526635" w:rsidRPr="008F2D60">
        <w:rPr>
          <w:i/>
          <w:iCs/>
        </w:rPr>
        <w:t>Mu</w:t>
      </w:r>
      <w:r w:rsidR="00526635" w:rsidRPr="008F2D60">
        <w:rPr>
          <w:rFonts w:ascii="Times New Roman" w:hAnsi="Times New Roman"/>
          <w:i/>
          <w:iCs/>
        </w:rPr>
        <w:t>ñoz</w:t>
      </w:r>
      <w:r w:rsidR="00526635">
        <w:rPr>
          <w:rFonts w:ascii="Times New Roman" w:hAnsi="Times New Roman"/>
        </w:rPr>
        <w:t xml:space="preserve">, 144 S. Ct. </w:t>
      </w:r>
      <w:proofErr w:type="gramStart"/>
      <w:r w:rsidR="00526635">
        <w:rPr>
          <w:rFonts w:ascii="Times New Roman" w:hAnsi="Times New Roman"/>
        </w:rPr>
        <w:t>at</w:t>
      </w:r>
      <w:proofErr w:type="gramEnd"/>
      <w:r w:rsidR="00526635">
        <w:rPr>
          <w:rFonts w:ascii="Times New Roman" w:hAnsi="Times New Roman"/>
        </w:rPr>
        <w:t xml:space="preserve"> 18</w:t>
      </w:r>
      <w:r w:rsidR="0074657C">
        <w:rPr>
          <w:rFonts w:ascii="Times New Roman" w:hAnsi="Times New Roman"/>
        </w:rPr>
        <w:t>21–</w:t>
      </w:r>
      <w:r w:rsidR="00526635">
        <w:rPr>
          <w:rFonts w:ascii="Times New Roman" w:hAnsi="Times New Roman"/>
        </w:rPr>
        <w:t>22</w:t>
      </w:r>
      <w:r w:rsidR="0074657C">
        <w:rPr>
          <w:rFonts w:ascii="Times New Roman" w:hAnsi="Times New Roman"/>
        </w:rPr>
        <w:t>.</w:t>
      </w:r>
    </w:p>
  </w:footnote>
  <w:footnote w:id="203">
    <w:p w14:paraId="75A3A4DB" w14:textId="32DD7D8D" w:rsidR="00CC4F1E" w:rsidRPr="00CC4F1E" w:rsidRDefault="00CC4F1E">
      <w:pPr>
        <w:pStyle w:val="FootnoteText"/>
      </w:pPr>
      <w:r>
        <w:rPr>
          <w:rStyle w:val="FootnoteReference"/>
        </w:rPr>
        <w:footnoteRef/>
      </w:r>
      <w:r>
        <w:t xml:space="preserve"> </w:t>
      </w:r>
      <w:r>
        <w:rPr>
          <w:i/>
          <w:iCs/>
        </w:rPr>
        <w:t>Id.</w:t>
      </w:r>
      <w:r>
        <w:t xml:space="preserve"> </w:t>
      </w:r>
      <w:proofErr w:type="gramStart"/>
      <w:r>
        <w:t>at</w:t>
      </w:r>
      <w:proofErr w:type="gramEnd"/>
      <w:r>
        <w:t xml:space="preserve"> 1817.</w:t>
      </w:r>
    </w:p>
  </w:footnote>
  <w:footnote w:id="204">
    <w:p w14:paraId="4491DF71" w14:textId="105849D4" w:rsidR="00A54584" w:rsidRPr="00A54584" w:rsidRDefault="00A54584">
      <w:pPr>
        <w:pStyle w:val="FootnoteText"/>
      </w:pPr>
      <w:r>
        <w:rPr>
          <w:rStyle w:val="FootnoteReference"/>
        </w:rPr>
        <w:footnoteRef/>
      </w:r>
      <w:r>
        <w:t xml:space="preserve"> </w:t>
      </w:r>
      <w:r>
        <w:rPr>
          <w:i/>
          <w:iCs/>
        </w:rPr>
        <w:t>Id.</w:t>
      </w:r>
      <w:r>
        <w:t xml:space="preserve"> </w:t>
      </w:r>
      <w:proofErr w:type="gramStart"/>
      <w:r>
        <w:t>at</w:t>
      </w:r>
      <w:proofErr w:type="gramEnd"/>
      <w:r>
        <w:t xml:space="preserve"> 1822.</w:t>
      </w:r>
    </w:p>
  </w:footnote>
  <w:footnote w:id="205">
    <w:p w14:paraId="36C7C336" w14:textId="1B0BF461" w:rsidR="00FB30CB" w:rsidRPr="00A54584" w:rsidRDefault="00FB30CB">
      <w:pPr>
        <w:pStyle w:val="FootnoteText"/>
      </w:pPr>
      <w:r>
        <w:rPr>
          <w:rStyle w:val="FootnoteReference"/>
        </w:rPr>
        <w:footnoteRef/>
      </w:r>
      <w:r>
        <w:t xml:space="preserve"> </w:t>
      </w:r>
      <w:r>
        <w:rPr>
          <w:i/>
          <w:iCs/>
        </w:rPr>
        <w:t>See</w:t>
      </w:r>
      <w:r w:rsidR="00A54584">
        <w:rPr>
          <w:i/>
          <w:iCs/>
        </w:rPr>
        <w:t>, e.g.</w:t>
      </w:r>
      <w:r w:rsidR="00A54584">
        <w:t xml:space="preserve">, Obergefell v. Hodges, </w:t>
      </w:r>
      <w:r w:rsidR="008A3AB6">
        <w:t>576 U.S. 644, 671 (“</w:t>
      </w:r>
      <w:r w:rsidR="008A3AB6" w:rsidRPr="008A3AB6">
        <w:t>The right to marry is fundamental as a matter of history and tradition.</w:t>
      </w:r>
      <w:r w:rsidR="008A3AB6">
        <w:t>”); Loving v. Virginia,</w:t>
      </w:r>
      <w:r w:rsidR="00863143">
        <w:t xml:space="preserve"> 388 U.S. 1, 12 (1967).</w:t>
      </w:r>
    </w:p>
  </w:footnote>
  <w:footnote w:id="206">
    <w:p w14:paraId="001DF194" w14:textId="12C8E6CE" w:rsidR="007C082C" w:rsidRPr="007C082C" w:rsidRDefault="007C082C">
      <w:pPr>
        <w:pStyle w:val="FootnoteText"/>
        <w:rPr>
          <w:i/>
          <w:iCs/>
        </w:rPr>
      </w:pPr>
      <w:r>
        <w:rPr>
          <w:rStyle w:val="FootnoteReference"/>
        </w:rPr>
        <w:footnoteRef/>
      </w:r>
      <w:r>
        <w:t xml:space="preserve"> </w:t>
      </w:r>
      <w:r w:rsidRPr="009839A4">
        <w:rPr>
          <w:i/>
          <w:iCs/>
        </w:rPr>
        <w:t>Mu</w:t>
      </w:r>
      <w:r w:rsidRPr="009839A4">
        <w:rPr>
          <w:rFonts w:ascii="Times New Roman" w:hAnsi="Times New Roman"/>
          <w:i/>
          <w:iCs/>
        </w:rPr>
        <w:t>ñoz</w:t>
      </w:r>
      <w:r>
        <w:rPr>
          <w:rFonts w:ascii="Times New Roman" w:hAnsi="Times New Roman"/>
        </w:rPr>
        <w:t xml:space="preserve">, </w:t>
      </w:r>
      <w:r w:rsidR="009839A4">
        <w:rPr>
          <w:rFonts w:ascii="Times New Roman" w:hAnsi="Times New Roman"/>
        </w:rPr>
        <w:t>144 S. Ct. at 1822 (emphasis original).</w:t>
      </w:r>
    </w:p>
  </w:footnote>
  <w:footnote w:id="207">
    <w:p w14:paraId="576761FE" w14:textId="2B5171E9" w:rsidR="00BB7EEF" w:rsidRPr="00BB7EEF" w:rsidRDefault="00BB7EEF">
      <w:pPr>
        <w:pStyle w:val="FootnoteText"/>
      </w:pPr>
      <w:r>
        <w:rPr>
          <w:rStyle w:val="FootnoteReference"/>
        </w:rPr>
        <w:footnoteRef/>
      </w:r>
      <w:r>
        <w:t xml:space="preserve"> </w:t>
      </w:r>
      <w:r>
        <w:rPr>
          <w:i/>
          <w:iCs/>
        </w:rPr>
        <w:t>See id.</w:t>
      </w:r>
      <w:r>
        <w:t xml:space="preserve"> </w:t>
      </w:r>
      <w:proofErr w:type="gramStart"/>
      <w:r>
        <w:t>at</w:t>
      </w:r>
      <w:proofErr w:type="gramEnd"/>
      <w:r>
        <w:t xml:space="preserve"> 1820–21.</w:t>
      </w:r>
    </w:p>
  </w:footnote>
  <w:footnote w:id="208">
    <w:p w14:paraId="630F24C7" w14:textId="59FA5D20" w:rsidR="00E721D9" w:rsidRPr="002C3F8A" w:rsidRDefault="00E721D9">
      <w:pPr>
        <w:pStyle w:val="FootnoteText"/>
      </w:pPr>
      <w:r>
        <w:rPr>
          <w:rStyle w:val="FootnoteReference"/>
        </w:rPr>
        <w:footnoteRef/>
      </w:r>
      <w:r>
        <w:t xml:space="preserve"> </w:t>
      </w:r>
      <w:r w:rsidR="002C3F8A">
        <w:rPr>
          <w:i/>
          <w:iCs/>
        </w:rPr>
        <w:t>See, e.g.</w:t>
      </w:r>
      <w:r w:rsidR="002C3F8A">
        <w:t xml:space="preserve">, </w:t>
      </w:r>
      <w:r w:rsidR="002C3F8A" w:rsidRPr="003A1915">
        <w:rPr>
          <w:smallCaps/>
        </w:rPr>
        <w:t>Dennie</w:t>
      </w:r>
      <w:r w:rsidR="002C3F8A">
        <w:t xml:space="preserve">, </w:t>
      </w:r>
      <w:r w:rsidR="002C3F8A">
        <w:rPr>
          <w:i/>
          <w:iCs/>
        </w:rPr>
        <w:t>supra</w:t>
      </w:r>
      <w:r w:rsidR="002C3F8A">
        <w:t xml:space="preserve"> note </w:t>
      </w:r>
      <w:r w:rsidR="002C3F8A">
        <w:fldChar w:fldCharType="begin"/>
      </w:r>
      <w:r w:rsidR="002C3F8A">
        <w:instrText xml:space="preserve"> NOTEREF _Ref174977973 \h </w:instrText>
      </w:r>
      <w:r w:rsidR="002C3F8A">
        <w:fldChar w:fldCharType="separate"/>
      </w:r>
      <w:r w:rsidR="00B3355A">
        <w:t>179</w:t>
      </w:r>
      <w:r w:rsidR="002C3F8A">
        <w:fldChar w:fldCharType="end"/>
      </w:r>
      <w:r w:rsidR="002C3F8A">
        <w:t xml:space="preserve">, at </w:t>
      </w:r>
      <w:r w:rsidR="00AA63BD">
        <w:t>27</w:t>
      </w:r>
      <w:r w:rsidR="006477A5">
        <w:t>–28.</w:t>
      </w:r>
    </w:p>
  </w:footnote>
  <w:footnote w:id="209">
    <w:p w14:paraId="1679C891" w14:textId="3A71F821" w:rsidR="005B69A7" w:rsidRPr="005B69A7" w:rsidRDefault="005B69A7">
      <w:pPr>
        <w:pStyle w:val="FootnoteText"/>
      </w:pPr>
      <w:r>
        <w:rPr>
          <w:rStyle w:val="FootnoteReference"/>
        </w:rPr>
        <w:footnoteRef/>
      </w:r>
      <w:r>
        <w:t xml:space="preserve"> </w:t>
      </w:r>
      <w:r>
        <w:rPr>
          <w:i/>
          <w:iCs/>
        </w:rPr>
        <w:t>See supra</w:t>
      </w:r>
      <w:r>
        <w:t xml:space="preserve"> notes </w:t>
      </w:r>
      <w:r>
        <w:fldChar w:fldCharType="begin"/>
      </w:r>
      <w:r>
        <w:instrText xml:space="preserve"> NOTEREF _Ref175046615 \h </w:instrText>
      </w:r>
      <w:r>
        <w:fldChar w:fldCharType="separate"/>
      </w:r>
      <w:r w:rsidR="00B3355A">
        <w:t>164</w:t>
      </w:r>
      <w:r>
        <w:fldChar w:fldCharType="end"/>
      </w:r>
      <w:r>
        <w:t>–</w:t>
      </w:r>
      <w:r>
        <w:fldChar w:fldCharType="begin"/>
      </w:r>
      <w:r>
        <w:instrText xml:space="preserve"> NOTEREF _Ref175046625 \h </w:instrText>
      </w:r>
      <w:r>
        <w:fldChar w:fldCharType="separate"/>
      </w:r>
      <w:r w:rsidR="00B3355A">
        <w:t>167</w:t>
      </w:r>
      <w:r>
        <w:fldChar w:fldCharType="end"/>
      </w:r>
      <w:r>
        <w:t xml:space="preserve"> and accompanying text.</w:t>
      </w:r>
    </w:p>
  </w:footnote>
  <w:footnote w:id="210">
    <w:p w14:paraId="5E646F6B" w14:textId="2860CF13" w:rsidR="00A82C3D" w:rsidRDefault="00A82C3D">
      <w:pPr>
        <w:pStyle w:val="FootnoteText"/>
      </w:pPr>
      <w:r>
        <w:rPr>
          <w:rStyle w:val="FootnoteReference"/>
        </w:rPr>
        <w:footnoteRef/>
      </w:r>
      <w:r>
        <w:t xml:space="preserve"> I am not an originalist. [</w:t>
      </w:r>
      <w:r w:rsidRPr="00A82C3D">
        <w:rPr>
          <w:highlight w:val="yellow"/>
        </w:rPr>
        <w:t>elaborate</w:t>
      </w:r>
      <w:r w:rsidR="00504C18">
        <w:t>—cite to Dennie, inclusive constitutionalism].</w:t>
      </w:r>
    </w:p>
  </w:footnote>
  <w:footnote w:id="211">
    <w:p w14:paraId="56B8FC1A" w14:textId="1CDEE496" w:rsidR="001675A8" w:rsidRPr="001675A8" w:rsidRDefault="001675A8">
      <w:pPr>
        <w:pStyle w:val="FootnoteText"/>
      </w:pPr>
      <w:r>
        <w:rPr>
          <w:rStyle w:val="FootnoteReference"/>
        </w:rPr>
        <w:footnoteRef/>
      </w:r>
      <w:r>
        <w:t xml:space="preserve"> </w:t>
      </w:r>
      <w:r>
        <w:rPr>
          <w:i/>
          <w:iCs/>
        </w:rPr>
        <w:t>See</w:t>
      </w:r>
      <w:r>
        <w:t xml:space="preserve"> </w:t>
      </w:r>
      <w:r>
        <w:rPr>
          <w:i/>
          <w:iCs/>
        </w:rPr>
        <w:t>supra</w:t>
      </w:r>
      <w:r>
        <w:t xml:space="preserve"> notes </w:t>
      </w:r>
      <w:r w:rsidR="003A661B">
        <w:fldChar w:fldCharType="begin"/>
      </w:r>
      <w:r w:rsidR="003A661B">
        <w:instrText xml:space="preserve"> NOTEREF _Ref174632393 \h </w:instrText>
      </w:r>
      <w:r w:rsidR="003A661B">
        <w:fldChar w:fldCharType="separate"/>
      </w:r>
      <w:r w:rsidR="00B3355A">
        <w:t>88</w:t>
      </w:r>
      <w:r w:rsidR="003A661B">
        <w:fldChar w:fldCharType="end"/>
      </w:r>
      <w:r w:rsidR="003A661B">
        <w:t>–</w:t>
      </w:r>
      <w:r w:rsidR="003A661B">
        <w:fldChar w:fldCharType="begin"/>
      </w:r>
      <w:r w:rsidR="003A661B">
        <w:instrText xml:space="preserve"> NOTEREF _Ref175048567 \h </w:instrText>
      </w:r>
      <w:r w:rsidR="003A661B">
        <w:fldChar w:fldCharType="separate"/>
      </w:r>
      <w:r w:rsidR="00B3355A">
        <w:t>91</w:t>
      </w:r>
      <w:r w:rsidR="003A661B">
        <w:fldChar w:fldCharType="end"/>
      </w:r>
      <w:r w:rsidR="003A661B">
        <w:t xml:space="preserve"> and accompanying text.</w:t>
      </w:r>
    </w:p>
  </w:footnote>
  <w:footnote w:id="212">
    <w:p w14:paraId="35EC65E9" w14:textId="22AD2050" w:rsidR="00561C7C" w:rsidRPr="004E3ED0" w:rsidRDefault="00561C7C">
      <w:pPr>
        <w:pStyle w:val="FootnoteText"/>
      </w:pPr>
      <w:r>
        <w:rPr>
          <w:rStyle w:val="FootnoteReference"/>
        </w:rPr>
        <w:footnoteRef/>
      </w:r>
      <w:r>
        <w:t xml:space="preserve"> </w:t>
      </w:r>
      <w:r w:rsidR="004E3ED0">
        <w:rPr>
          <w:i/>
          <w:iCs/>
        </w:rPr>
        <w:t xml:space="preserve">See </w:t>
      </w:r>
      <w:proofErr w:type="gramStart"/>
      <w:r w:rsidR="004E3ED0">
        <w:rPr>
          <w:i/>
          <w:iCs/>
        </w:rPr>
        <w:t>supra</w:t>
      </w:r>
      <w:r w:rsidR="004E3ED0">
        <w:t xml:space="preserve"> Part II</w:t>
      </w:r>
      <w:proofErr w:type="gramEnd"/>
      <w:r w:rsidR="004E3ED0">
        <w:t>.A.1.</w:t>
      </w:r>
    </w:p>
  </w:footnote>
  <w:footnote w:id="213">
    <w:p w14:paraId="575B35C4" w14:textId="419F76EB" w:rsidR="00BA6004" w:rsidRDefault="00BA6004">
      <w:pPr>
        <w:pStyle w:val="FootnoteText"/>
      </w:pPr>
      <w:r>
        <w:rPr>
          <w:rStyle w:val="FootnoteReference"/>
        </w:rPr>
        <w:footnoteRef/>
      </w:r>
      <w:r>
        <w:t xml:space="preserve"> Indeed, this </w:t>
      </w:r>
      <w:r w:rsidR="006A5985">
        <w:t xml:space="preserve">inquiry </w:t>
      </w:r>
      <w:r>
        <w:t xml:space="preserve">is the entire point of the two-step originalist method. </w:t>
      </w:r>
      <w:r>
        <w:rPr>
          <w:i/>
          <w:iCs/>
        </w:rPr>
        <w:t>See supra</w:t>
      </w:r>
      <w:r>
        <w:t xml:space="preserve"> notes </w:t>
      </w:r>
      <w:r w:rsidR="005B225D">
        <w:fldChar w:fldCharType="begin"/>
      </w:r>
      <w:r w:rsidR="005B225D">
        <w:instrText xml:space="preserve"> NOTEREF _Ref175059646 \h </w:instrText>
      </w:r>
      <w:r w:rsidR="005B225D">
        <w:fldChar w:fldCharType="separate"/>
      </w:r>
      <w:r w:rsidR="00B3355A">
        <w:t>182</w:t>
      </w:r>
      <w:r w:rsidR="005B225D">
        <w:fldChar w:fldCharType="end"/>
      </w:r>
      <w:r w:rsidR="005B225D">
        <w:t>–</w:t>
      </w:r>
      <w:r w:rsidR="005B225D">
        <w:fldChar w:fldCharType="begin"/>
      </w:r>
      <w:r w:rsidR="005B225D">
        <w:instrText xml:space="preserve"> NOTEREF _Ref175059654 \h </w:instrText>
      </w:r>
      <w:r w:rsidR="005B225D">
        <w:fldChar w:fldCharType="separate"/>
      </w:r>
      <w:r w:rsidR="00B3355A">
        <w:t>191</w:t>
      </w:r>
      <w:r w:rsidR="005B225D">
        <w:fldChar w:fldCharType="end"/>
      </w:r>
      <w:r w:rsidR="005B225D">
        <w:t xml:space="preserve"> and accompanying te</w:t>
      </w:r>
      <w:r w:rsidR="006A5985">
        <w:t>xt.</w:t>
      </w:r>
      <w:r>
        <w:t xml:space="preserve"> </w:t>
      </w:r>
    </w:p>
  </w:footnote>
  <w:footnote w:id="214">
    <w:p w14:paraId="76A04194" w14:textId="0430743D" w:rsidR="00B74007" w:rsidRDefault="00B74007">
      <w:pPr>
        <w:pStyle w:val="FootnoteText"/>
      </w:pPr>
      <w:r>
        <w:rPr>
          <w:rStyle w:val="FootnoteReference"/>
        </w:rPr>
        <w:footnoteRef/>
      </w:r>
      <w:r>
        <w:t xml:space="preserve"> </w:t>
      </w:r>
      <w:r w:rsidR="00A87CE8">
        <w:t>[</w:t>
      </w:r>
      <w:r w:rsidR="00A87CE8" w:rsidRPr="00A87CE8">
        <w:rPr>
          <w:highlight w:val="yellow"/>
        </w:rPr>
        <w:t>cite to Locke, Hobbes, maybe SEP</w:t>
      </w:r>
      <w:r w:rsidR="00A87CE8">
        <w:t>]</w:t>
      </w:r>
    </w:p>
  </w:footnote>
  <w:footnote w:id="215">
    <w:p w14:paraId="70A5ED30" w14:textId="77777777" w:rsidR="0050083D" w:rsidRDefault="0050083D" w:rsidP="0050083D">
      <w:pPr>
        <w:pStyle w:val="FootnoteText"/>
      </w:pPr>
      <w:r>
        <w:rPr>
          <w:rStyle w:val="FootnoteReference"/>
        </w:rPr>
        <w:footnoteRef/>
      </w:r>
      <w:r>
        <w:t xml:space="preserve"> [</w:t>
      </w:r>
      <w:r w:rsidRPr="00A45A21">
        <w:rPr>
          <w:highlight w:val="yellow"/>
        </w:rPr>
        <w:t>footnote re strict scrutiny</w:t>
      </w:r>
      <w:r>
        <w:t>].</w:t>
      </w:r>
    </w:p>
  </w:footnote>
  <w:footnote w:id="216">
    <w:p w14:paraId="38F17E7D" w14:textId="55D984B3" w:rsidR="00E44A3A" w:rsidRDefault="00E44A3A">
      <w:pPr>
        <w:pStyle w:val="FootnoteText"/>
      </w:pPr>
      <w:r>
        <w:rPr>
          <w:rStyle w:val="FootnoteReference"/>
        </w:rPr>
        <w:footnoteRef/>
      </w:r>
      <w:r>
        <w:t xml:space="preserve"> Department of State v. </w:t>
      </w:r>
      <w:r w:rsidRPr="00E44A3A">
        <w:t>Mu</w:t>
      </w:r>
      <w:r w:rsidRPr="00E44A3A">
        <w:rPr>
          <w:rFonts w:ascii="Times New Roman" w:hAnsi="Times New Roman"/>
        </w:rPr>
        <w:t>ñoz</w:t>
      </w:r>
      <w:r>
        <w:rPr>
          <w:rFonts w:ascii="Times New Roman" w:hAnsi="Times New Roman"/>
        </w:rPr>
        <w:t>, 144 S. Ct. 1812, 18</w:t>
      </w:r>
      <w:r w:rsidR="00FD3D4B">
        <w:rPr>
          <w:rFonts w:ascii="Times New Roman" w:hAnsi="Times New Roman"/>
        </w:rPr>
        <w:t>22 (2024).</w:t>
      </w:r>
    </w:p>
  </w:footnote>
  <w:footnote w:id="217">
    <w:p w14:paraId="2E46C81C" w14:textId="7617704B" w:rsidR="004578C4" w:rsidRPr="00953ED7" w:rsidRDefault="004578C4">
      <w:pPr>
        <w:pStyle w:val="FootnoteText"/>
      </w:pPr>
      <w:r>
        <w:rPr>
          <w:rStyle w:val="FootnoteReference"/>
        </w:rPr>
        <w:footnoteRef/>
      </w:r>
      <w:r>
        <w:t xml:space="preserve"> </w:t>
      </w:r>
      <w:r>
        <w:rPr>
          <w:i/>
          <w:iCs/>
        </w:rPr>
        <w:t>Id.</w:t>
      </w:r>
      <w:r w:rsidR="00953ED7">
        <w:t xml:space="preserve"> (</w:t>
      </w:r>
      <w:r w:rsidR="00E52A99">
        <w:t xml:space="preserve">further </w:t>
      </w:r>
      <w:r w:rsidR="00953ED7">
        <w:t xml:space="preserve">noting that </w:t>
      </w:r>
      <w:r w:rsidR="00E52A99">
        <w:t>such a</w:t>
      </w:r>
      <w:r w:rsidR="00953ED7">
        <w:t xml:space="preserve"> </w:t>
      </w:r>
      <w:r w:rsidR="00E52A99">
        <w:t>“</w:t>
      </w:r>
      <w:r w:rsidR="00953ED7">
        <w:t>right would be a category of one: a substantive due process right that gets on procedural due process protections.”)</w:t>
      </w:r>
      <w:r w:rsidR="00E52A99">
        <w:t>.</w:t>
      </w:r>
    </w:p>
  </w:footnote>
  <w:footnote w:id="218">
    <w:p w14:paraId="6A074D4D" w14:textId="69BBACC5" w:rsidR="00CC667B" w:rsidRPr="00E845FA" w:rsidRDefault="00CC667B">
      <w:pPr>
        <w:pStyle w:val="FootnoteText"/>
      </w:pPr>
      <w:r>
        <w:rPr>
          <w:rStyle w:val="FootnoteReference"/>
        </w:rPr>
        <w:footnoteRef/>
      </w:r>
      <w:r>
        <w:t xml:space="preserve"> [</w:t>
      </w:r>
      <w:r w:rsidRPr="00A87CE8">
        <w:rPr>
          <w:highlight w:val="yellow"/>
        </w:rPr>
        <w:t>cite for PDP distinction</w:t>
      </w:r>
      <w:r>
        <w:t>—maybe Michael H fight between Scalia and Brennan? Maybe Brennan’s discussion of Goldberg? Litman? Greene?]</w:t>
      </w:r>
      <w:r w:rsidR="00E845FA">
        <w:t xml:space="preserve"> </w:t>
      </w:r>
      <w:r w:rsidR="00E845FA">
        <w:rPr>
          <w:i/>
          <w:iCs/>
        </w:rPr>
        <w:t>See</w:t>
      </w:r>
      <w:r w:rsidR="00E845FA">
        <w:t xml:space="preserve"> Greene, </w:t>
      </w:r>
      <w:r w:rsidR="00E845FA">
        <w:rPr>
          <w:i/>
          <w:iCs/>
        </w:rPr>
        <w:t>supra</w:t>
      </w:r>
      <w:r w:rsidR="00E845FA">
        <w:t xml:space="preserve"> note </w:t>
      </w:r>
      <w:r w:rsidR="00570B61">
        <w:fldChar w:fldCharType="begin"/>
      </w:r>
      <w:r w:rsidR="00570B61">
        <w:instrText xml:space="preserve"> NOTEREF _Ref175061372 \h </w:instrText>
      </w:r>
      <w:r w:rsidR="00570B61">
        <w:fldChar w:fldCharType="separate"/>
      </w:r>
      <w:r w:rsidR="00B3355A">
        <w:t>169</w:t>
      </w:r>
      <w:r w:rsidR="00570B61">
        <w:fldChar w:fldCharType="end"/>
      </w:r>
      <w:r w:rsidR="00570B61">
        <w:t>, at 260</w:t>
      </w:r>
      <w:r w:rsidR="008825FB">
        <w:t xml:space="preserve"> (“[M]</w:t>
      </w:r>
      <w:proofErr w:type="spellStart"/>
      <w:r w:rsidR="008825FB">
        <w:t>ultiple</w:t>
      </w:r>
      <w:proofErr w:type="spellEnd"/>
      <w:r w:rsidR="008825FB">
        <w:t xml:space="preserve"> ambiguities enable a diversity of ‘processes’ to satisfy the textual demands of the Due Process Clause.”).</w:t>
      </w:r>
    </w:p>
  </w:footnote>
  <w:footnote w:id="219">
    <w:p w14:paraId="15106BC7" w14:textId="722F0A11" w:rsidR="006A0198" w:rsidRPr="002A7E47" w:rsidRDefault="006A0198">
      <w:pPr>
        <w:pStyle w:val="FootnoteText"/>
      </w:pPr>
      <w:r>
        <w:rPr>
          <w:rStyle w:val="FootnoteReference"/>
        </w:rPr>
        <w:footnoteRef/>
      </w:r>
      <w:r>
        <w:t xml:space="preserve"> </w:t>
      </w:r>
      <w:r>
        <w:rPr>
          <w:i/>
          <w:iCs/>
        </w:rPr>
        <w:t>Id.</w:t>
      </w:r>
      <w:r>
        <w:t xml:space="preserve"> at 253–54. </w:t>
      </w:r>
      <w:r w:rsidR="005A37CA">
        <w:t xml:space="preserve">As Greene also notes, </w:t>
      </w:r>
      <w:r w:rsidR="00B94196">
        <w:t xml:space="preserve">the difference between “procedural due process” and “substantive due process” is contested. </w:t>
      </w:r>
      <w:r w:rsidR="002A7E47">
        <w:rPr>
          <w:i/>
          <w:iCs/>
        </w:rPr>
        <w:t>Id.</w:t>
      </w:r>
      <w:r w:rsidR="002A7E47">
        <w:t xml:space="preserve"> at 254 n.5.</w:t>
      </w:r>
    </w:p>
  </w:footnote>
  <w:footnote w:id="220">
    <w:p w14:paraId="5FD32AD7" w14:textId="23E56258" w:rsidR="00F21330" w:rsidRPr="00F21330" w:rsidRDefault="00F21330">
      <w:pPr>
        <w:pStyle w:val="FootnoteText"/>
      </w:pPr>
      <w:r>
        <w:rPr>
          <w:rStyle w:val="FootnoteReference"/>
        </w:rPr>
        <w:footnoteRef/>
      </w:r>
      <w:r>
        <w:t xml:space="preserve"> </w:t>
      </w:r>
      <w:r>
        <w:rPr>
          <w:i/>
          <w:iCs/>
        </w:rPr>
        <w:t>See</w:t>
      </w:r>
      <w:r>
        <w:t xml:space="preserve"> </w:t>
      </w:r>
      <w:r>
        <w:rPr>
          <w:i/>
          <w:iCs/>
        </w:rPr>
        <w:t>id.</w:t>
      </w:r>
      <w:r>
        <w:t xml:space="preserve"> at </w:t>
      </w:r>
      <w:r w:rsidR="00AF75AD">
        <w:t>259–61.</w:t>
      </w:r>
    </w:p>
  </w:footnote>
  <w:footnote w:id="221">
    <w:p w14:paraId="313F88D6" w14:textId="6F2F9BE7" w:rsidR="001E227A" w:rsidRPr="005838BA" w:rsidRDefault="001E227A">
      <w:pPr>
        <w:pStyle w:val="FootnoteText"/>
      </w:pPr>
      <w:r>
        <w:rPr>
          <w:rStyle w:val="FootnoteReference"/>
        </w:rPr>
        <w:footnoteRef/>
      </w:r>
      <w:r>
        <w:t xml:space="preserve"> </w:t>
      </w:r>
      <w:r w:rsidR="002F0413">
        <w:t>Since</w:t>
      </w:r>
      <w:r w:rsidR="00762821">
        <w:t xml:space="preserve"> every liberty interest cannot receive heightened protection </w:t>
      </w:r>
      <w:r w:rsidR="005838BA">
        <w:t>without frustrating the point of government</w:t>
      </w:r>
      <w:r w:rsidR="002F0413">
        <w:t>.</w:t>
      </w:r>
    </w:p>
  </w:footnote>
  <w:footnote w:id="222">
    <w:p w14:paraId="1D0814FA" w14:textId="2A80AFFD" w:rsidR="000974A5" w:rsidRPr="00280FF0" w:rsidRDefault="000974A5" w:rsidP="00B41113">
      <w:pPr>
        <w:pStyle w:val="FootnoteText"/>
      </w:pPr>
      <w:r>
        <w:rPr>
          <w:rStyle w:val="FootnoteReference"/>
        </w:rPr>
        <w:footnoteRef/>
      </w:r>
      <w:r>
        <w:t xml:space="preserve"> </w:t>
      </w:r>
      <w:r w:rsidR="00280FF0">
        <w:rPr>
          <w:i/>
          <w:iCs/>
        </w:rPr>
        <w:t>See</w:t>
      </w:r>
      <w:r w:rsidR="00280FF0">
        <w:t xml:space="preserve"> Alito Interview, </w:t>
      </w:r>
      <w:r w:rsidR="00280FF0">
        <w:rPr>
          <w:i/>
          <w:iCs/>
        </w:rPr>
        <w:t>supra</w:t>
      </w:r>
      <w:r w:rsidR="00280FF0">
        <w:t xml:space="preserve"> note </w:t>
      </w:r>
      <w:r w:rsidR="00280FF0">
        <w:fldChar w:fldCharType="begin"/>
      </w:r>
      <w:r w:rsidR="00280FF0">
        <w:instrText xml:space="preserve"> NOTEREF _Ref174886729 \h </w:instrText>
      </w:r>
      <w:r w:rsidR="00280FF0">
        <w:fldChar w:fldCharType="separate"/>
      </w:r>
      <w:r w:rsidR="00B3355A">
        <w:t>165</w:t>
      </w:r>
      <w:r w:rsidR="00280FF0">
        <w:fldChar w:fldCharType="end"/>
      </w:r>
      <w:r w:rsidR="00280FF0">
        <w:t>, at 1:08:37</w:t>
      </w:r>
      <w:r w:rsidR="00B41113">
        <w:t xml:space="preserve"> (“For libertarians, for classical liberals, [liberty] does include the protection of economic rights and property rights. For progressive social democrats, it includes the protection, a right to liberty means freedom from want, etc., etc. Government benefits. And there are many other conceptions.”).</w:t>
      </w:r>
    </w:p>
  </w:footnote>
  <w:footnote w:id="223">
    <w:p w14:paraId="48BD9B68" w14:textId="316385AF" w:rsidR="00A04B1E" w:rsidRPr="00A04B1E" w:rsidRDefault="00A04B1E">
      <w:pPr>
        <w:pStyle w:val="FootnoteText"/>
      </w:pPr>
      <w:r>
        <w:rPr>
          <w:rStyle w:val="FootnoteReference"/>
        </w:rPr>
        <w:footnoteRef/>
      </w:r>
      <w:r>
        <w:t xml:space="preserve"> </w:t>
      </w:r>
      <w:r>
        <w:rPr>
          <w:i/>
          <w:iCs/>
        </w:rPr>
        <w:t>See supra</w:t>
      </w:r>
      <w:r>
        <w:t xml:space="preserve"> notes </w:t>
      </w:r>
      <w:r w:rsidR="00042388" w:rsidRPr="00042388">
        <w:fldChar w:fldCharType="begin"/>
      </w:r>
      <w:r w:rsidR="00042388" w:rsidRPr="00042388">
        <w:instrText xml:space="preserve"> NOTEREF _Ref176519940 \h </w:instrText>
      </w:r>
      <w:r w:rsidR="00042388">
        <w:instrText xml:space="preserve"> \* MERGEFORMAT </w:instrText>
      </w:r>
      <w:r w:rsidR="00042388" w:rsidRPr="00042388">
        <w:fldChar w:fldCharType="separate"/>
      </w:r>
      <w:r w:rsidR="00B3355A">
        <w:t>126</w:t>
      </w:r>
      <w:r w:rsidR="00042388" w:rsidRPr="00042388">
        <w:fldChar w:fldCharType="end"/>
      </w:r>
      <w:r w:rsidR="00447D34" w:rsidRPr="00042388">
        <w:t>–</w:t>
      </w:r>
      <w:r w:rsidR="00042388" w:rsidRPr="00042388">
        <w:fldChar w:fldCharType="begin"/>
      </w:r>
      <w:r w:rsidR="00042388" w:rsidRPr="00042388">
        <w:instrText xml:space="preserve"> NOTEREF _Ref176519950 \h </w:instrText>
      </w:r>
      <w:r w:rsidR="00042388">
        <w:instrText xml:space="preserve"> \* MERGEFORMAT </w:instrText>
      </w:r>
      <w:r w:rsidR="00042388" w:rsidRPr="00042388">
        <w:fldChar w:fldCharType="separate"/>
      </w:r>
      <w:r w:rsidR="00B3355A">
        <w:t>138</w:t>
      </w:r>
      <w:r w:rsidR="00042388" w:rsidRPr="00042388">
        <w:fldChar w:fldCharType="end"/>
      </w:r>
      <w:r w:rsidR="00447D34">
        <w:t xml:space="preserve"> and accompanying text.</w:t>
      </w:r>
    </w:p>
  </w:footnote>
  <w:footnote w:id="224">
    <w:p w14:paraId="526342B2" w14:textId="73FDFA0B" w:rsidR="00E14283" w:rsidRPr="001F43B3" w:rsidRDefault="00E14283">
      <w:pPr>
        <w:pStyle w:val="FootnoteText"/>
      </w:pPr>
      <w:r>
        <w:rPr>
          <w:rStyle w:val="FootnoteReference"/>
        </w:rPr>
        <w:footnoteRef/>
      </w:r>
      <w:r>
        <w:t xml:space="preserve"> </w:t>
      </w:r>
      <w:r w:rsidR="004C397A">
        <w:rPr>
          <w:i/>
          <w:iCs/>
        </w:rPr>
        <w:t>Id.</w:t>
      </w:r>
      <w:r w:rsidR="001F43B3">
        <w:t xml:space="preserve"> </w:t>
      </w:r>
    </w:p>
  </w:footnote>
  <w:footnote w:id="225">
    <w:p w14:paraId="0AE063D0" w14:textId="33536451" w:rsidR="00235436" w:rsidRPr="004C397A" w:rsidRDefault="00235436">
      <w:pPr>
        <w:pStyle w:val="FootnoteText"/>
      </w:pPr>
      <w:r>
        <w:rPr>
          <w:rStyle w:val="FootnoteReference"/>
        </w:rPr>
        <w:footnoteRef/>
      </w:r>
      <w:r>
        <w:t xml:space="preserve"> </w:t>
      </w:r>
      <w:r w:rsidR="004C397A">
        <w:rPr>
          <w:i/>
          <w:iCs/>
        </w:rPr>
        <w:t>Id.</w:t>
      </w:r>
    </w:p>
  </w:footnote>
  <w:footnote w:id="226">
    <w:p w14:paraId="61802982" w14:textId="1D88C3AE" w:rsidR="00367B91" w:rsidRPr="004C397A" w:rsidRDefault="00367B91">
      <w:pPr>
        <w:pStyle w:val="FootnoteText"/>
      </w:pPr>
      <w:r>
        <w:rPr>
          <w:rStyle w:val="FootnoteReference"/>
        </w:rPr>
        <w:footnoteRef/>
      </w:r>
      <w:r>
        <w:t xml:space="preserve"> </w:t>
      </w:r>
      <w:r w:rsidR="004C397A">
        <w:rPr>
          <w:i/>
          <w:iCs/>
        </w:rPr>
        <w:t>Id.</w:t>
      </w:r>
    </w:p>
  </w:footnote>
  <w:footnote w:id="227">
    <w:p w14:paraId="40F8AE84" w14:textId="2D0A83C4" w:rsidR="00861FAF" w:rsidRDefault="00861FAF">
      <w:pPr>
        <w:pStyle w:val="FootnoteText"/>
      </w:pPr>
      <w:r>
        <w:rPr>
          <w:rStyle w:val="FootnoteReference"/>
        </w:rPr>
        <w:footnoteRef/>
      </w:r>
      <w:r>
        <w:t xml:space="preserve"> Such a regulation would be eq</w:t>
      </w:r>
      <w:r w:rsidR="0005333C">
        <w:t>uivalent</w:t>
      </w:r>
      <w:r>
        <w:t xml:space="preserve"> to a death sentence</w:t>
      </w:r>
      <w:r w:rsidR="0005333C">
        <w:t xml:space="preserve">, thereby implicating </w:t>
      </w:r>
      <w:r w:rsidR="00CD34FC">
        <w:t>the due process guarantee to “life” as well as “liberty.” It would also implicate the Eighth Amendment’s guarantee against cruel and unusual punishment.</w:t>
      </w:r>
      <w:r w:rsidR="00F268AC">
        <w:t xml:space="preserve"> The American legal system places so many procedural safeguards around actual death sentences that </w:t>
      </w:r>
      <w:r w:rsidR="002255AB">
        <w:t xml:space="preserve">other parts of the world have classified being subjected to the </w:t>
      </w:r>
      <w:r w:rsidR="00F009AC">
        <w:t xml:space="preserve">process—as distinct from the death sentence itself—as a </w:t>
      </w:r>
      <w:r w:rsidR="002255AB">
        <w:t>form of torture.</w:t>
      </w:r>
      <w:r w:rsidR="00737E23">
        <w:t xml:space="preserve"> [cite re “Death penalty phenomenon].</w:t>
      </w:r>
    </w:p>
  </w:footnote>
  <w:footnote w:id="228">
    <w:p w14:paraId="09009A6C" w14:textId="2C4B6927" w:rsidR="00D77951" w:rsidRPr="00862198" w:rsidRDefault="00D77951" w:rsidP="00D77951">
      <w:pPr>
        <w:pStyle w:val="FootnoteText"/>
      </w:pPr>
      <w:r>
        <w:rPr>
          <w:rStyle w:val="FootnoteReference"/>
        </w:rPr>
        <w:footnoteRef/>
      </w:r>
      <w:r>
        <w:t xml:space="preserve"> 144 S. Ct. 2202 (2024).</w:t>
      </w:r>
    </w:p>
  </w:footnote>
  <w:footnote w:id="229">
    <w:p w14:paraId="7BF053BE" w14:textId="24E79ADC" w:rsidR="00874711" w:rsidRPr="00614839" w:rsidRDefault="00874711">
      <w:pPr>
        <w:pStyle w:val="FootnoteText"/>
      </w:pPr>
      <w:r>
        <w:rPr>
          <w:rStyle w:val="FootnoteReference"/>
        </w:rPr>
        <w:footnoteRef/>
      </w:r>
      <w:r>
        <w:t xml:space="preserve"> </w:t>
      </w:r>
      <w:r w:rsidR="00614839">
        <w:rPr>
          <w:i/>
          <w:iCs/>
        </w:rPr>
        <w:t>Id.</w:t>
      </w:r>
      <w:r w:rsidR="00614839">
        <w:t xml:space="preserve"> at 2213.</w:t>
      </w:r>
    </w:p>
  </w:footnote>
  <w:footnote w:id="230">
    <w:p w14:paraId="52053750" w14:textId="77BABFCF" w:rsidR="00983E38" w:rsidRPr="00983E38" w:rsidRDefault="00983E38">
      <w:pPr>
        <w:pStyle w:val="FootnoteText"/>
      </w:pPr>
      <w:r>
        <w:rPr>
          <w:rStyle w:val="FootnoteReference"/>
        </w:rPr>
        <w:footnoteRef/>
      </w:r>
      <w:r>
        <w:t xml:space="preserve"> </w:t>
      </w:r>
      <w:r>
        <w:rPr>
          <w:i/>
          <w:iCs/>
        </w:rPr>
        <w:t>Id.</w:t>
      </w:r>
      <w:r>
        <w:t xml:space="preserve"> </w:t>
      </w:r>
    </w:p>
  </w:footnote>
  <w:footnote w:id="231">
    <w:p w14:paraId="2CF808F9" w14:textId="57E81EAC" w:rsidR="009D5809" w:rsidRPr="00A32938" w:rsidRDefault="009D5809">
      <w:pPr>
        <w:pStyle w:val="FootnoteText"/>
      </w:pPr>
      <w:r>
        <w:rPr>
          <w:rStyle w:val="FootnoteReference"/>
        </w:rPr>
        <w:footnoteRef/>
      </w:r>
      <w:r>
        <w:t xml:space="preserve"> </w:t>
      </w:r>
      <w:r w:rsidR="00A32938">
        <w:rPr>
          <w:i/>
          <w:iCs/>
        </w:rPr>
        <w:t>Id.</w:t>
      </w:r>
      <w:r w:rsidR="00A32938">
        <w:t xml:space="preserve"> at 2216–17.</w:t>
      </w:r>
    </w:p>
  </w:footnote>
  <w:footnote w:id="232">
    <w:p w14:paraId="6648E25D" w14:textId="11233129" w:rsidR="00BA192E" w:rsidRPr="00BA192E" w:rsidRDefault="00BA192E">
      <w:pPr>
        <w:pStyle w:val="FootnoteText"/>
      </w:pPr>
      <w:r>
        <w:rPr>
          <w:rStyle w:val="FootnoteReference"/>
        </w:rPr>
        <w:footnoteRef/>
      </w:r>
      <w:r>
        <w:t xml:space="preserve"> </w:t>
      </w:r>
      <w:r>
        <w:rPr>
          <w:i/>
          <w:iCs/>
        </w:rPr>
        <w:t>See id.</w:t>
      </w:r>
      <w:r>
        <w:t xml:space="preserve"> at </w:t>
      </w:r>
      <w:r w:rsidR="00917112">
        <w:t>2217–</w:t>
      </w:r>
      <w:r w:rsidR="00B91603">
        <w:t xml:space="preserve">18 (noting that </w:t>
      </w:r>
      <w:r w:rsidR="004136FB">
        <w:t xml:space="preserve">a due process </w:t>
      </w:r>
      <w:proofErr w:type="gramStart"/>
      <w:r w:rsidR="004136FB">
        <w:t>claim</w:t>
      </w:r>
      <w:proofErr w:type="gramEnd"/>
      <w:r w:rsidR="004136FB">
        <w:t xml:space="preserve"> against a law that criminalizes status rather than conduct “</w:t>
      </w:r>
      <w:r w:rsidR="00680281">
        <w:t>may have made some sense”)</w:t>
      </w:r>
      <w:r w:rsidR="00ED46F5">
        <w:t xml:space="preserve">; </w:t>
      </w:r>
      <w:r w:rsidR="00ED46F5">
        <w:rPr>
          <w:i/>
          <w:iCs/>
        </w:rPr>
        <w:t xml:space="preserve">see also </w:t>
      </w:r>
      <w:r w:rsidR="00ED46F5">
        <w:t>[</w:t>
      </w:r>
      <w:r w:rsidR="00ED46F5" w:rsidRPr="00ED46F5">
        <w:rPr>
          <w:highlight w:val="yellow"/>
        </w:rPr>
        <w:t>scholarly sources</w:t>
      </w:r>
      <w:r w:rsidR="00ED46F5">
        <w:t>]</w:t>
      </w:r>
      <w:r w:rsidR="00680281">
        <w:t>.</w:t>
      </w:r>
    </w:p>
  </w:footnote>
  <w:footnote w:id="233">
    <w:p w14:paraId="7EAAEA25" w14:textId="13B8FD99" w:rsidR="00A02FA5" w:rsidRPr="00A02FA5" w:rsidRDefault="00A02FA5">
      <w:pPr>
        <w:pStyle w:val="FootnoteText"/>
      </w:pPr>
      <w:r>
        <w:rPr>
          <w:rStyle w:val="FootnoteReference"/>
        </w:rPr>
        <w:footnoteRef/>
      </w:r>
      <w:r>
        <w:t xml:space="preserve"> </w:t>
      </w:r>
      <w:r>
        <w:rPr>
          <w:i/>
          <w:iCs/>
        </w:rPr>
        <w:t>See supra</w:t>
      </w:r>
      <w:r>
        <w:t xml:space="preserve"> notes </w:t>
      </w:r>
      <w:r>
        <w:fldChar w:fldCharType="begin"/>
      </w:r>
      <w:r>
        <w:instrText xml:space="preserve"> NOTEREF _Ref176523110 \h </w:instrText>
      </w:r>
      <w:r>
        <w:fldChar w:fldCharType="separate"/>
      </w:r>
      <w:r w:rsidR="00B3355A">
        <w:t>181</w:t>
      </w:r>
      <w:r>
        <w:fldChar w:fldCharType="end"/>
      </w:r>
      <w:r>
        <w:t>–</w:t>
      </w:r>
      <w:r>
        <w:fldChar w:fldCharType="begin"/>
      </w:r>
      <w:r>
        <w:instrText xml:space="preserve"> NOTEREF _Ref175059654 \h </w:instrText>
      </w:r>
      <w:r>
        <w:fldChar w:fldCharType="separate"/>
      </w:r>
      <w:r w:rsidR="00B3355A">
        <w:t>191</w:t>
      </w:r>
      <w:r>
        <w:fldChar w:fldCharType="end"/>
      </w:r>
      <w:r>
        <w:t xml:space="preserve"> and accompanying text.</w:t>
      </w:r>
    </w:p>
  </w:footnote>
  <w:footnote w:id="234">
    <w:p w14:paraId="266280F1" w14:textId="495764E1" w:rsidR="009022E7" w:rsidRDefault="009022E7">
      <w:pPr>
        <w:pStyle w:val="FootnoteText"/>
      </w:pPr>
      <w:r>
        <w:rPr>
          <w:rStyle w:val="FootnoteReference"/>
        </w:rPr>
        <w:footnoteRef/>
      </w:r>
      <w:r>
        <w:t xml:space="preserve"> </w:t>
      </w:r>
      <w:r w:rsidR="001A2A23">
        <w:rPr>
          <w:i/>
          <w:iCs/>
        </w:rPr>
        <w:t>See id.</w:t>
      </w:r>
      <w:r w:rsidR="001A2A23" w:rsidRPr="001A2A23">
        <w:t xml:space="preserve"> </w:t>
      </w:r>
      <w:r>
        <w:t>Because the regulation</w:t>
      </w:r>
      <w:r w:rsidR="001A2A23">
        <w:t>s at issue are state rather than federal</w:t>
      </w:r>
      <w:r>
        <w:t xml:space="preserve">, </w:t>
      </w:r>
      <w:r w:rsidR="00ED46F5">
        <w:t>the Fourteenth Amendment’s Due Process Clause applies, making 1868 the relevant year for originalist analysis. [</w:t>
      </w:r>
      <w:r w:rsidR="00ED46F5" w:rsidRPr="00ED46F5">
        <w:rPr>
          <w:highlight w:val="yellow"/>
        </w:rPr>
        <w:t>cite</w:t>
      </w:r>
      <w:r w:rsidR="00ED46F5">
        <w:t>].</w:t>
      </w:r>
    </w:p>
  </w:footnote>
  <w:footnote w:id="235">
    <w:p w14:paraId="071375A9" w14:textId="3370EE09" w:rsidR="00560A90" w:rsidRPr="003519AC" w:rsidRDefault="00560A90">
      <w:pPr>
        <w:pStyle w:val="FootnoteText"/>
      </w:pPr>
      <w:r>
        <w:rPr>
          <w:rStyle w:val="FootnoteReference"/>
        </w:rPr>
        <w:footnoteRef/>
      </w:r>
      <w:r>
        <w:t xml:space="preserve"> As it indeed it did, </w:t>
      </w:r>
      <w:r w:rsidR="003519AC">
        <w:t xml:space="preserve">rejecting the homeless plaintiffs’ Eighth Amendment claims. </w:t>
      </w:r>
      <w:r w:rsidR="003519AC">
        <w:rPr>
          <w:i/>
          <w:iCs/>
        </w:rPr>
        <w:t>See Grants Pass</w:t>
      </w:r>
      <w:r w:rsidR="003519AC">
        <w:t xml:space="preserve">, 144 S. Ct. at </w:t>
      </w:r>
      <w:r w:rsidR="00130161">
        <w:t>2226.</w:t>
      </w:r>
    </w:p>
  </w:footnote>
  <w:footnote w:id="236">
    <w:p w14:paraId="293C6A98" w14:textId="0FE140B8" w:rsidR="00675FBC" w:rsidRPr="00E72093" w:rsidRDefault="00675FBC">
      <w:pPr>
        <w:pStyle w:val="FootnoteText"/>
      </w:pPr>
      <w:r>
        <w:rPr>
          <w:rStyle w:val="FootnoteReference"/>
        </w:rPr>
        <w:footnoteRef/>
      </w:r>
      <w:r>
        <w:t xml:space="preserve"> </w:t>
      </w:r>
      <w:r>
        <w:rPr>
          <w:i/>
          <w:iCs/>
        </w:rPr>
        <w:t>See supra</w:t>
      </w:r>
      <w:r>
        <w:t xml:space="preserve"> note </w:t>
      </w:r>
      <w:r w:rsidR="00801CAE">
        <w:fldChar w:fldCharType="begin"/>
      </w:r>
      <w:r w:rsidR="00801CAE">
        <w:instrText xml:space="preserve"> NOTEREF _Ref176524312 \h </w:instrText>
      </w:r>
      <w:r w:rsidR="00801CAE">
        <w:fldChar w:fldCharType="separate"/>
      </w:r>
      <w:r w:rsidR="00B3355A">
        <w:t>197</w:t>
      </w:r>
      <w:r w:rsidR="00801CAE">
        <w:fldChar w:fldCharType="end"/>
      </w:r>
      <w:r w:rsidR="00801CAE">
        <w:t>–</w:t>
      </w:r>
      <w:r w:rsidR="00801CAE">
        <w:fldChar w:fldCharType="begin"/>
      </w:r>
      <w:r w:rsidR="00801CAE">
        <w:instrText xml:space="preserve"> NOTEREF _Ref176524320 \h </w:instrText>
      </w:r>
      <w:r w:rsidR="00801CAE">
        <w:fldChar w:fldCharType="separate"/>
      </w:r>
      <w:r w:rsidR="00B3355A">
        <w:t>199</w:t>
      </w:r>
      <w:r w:rsidR="00801CAE">
        <w:fldChar w:fldCharType="end"/>
      </w:r>
      <w:r w:rsidR="00801CAE">
        <w:t xml:space="preserve"> and accompanying text</w:t>
      </w:r>
      <w:r w:rsidR="00F63E13">
        <w:t>. Importantly, “</w:t>
      </w:r>
      <w:r w:rsidR="005B4C8B">
        <w:t xml:space="preserve">subjective desire” refers here to homeless residents’ preferred choice out of all </w:t>
      </w:r>
      <w:r w:rsidR="00E72093">
        <w:rPr>
          <w:i/>
          <w:iCs/>
        </w:rPr>
        <w:t>available</w:t>
      </w:r>
      <w:r w:rsidR="00E72093">
        <w:t xml:space="preserve"> alternatives, not all </w:t>
      </w:r>
      <w:r w:rsidR="00E72093">
        <w:rPr>
          <w:i/>
          <w:iCs/>
        </w:rPr>
        <w:t>ideal</w:t>
      </w:r>
      <w:r w:rsidR="00E72093">
        <w:t xml:space="preserve"> alternatives. People do not choose to be homeless.</w:t>
      </w:r>
      <w:r w:rsidR="00B151F2">
        <w:t xml:space="preserve"> [</w:t>
      </w:r>
      <w:r w:rsidR="00B151F2" w:rsidRPr="00B151F2">
        <w:rPr>
          <w:highlight w:val="yellow"/>
        </w:rPr>
        <w:t>cite</w:t>
      </w:r>
      <w:r w:rsidR="00B151F2">
        <w:t>].</w:t>
      </w:r>
    </w:p>
  </w:footnote>
  <w:footnote w:id="237">
    <w:p w14:paraId="3CA25486" w14:textId="75CF2C0E" w:rsidR="00066F07" w:rsidRPr="00066F07" w:rsidRDefault="00066F07">
      <w:pPr>
        <w:pStyle w:val="FootnoteText"/>
      </w:pPr>
      <w:r>
        <w:rPr>
          <w:rStyle w:val="FootnoteReference"/>
        </w:rPr>
        <w:footnoteRef/>
      </w:r>
      <w:r>
        <w:t xml:space="preserve"> </w:t>
      </w:r>
      <w:r>
        <w:rPr>
          <w:i/>
          <w:iCs/>
        </w:rPr>
        <w:t>See</w:t>
      </w:r>
      <w:r>
        <w:t xml:space="preserve"> </w:t>
      </w:r>
      <w:r>
        <w:rPr>
          <w:i/>
          <w:iCs/>
        </w:rPr>
        <w:t>Grants Pass</w:t>
      </w:r>
      <w:r>
        <w:t xml:space="preserve">, 144 S. Ct. at </w:t>
      </w:r>
      <w:r w:rsidR="00AE3F30">
        <w:t>2228 (Sotomayor, J., dissenting) (“</w:t>
      </w:r>
      <w:r w:rsidR="00AE3F30" w:rsidRPr="00AE3F30">
        <w:t>Sleep is a biological necessity, not a crime.</w:t>
      </w:r>
      <w:r w:rsidR="00AE3F30">
        <w:t>”).</w:t>
      </w:r>
    </w:p>
  </w:footnote>
  <w:footnote w:id="238">
    <w:p w14:paraId="6CFDF494" w14:textId="1D23CE92" w:rsidR="007E662A" w:rsidRPr="00C40C49" w:rsidRDefault="007E662A">
      <w:pPr>
        <w:pStyle w:val="FootnoteText"/>
      </w:pPr>
      <w:r>
        <w:rPr>
          <w:rStyle w:val="FootnoteReference"/>
        </w:rPr>
        <w:footnoteRef/>
      </w:r>
      <w:r>
        <w:t xml:space="preserve"> </w:t>
      </w:r>
      <w:r w:rsidR="00C40C49">
        <w:rPr>
          <w:i/>
          <w:iCs/>
        </w:rPr>
        <w:t>Id.</w:t>
      </w:r>
      <w:r w:rsidR="00C40C49">
        <w:t xml:space="preserve"> at </w:t>
      </w:r>
      <w:r w:rsidR="007C1C46">
        <w:t>2214 (majority opinion) (noting lower courts’ finding that the total number of involuntarily homeless people in Grants</w:t>
      </w:r>
      <w:r w:rsidR="00EC11E0">
        <w:t xml:space="preserve"> Pass exceeds the number of practically available shelter beds).</w:t>
      </w:r>
    </w:p>
  </w:footnote>
  <w:footnote w:id="239">
    <w:p w14:paraId="080D02CF" w14:textId="46D6B310" w:rsidR="007E662A" w:rsidRDefault="007E662A">
      <w:pPr>
        <w:pStyle w:val="FootnoteText"/>
      </w:pPr>
      <w:r>
        <w:rPr>
          <w:rStyle w:val="FootnoteReference"/>
        </w:rPr>
        <w:footnoteRef/>
      </w:r>
      <w:r>
        <w:t xml:space="preserve"> </w:t>
      </w:r>
      <w:r w:rsidR="00963705">
        <w:rPr>
          <w:i/>
          <w:iCs/>
        </w:rPr>
        <w:t>See id.</w:t>
      </w:r>
      <w:r w:rsidR="00963705">
        <w:t xml:space="preserve"> at 2214, 2220–24; </w:t>
      </w:r>
      <w:r w:rsidR="00963705">
        <w:rPr>
          <w:i/>
          <w:iCs/>
        </w:rPr>
        <w:t>id.</w:t>
      </w:r>
      <w:r w:rsidR="00963705">
        <w:t xml:space="preserve"> at 2228–33 (“Shelter beds that are available in theory may be practically unavailable[.]”) (Sotomayor, J., dissenting).</w:t>
      </w:r>
    </w:p>
  </w:footnote>
  <w:footnote w:id="240">
    <w:p w14:paraId="6A6E8F27" w14:textId="77737F55" w:rsidR="00002A21" w:rsidRDefault="00002A21">
      <w:pPr>
        <w:pStyle w:val="FootnoteText"/>
      </w:pPr>
      <w:r>
        <w:rPr>
          <w:rStyle w:val="FootnoteReference"/>
        </w:rPr>
        <w:footnoteRef/>
      </w:r>
      <w:r>
        <w:t xml:space="preserve"> </w:t>
      </w:r>
      <w:r>
        <w:rPr>
          <w:rFonts w:ascii="Times New Roman" w:hAnsi="Times New Roman"/>
        </w:rPr>
        <w:t>144 S. Ct. 1812, 1817 (2024).</w:t>
      </w:r>
    </w:p>
  </w:footnote>
  <w:footnote w:id="241">
    <w:p w14:paraId="3BF4B8BC" w14:textId="2F20BB21" w:rsidR="00901C50" w:rsidRPr="00811649" w:rsidRDefault="00901C50">
      <w:pPr>
        <w:pStyle w:val="FootnoteText"/>
        <w:rPr>
          <w:i/>
          <w:iCs/>
        </w:rPr>
      </w:pPr>
      <w:r>
        <w:rPr>
          <w:rStyle w:val="FootnoteReference"/>
        </w:rPr>
        <w:footnoteRef/>
      </w:r>
      <w:r>
        <w:t xml:space="preserve"> </w:t>
      </w:r>
      <w:r w:rsidR="00660C20">
        <w:rPr>
          <w:i/>
          <w:iCs/>
        </w:rPr>
        <w:t>E.g.</w:t>
      </w:r>
      <w:r w:rsidR="00660C20">
        <w:t xml:space="preserve">, </w:t>
      </w:r>
      <w:r w:rsidR="00660C20">
        <w:rPr>
          <w:i/>
          <w:iCs/>
        </w:rPr>
        <w:t>i</w:t>
      </w:r>
      <w:r w:rsidR="008202E8">
        <w:rPr>
          <w:i/>
          <w:iCs/>
        </w:rPr>
        <w:t>d.</w:t>
      </w:r>
      <w:r w:rsidR="008202E8">
        <w:t xml:space="preserve"> at </w:t>
      </w:r>
      <w:r w:rsidR="00660C20">
        <w:t>1828 (Sotomayor, J., dissenting) (</w:t>
      </w:r>
      <w:r w:rsidR="00811649">
        <w:t>quoting Obergefell v. Hodges, 576 U.S. 644, 671 (2015)).</w:t>
      </w:r>
      <w:r w:rsidR="00811649">
        <w:rPr>
          <w:i/>
          <w:iCs/>
        </w:rPr>
        <w:t xml:space="preserve"> </w:t>
      </w:r>
    </w:p>
  </w:footnote>
  <w:footnote w:id="242">
    <w:p w14:paraId="2D82BAB7" w14:textId="710D8444" w:rsidR="009829FE" w:rsidRDefault="009829FE">
      <w:pPr>
        <w:pStyle w:val="FootnoteText"/>
      </w:pPr>
      <w:r>
        <w:rPr>
          <w:rStyle w:val="FootnoteReference"/>
        </w:rPr>
        <w:footnoteRef/>
      </w:r>
      <w:r>
        <w:t xml:space="preserve"> </w:t>
      </w:r>
      <w:r>
        <w:rPr>
          <w:i/>
          <w:iCs/>
        </w:rPr>
        <w:t>See supra</w:t>
      </w:r>
      <w:r>
        <w:t xml:space="preserve"> note </w:t>
      </w:r>
      <w:r>
        <w:fldChar w:fldCharType="begin"/>
      </w:r>
      <w:r>
        <w:instrText xml:space="preserve"> NOTEREF _Ref178324504 \h </w:instrText>
      </w:r>
      <w:r>
        <w:fldChar w:fldCharType="separate"/>
      </w:r>
      <w:r>
        <w:t>128</w:t>
      </w:r>
      <w:r>
        <w:fldChar w:fldCharType="end"/>
      </w:r>
      <w:r>
        <w:t xml:space="preserve"> </w:t>
      </w:r>
      <w:r w:rsidR="00D70488">
        <w:t>and accompanying text</w:t>
      </w:r>
      <w:r w:rsidR="00CC1C99">
        <w:t xml:space="preserve"> (noting that natural desires may be emotional as well as physical)</w:t>
      </w:r>
      <w:r w:rsidR="00D70488">
        <w:t>.</w:t>
      </w:r>
    </w:p>
    <w:p w14:paraId="1E48448B" w14:textId="19DFBDF4" w:rsidR="00113980" w:rsidRPr="009829FE" w:rsidRDefault="00113980" w:rsidP="00113980">
      <w:pPr>
        <w:pStyle w:val="FootnoteText"/>
        <w:ind w:firstLine="630"/>
      </w:pPr>
      <w:r>
        <w:t xml:space="preserve">Some people </w:t>
      </w:r>
      <w:r w:rsidR="00A83282">
        <w:t xml:space="preserve">do not experience romantic attraction to others or only do so under specific circumstances. </w:t>
      </w:r>
      <w:r w:rsidR="00A83282" w:rsidRPr="001D5D4A">
        <w:t>See</w:t>
      </w:r>
      <w:r w:rsidR="001D5D4A">
        <w:t xml:space="preserve"> Chantelle </w:t>
      </w:r>
      <w:proofErr w:type="spellStart"/>
      <w:r w:rsidR="001D5D4A">
        <w:t>Pattemore</w:t>
      </w:r>
      <w:proofErr w:type="spellEnd"/>
      <w:r w:rsidR="001D5D4A">
        <w:t xml:space="preserve">, </w:t>
      </w:r>
      <w:r w:rsidR="001D5D4A">
        <w:rPr>
          <w:i/>
          <w:iCs/>
        </w:rPr>
        <w:t>Wh</w:t>
      </w:r>
      <w:r w:rsidR="00A17A34">
        <w:rPr>
          <w:i/>
          <w:iCs/>
        </w:rPr>
        <w:t xml:space="preserve">at Is </w:t>
      </w:r>
      <w:proofErr w:type="gramStart"/>
      <w:r w:rsidR="00A17A34">
        <w:rPr>
          <w:i/>
          <w:iCs/>
        </w:rPr>
        <w:t>Aromatic?</w:t>
      </w:r>
      <w:r w:rsidR="00A17A34">
        <w:t>,</w:t>
      </w:r>
      <w:proofErr w:type="gramEnd"/>
      <w:r w:rsidR="00A17A34">
        <w:t xml:space="preserve"> (</w:t>
      </w:r>
      <w:proofErr w:type="spellStart"/>
      <w:r w:rsidR="00A17A34" w:rsidRPr="00FF2D04">
        <w:rPr>
          <w:smallCaps/>
        </w:rPr>
        <w:t>PsychCentral</w:t>
      </w:r>
      <w:proofErr w:type="spellEnd"/>
      <w:r w:rsidR="00A17A34">
        <w:t xml:space="preserve"> Oct. 29, 2021)</w:t>
      </w:r>
      <w:r w:rsidR="00FF2D04">
        <w:t xml:space="preserve">, </w:t>
      </w:r>
      <w:hyperlink r:id="rId26" w:history="1">
        <w:r w:rsidR="00FF2D04" w:rsidRPr="000D5669">
          <w:rPr>
            <w:rStyle w:val="Hyperlink"/>
          </w:rPr>
          <w:t>https://psychcentral.com/health/what-is-aromantic</w:t>
        </w:r>
      </w:hyperlink>
      <w:r w:rsidR="00FF2D04">
        <w:t xml:space="preserve"> [</w:t>
      </w:r>
      <w:r w:rsidR="00FF2D04" w:rsidRPr="00FF2D04">
        <w:t>https://perma.cc/K7LC-N639</w:t>
      </w:r>
      <w:r w:rsidR="00FF2D04">
        <w:t>].</w:t>
      </w:r>
      <w:r w:rsidR="00A17A34">
        <w:rPr>
          <w:i/>
          <w:iCs/>
        </w:rPr>
        <w:t xml:space="preserve"> </w:t>
      </w:r>
      <w:r w:rsidR="00A83282" w:rsidRPr="001D5D4A">
        <w:t>Their</w:t>
      </w:r>
      <w:r w:rsidR="00A83282">
        <w:t xml:space="preserve"> </w:t>
      </w:r>
      <w:r w:rsidR="003315D5">
        <w:t>(lack of) experience of romantic desire is also natural and does not undercut the naturalness of romantic desire in general.</w:t>
      </w:r>
    </w:p>
  </w:footnote>
  <w:footnote w:id="243">
    <w:p w14:paraId="1BC5BFD9" w14:textId="379E831B" w:rsidR="002C0258" w:rsidRDefault="002C0258">
      <w:pPr>
        <w:pStyle w:val="FootnoteText"/>
      </w:pPr>
      <w:r>
        <w:rPr>
          <w:rStyle w:val="FootnoteReference"/>
        </w:rPr>
        <w:footnoteRef/>
      </w:r>
      <w:r>
        <w:t xml:space="preserve"> </w:t>
      </w:r>
      <w:r w:rsidRPr="005B0F4F">
        <w:rPr>
          <w:highlight w:val="yellow"/>
        </w:rPr>
        <w:t>Loving, Obergefell, others?</w:t>
      </w:r>
    </w:p>
  </w:footnote>
  <w:footnote w:id="244">
    <w:p w14:paraId="1800F69F" w14:textId="28266AEF" w:rsidR="008C73F5" w:rsidRPr="00102928" w:rsidRDefault="008C73F5">
      <w:pPr>
        <w:pStyle w:val="FootnoteText"/>
        <w:rPr>
          <w:sz w:val="22"/>
          <w:szCs w:val="22"/>
        </w:rPr>
      </w:pPr>
      <w:r>
        <w:rPr>
          <w:rStyle w:val="FootnoteReference"/>
        </w:rPr>
        <w:footnoteRef/>
      </w:r>
      <w:r>
        <w:t xml:space="preserve"> A fact that the Court has also acknowledged and thus protected. </w:t>
      </w:r>
      <w:r>
        <w:rPr>
          <w:i/>
          <w:iCs/>
        </w:rPr>
        <w:t>See</w:t>
      </w:r>
      <w:r>
        <w:t xml:space="preserve"> </w:t>
      </w:r>
      <w:r w:rsidR="00102928">
        <w:t>[</w:t>
      </w:r>
      <w:r w:rsidR="00102928" w:rsidRPr="00B908E3">
        <w:rPr>
          <w:highlight w:val="yellow"/>
        </w:rPr>
        <w:t>cases regarding dwelling together</w:t>
      </w:r>
      <w:r w:rsidR="00102928">
        <w:rPr>
          <w:sz w:val="22"/>
          <w:szCs w:val="22"/>
        </w:rPr>
        <w:t>].</w:t>
      </w:r>
    </w:p>
  </w:footnote>
  <w:footnote w:id="245">
    <w:p w14:paraId="23E1C727" w14:textId="435B63CD" w:rsidR="001729CC" w:rsidRPr="001729CC" w:rsidRDefault="001729CC">
      <w:pPr>
        <w:pStyle w:val="FootnoteText"/>
      </w:pPr>
      <w:r>
        <w:rPr>
          <w:rStyle w:val="FootnoteReference"/>
        </w:rPr>
        <w:footnoteRef/>
      </w:r>
      <w:r>
        <w:t xml:space="preserve"> And </w:t>
      </w:r>
      <w:proofErr w:type="gramStart"/>
      <w:r>
        <w:t>indeed</w:t>
      </w:r>
      <w:proofErr w:type="gramEnd"/>
      <w:r>
        <w:t xml:space="preserve"> would be vindicated by the Court’s existing substantive due process precedents. </w:t>
      </w:r>
      <w:r>
        <w:rPr>
          <w:i/>
          <w:iCs/>
        </w:rPr>
        <w:t>See supra</w:t>
      </w:r>
      <w:r>
        <w:t xml:space="preserve"> notes </w:t>
      </w:r>
      <w:r w:rsidR="009F3FA4">
        <w:fldChar w:fldCharType="begin"/>
      </w:r>
      <w:r w:rsidR="009F3FA4">
        <w:instrText xml:space="preserve"> NOTEREF _Ref178326390 \h </w:instrText>
      </w:r>
      <w:r w:rsidR="009F3FA4">
        <w:fldChar w:fldCharType="separate"/>
      </w:r>
      <w:r w:rsidR="009F3FA4">
        <w:t>225</w:t>
      </w:r>
      <w:r w:rsidR="009F3FA4">
        <w:fldChar w:fldCharType="end"/>
      </w:r>
      <w:r w:rsidR="009F3FA4">
        <w:t>–</w:t>
      </w:r>
      <w:r w:rsidR="009F3FA4">
        <w:fldChar w:fldCharType="begin"/>
      </w:r>
      <w:r w:rsidR="009F3FA4">
        <w:instrText xml:space="preserve"> NOTEREF _Ref178326392 \h </w:instrText>
      </w:r>
      <w:r w:rsidR="009F3FA4">
        <w:fldChar w:fldCharType="separate"/>
      </w:r>
      <w:r w:rsidR="009F3FA4">
        <w:t>228</w:t>
      </w:r>
      <w:r w:rsidR="009F3FA4">
        <w:fldChar w:fldCharType="end"/>
      </w:r>
      <w:r w:rsidR="009F3FA4">
        <w:t xml:space="preserve"> and accompanying text.</w:t>
      </w:r>
    </w:p>
  </w:footnote>
  <w:footnote w:id="246">
    <w:p w14:paraId="1BEA62D9" w14:textId="1361B80E" w:rsidR="00C701C4" w:rsidRPr="00290845" w:rsidRDefault="00C701C4">
      <w:pPr>
        <w:pStyle w:val="FootnoteText"/>
      </w:pPr>
      <w:r>
        <w:rPr>
          <w:rStyle w:val="FootnoteReference"/>
        </w:rPr>
        <w:footnoteRef/>
      </w:r>
      <w:r>
        <w:t xml:space="preserve"> </w:t>
      </w:r>
      <w:r>
        <w:rPr>
          <w:i/>
          <w:iCs/>
        </w:rPr>
        <w:t>Cf.</w:t>
      </w:r>
      <w:r w:rsidR="00290845">
        <w:t xml:space="preserve"> </w:t>
      </w:r>
      <w:r w:rsidR="00290845" w:rsidRPr="00183A0E">
        <w:rPr>
          <w:i/>
          <w:iCs/>
        </w:rPr>
        <w:t>Mu</w:t>
      </w:r>
      <w:r w:rsidR="00290845" w:rsidRPr="00183A0E">
        <w:rPr>
          <w:rFonts w:ascii="Times New Roman" w:hAnsi="Times New Roman"/>
          <w:i/>
          <w:iCs/>
        </w:rPr>
        <w:t>ñoz</w:t>
      </w:r>
      <w:r w:rsidR="00290845">
        <w:rPr>
          <w:rFonts w:ascii="Times New Roman" w:hAnsi="Times New Roman"/>
        </w:rPr>
        <w:t>, 144 S. Ct. at 1834</w:t>
      </w:r>
      <w:r w:rsidR="003A34E3">
        <w:rPr>
          <w:rFonts w:ascii="Times New Roman" w:hAnsi="Times New Roman"/>
        </w:rPr>
        <w:t xml:space="preserve"> (Sotomayor, J., dissenting)</w:t>
      </w:r>
      <w:r w:rsidR="00290845">
        <w:rPr>
          <w:rFonts w:ascii="Times New Roman" w:hAnsi="Times New Roman"/>
        </w:rPr>
        <w:t xml:space="preserve"> (noting that “[t]he majority . . . makes the same fatal error it made in </w:t>
      </w:r>
      <w:r w:rsidR="00290845">
        <w:rPr>
          <w:rFonts w:ascii="Times New Roman" w:hAnsi="Times New Roman"/>
          <w:i/>
          <w:iCs/>
        </w:rPr>
        <w:t>Dobbs</w:t>
      </w:r>
      <w:r w:rsidR="00290845">
        <w:rPr>
          <w:rFonts w:ascii="Times New Roman" w:hAnsi="Times New Roman"/>
        </w:rPr>
        <w:t>: requiring too careful a description of the asserted fundamental liberty interest.” (internal quotation and alterations omitted)).</w:t>
      </w:r>
    </w:p>
  </w:footnote>
  <w:footnote w:id="247">
    <w:p w14:paraId="0A42BFA4" w14:textId="6D840303" w:rsidR="001F6E93" w:rsidRPr="001F6E93" w:rsidRDefault="001F6E93">
      <w:pPr>
        <w:pStyle w:val="FootnoteText"/>
      </w:pPr>
      <w:r>
        <w:rPr>
          <w:rStyle w:val="FootnoteReference"/>
        </w:rPr>
        <w:footnoteRef/>
      </w:r>
      <w:r>
        <w:t xml:space="preserve"> </w:t>
      </w:r>
      <w:r>
        <w:rPr>
          <w:i/>
          <w:iCs/>
        </w:rPr>
        <w:t>See supra</w:t>
      </w:r>
      <w:r>
        <w:t xml:space="preserve"> text accompanying [</w:t>
      </w:r>
      <w:r w:rsidRPr="00416363">
        <w:rPr>
          <w:highlight w:val="yellow"/>
        </w:rPr>
        <w:t>between</w:t>
      </w:r>
      <w:r>
        <w:t xml:space="preserve">?] notes </w:t>
      </w:r>
      <w:r>
        <w:fldChar w:fldCharType="begin"/>
      </w:r>
      <w:r>
        <w:instrText xml:space="preserve"> NOTEREF _Ref178328512 \h </w:instrText>
      </w:r>
      <w:r>
        <w:fldChar w:fldCharType="separate"/>
      </w:r>
      <w:r>
        <w:t>211</w:t>
      </w:r>
      <w:r>
        <w:fldChar w:fldCharType="end"/>
      </w:r>
      <w:r>
        <w:t>–</w:t>
      </w:r>
      <w:r>
        <w:fldChar w:fldCharType="begin"/>
      </w:r>
      <w:r>
        <w:instrText xml:space="preserve"> NOTEREF _Ref178328515 \h </w:instrText>
      </w:r>
      <w:r>
        <w:fldChar w:fldCharType="separate"/>
      </w:r>
      <w:r>
        <w:t>212</w:t>
      </w:r>
      <w:r>
        <w:fldChar w:fldCharType="end"/>
      </w:r>
      <w:r>
        <w:t>.</w:t>
      </w:r>
    </w:p>
  </w:footnote>
  <w:footnote w:id="248">
    <w:p w14:paraId="24AB66E8" w14:textId="6AC5EDD2" w:rsidR="00986178" w:rsidRDefault="00986178" w:rsidP="009355C8">
      <w:pPr>
        <w:pStyle w:val="FootnoteText"/>
        <w:rPr>
          <w:rFonts w:ascii="Times New Roman" w:hAnsi="Times New Roman"/>
        </w:rPr>
      </w:pPr>
      <w:r>
        <w:rPr>
          <w:rStyle w:val="FootnoteReference"/>
        </w:rPr>
        <w:footnoteRef/>
      </w:r>
      <w:r>
        <w:t xml:space="preserve"> </w:t>
      </w:r>
      <w:r>
        <w:rPr>
          <w:i/>
          <w:iCs/>
        </w:rPr>
        <w:t>See</w:t>
      </w:r>
      <w:r>
        <w:t xml:space="preserve"> </w:t>
      </w:r>
      <w:r w:rsidR="005168F9" w:rsidRPr="00183A0E">
        <w:rPr>
          <w:i/>
          <w:iCs/>
        </w:rPr>
        <w:t>Mu</w:t>
      </w:r>
      <w:r w:rsidR="005168F9" w:rsidRPr="00183A0E">
        <w:rPr>
          <w:rFonts w:ascii="Times New Roman" w:hAnsi="Times New Roman"/>
          <w:i/>
          <w:iCs/>
        </w:rPr>
        <w:t>ñoz</w:t>
      </w:r>
      <w:r w:rsidR="005168F9">
        <w:rPr>
          <w:rFonts w:ascii="Times New Roman" w:hAnsi="Times New Roman"/>
        </w:rPr>
        <w:t xml:space="preserve">, 144 S. Ct. at </w:t>
      </w:r>
      <w:r w:rsidR="009355C8">
        <w:rPr>
          <w:rFonts w:ascii="Times New Roman" w:hAnsi="Times New Roman"/>
        </w:rPr>
        <w:t>1835 (Sotomayor, J., dissenting) (“</w:t>
      </w:r>
      <w:r w:rsidR="009355C8" w:rsidRPr="009355C8">
        <w:rPr>
          <w:rFonts w:ascii="Times New Roman" w:hAnsi="Times New Roman"/>
        </w:rPr>
        <w:t>This Court has never required that plaintiffs be fully prevented from exercising their right to marriage before invoking it. Instead, the question is whether a challenged government action burdens the right</w:t>
      </w:r>
      <w:r w:rsidR="009355C8">
        <w:rPr>
          <w:rFonts w:ascii="Times New Roman" w:hAnsi="Times New Roman"/>
        </w:rPr>
        <w:t xml:space="preserve"> </w:t>
      </w:r>
      <w:proofErr w:type="gramStart"/>
      <w:r w:rsidR="009355C8">
        <w:rPr>
          <w:rFonts w:ascii="Times New Roman" w:hAnsi="Times New Roman"/>
        </w:rPr>
        <w:t>. . . .</w:t>
      </w:r>
      <w:proofErr w:type="gramEnd"/>
      <w:r w:rsidR="009355C8">
        <w:rPr>
          <w:rFonts w:ascii="Times New Roman" w:hAnsi="Times New Roman"/>
        </w:rPr>
        <w:t xml:space="preserve"> </w:t>
      </w:r>
      <w:r w:rsidR="00990748" w:rsidRPr="00990748">
        <w:rPr>
          <w:rFonts w:ascii="Times New Roman" w:hAnsi="Times New Roman"/>
        </w:rPr>
        <w:t>There can be no real question that excluding a citizen's spouse from the country “burdens” the citizen's right to marriage as this Court has repeatedly defined it.</w:t>
      </w:r>
      <w:r w:rsidR="00990748">
        <w:rPr>
          <w:rFonts w:ascii="Times New Roman" w:hAnsi="Times New Roman"/>
        </w:rPr>
        <w:t>”).</w:t>
      </w:r>
    </w:p>
    <w:p w14:paraId="53833CC1" w14:textId="77C5FA87" w:rsidR="00240CC5" w:rsidRPr="005168F9" w:rsidRDefault="00FD50B2" w:rsidP="00240CC5">
      <w:pPr>
        <w:pStyle w:val="FootnoteText"/>
        <w:ind w:firstLine="720"/>
      </w:pPr>
      <w:r>
        <w:t xml:space="preserve">Justice Sotomayor’s dissent in </w:t>
      </w:r>
      <w:r w:rsidRPr="00183A0E">
        <w:rPr>
          <w:i/>
          <w:iCs/>
        </w:rPr>
        <w:t>Mu</w:t>
      </w:r>
      <w:r w:rsidRPr="00183A0E">
        <w:rPr>
          <w:rFonts w:ascii="Times New Roman" w:hAnsi="Times New Roman"/>
          <w:i/>
          <w:iCs/>
        </w:rPr>
        <w:t>ñoz</w:t>
      </w:r>
      <w:r>
        <w:rPr>
          <w:rFonts w:ascii="Times New Roman" w:hAnsi="Times New Roman"/>
        </w:rPr>
        <w:t xml:space="preserve"> </w:t>
      </w:r>
      <w:r w:rsidR="00624A6D">
        <w:t xml:space="preserve">tracks the logic of the Epicurean approach insofar as it centers the burden on fundamental rights </w:t>
      </w:r>
      <w:r w:rsidR="00986E00">
        <w:t xml:space="preserve">in the substantive due process analysis. </w:t>
      </w:r>
      <w:r w:rsidR="00986E00">
        <w:rPr>
          <w:i/>
          <w:iCs/>
        </w:rPr>
        <w:t>See id.</w:t>
      </w:r>
      <w:r w:rsidR="0042603C">
        <w:t xml:space="preserve"> But while Justice Sotomayor would limit intermediate procedural remedies to t</w:t>
      </w:r>
      <w:r w:rsidR="002044ED">
        <w:t xml:space="preserve">he type requested in this and similar immigration cases, </w:t>
      </w:r>
      <w:r w:rsidR="002044ED">
        <w:rPr>
          <w:i/>
          <w:iCs/>
        </w:rPr>
        <w:t>see id.</w:t>
      </w:r>
      <w:r w:rsidR="002044ED">
        <w:t xml:space="preserve"> </w:t>
      </w:r>
      <w:proofErr w:type="gramStart"/>
      <w:r w:rsidR="002044ED">
        <w:t>at</w:t>
      </w:r>
      <w:proofErr w:type="gramEnd"/>
      <w:r w:rsidR="002044ED">
        <w:t xml:space="preserve"> </w:t>
      </w:r>
      <w:r w:rsidR="00A1712A">
        <w:t xml:space="preserve">1836–37 (discussing </w:t>
      </w:r>
      <w:r w:rsidR="00E1402E">
        <w:rPr>
          <w:i/>
          <w:iCs/>
        </w:rPr>
        <w:t>Kleindienst v. Mandel</w:t>
      </w:r>
      <w:r w:rsidR="00E1402E">
        <w:t xml:space="preserve">, </w:t>
      </w:r>
      <w:r w:rsidR="00FA35AA">
        <w:t>408 U.S. 753 (1972))</w:t>
      </w:r>
      <w:r w:rsidR="002044ED">
        <w:t>, I would open the full panoply of procedural protections to all substantive due process claims.</w:t>
      </w:r>
      <w:r w:rsidR="00624A6D">
        <w:t xml:space="preserve"> </w:t>
      </w:r>
    </w:p>
  </w:footnote>
  <w:footnote w:id="249">
    <w:p w14:paraId="76E94837" w14:textId="0250E598" w:rsidR="00DB1910" w:rsidRPr="00DB1910" w:rsidRDefault="00DB1910">
      <w:pPr>
        <w:pStyle w:val="FootnoteText"/>
      </w:pPr>
      <w:r>
        <w:rPr>
          <w:rStyle w:val="FootnoteReference"/>
        </w:rPr>
        <w:footnoteRef/>
      </w:r>
      <w:r>
        <w:t xml:space="preserve"> As it already crafts intermediate protections for substantial burdens on intermediate interests in procedural due process cases. </w:t>
      </w:r>
      <w:r>
        <w:rPr>
          <w:i/>
          <w:iCs/>
        </w:rPr>
        <w:t>See</w:t>
      </w:r>
      <w:r>
        <w:t xml:space="preserve"> [</w:t>
      </w:r>
      <w:r w:rsidRPr="000820E9">
        <w:rPr>
          <w:highlight w:val="yellow"/>
        </w:rPr>
        <w:t>cite to PDP cases</w:t>
      </w:r>
      <w:r>
        <w:t>].</w:t>
      </w:r>
    </w:p>
  </w:footnote>
  <w:footnote w:id="250">
    <w:p w14:paraId="4BD4AE45" w14:textId="203218E6" w:rsidR="00636453" w:rsidRDefault="00636453">
      <w:pPr>
        <w:pStyle w:val="FootnoteText"/>
      </w:pPr>
      <w:r>
        <w:rPr>
          <w:rStyle w:val="FootnoteReference"/>
        </w:rPr>
        <w:footnoteRef/>
      </w:r>
      <w:r>
        <w:t xml:space="preserve"> </w:t>
      </w:r>
      <w:r w:rsidR="000173FD">
        <w:t xml:space="preserve">This is not to suggest that courts must </w:t>
      </w:r>
      <w:r w:rsidR="00A44FF8">
        <w:t xml:space="preserve">craft different procedural remedies for </w:t>
      </w:r>
      <w:proofErr w:type="gramStart"/>
      <w:r w:rsidR="00A44FF8">
        <w:t>each individual</w:t>
      </w:r>
      <w:r w:rsidR="00301C40">
        <w:t>’s</w:t>
      </w:r>
      <w:proofErr w:type="gramEnd"/>
      <w:r w:rsidR="00301C40">
        <w:t xml:space="preserve"> substantive due process</w:t>
      </w:r>
      <w:r w:rsidR="00FF5BBE">
        <w:t xml:space="preserve"> </w:t>
      </w:r>
      <w:r w:rsidR="00A44FF8">
        <w:t>claim</w:t>
      </w:r>
      <w:r w:rsidR="00FF5BBE">
        <w:t xml:space="preserve"> based on </w:t>
      </w:r>
      <w:r w:rsidR="004F474F">
        <w:t xml:space="preserve">the claimant’s </w:t>
      </w:r>
      <w:r w:rsidR="00FF5BBE">
        <w:t>individualized preferences and circumstances</w:t>
      </w:r>
      <w:r w:rsidR="00DE0711">
        <w:t xml:space="preserve">. </w:t>
      </w:r>
      <w:r w:rsidR="004C2F35">
        <w:t xml:space="preserve">Under the Epicurean approach, the level of </w:t>
      </w:r>
      <w:proofErr w:type="gramStart"/>
      <w:r w:rsidR="004E2C95">
        <w:t xml:space="preserve">individualized </w:t>
      </w:r>
      <w:r w:rsidR="004C2F35">
        <w:t xml:space="preserve"> consideration</w:t>
      </w:r>
      <w:proofErr w:type="gramEnd"/>
      <w:r w:rsidR="004C2F35">
        <w:t xml:space="preserve"> in the </w:t>
      </w:r>
      <w:r w:rsidR="00FF6BC8">
        <w:t>prescription of procedures</w:t>
      </w:r>
      <w:r w:rsidR="004C2F35">
        <w:t xml:space="preserve"> is also a function of the importance of the interest. </w:t>
      </w:r>
      <w:r w:rsidR="00301C40">
        <w:t xml:space="preserve">For most interests, it </w:t>
      </w:r>
      <w:r w:rsidR="0001743C">
        <w:t>will be</w:t>
      </w:r>
      <w:r w:rsidR="00F943E6">
        <w:t xml:space="preserve"> sufficient for the courts to </w:t>
      </w:r>
      <w:r w:rsidR="00D902DD">
        <w:t>prescribe a set of</w:t>
      </w:r>
      <w:r w:rsidR="00F943E6">
        <w:t xml:space="preserve"> procedur</w:t>
      </w:r>
      <w:r w:rsidR="005F6544">
        <w:t>al requirements</w:t>
      </w:r>
      <w:r w:rsidR="00F943E6">
        <w:t xml:space="preserve"> for the generalized interest. Thus, </w:t>
      </w:r>
      <w:r w:rsidR="0045323F">
        <w:t>the Court could require that in cases in which it denies a visa to a spouse of a U.S. citizen, the State Department must provide a factual basis</w:t>
      </w:r>
      <w:r w:rsidR="00086C23">
        <w:t>. The Court</w:t>
      </w:r>
      <w:r w:rsidR="00453D8B">
        <w:t xml:space="preserve"> need not concern itself with prescribing additional procedures in individualized cases</w:t>
      </w:r>
      <w:r w:rsidR="00086C23">
        <w:t xml:space="preserve"> of that sort</w:t>
      </w:r>
      <w:r w:rsidR="00453D8B">
        <w:t xml:space="preserve"> unless it became obvious that its procedural prescription was generally inadequate to protect the interest. </w:t>
      </w:r>
    </w:p>
  </w:footnote>
  <w:footnote w:id="251">
    <w:p w14:paraId="2AB5B3DD" w14:textId="6D349AEA" w:rsidR="0043203E" w:rsidRPr="0043203E" w:rsidRDefault="0043203E">
      <w:pPr>
        <w:pStyle w:val="FootnoteText"/>
      </w:pPr>
      <w:r>
        <w:rPr>
          <w:rStyle w:val="FootnoteReference"/>
        </w:rPr>
        <w:footnoteRef/>
      </w:r>
      <w:r>
        <w:t xml:space="preserve"> </w:t>
      </w:r>
      <w:r>
        <w:rPr>
          <w:i/>
          <w:iCs/>
        </w:rPr>
        <w:t xml:space="preserve">See </w:t>
      </w:r>
      <w:r w:rsidRPr="00183A0E">
        <w:rPr>
          <w:i/>
          <w:iCs/>
        </w:rPr>
        <w:t>Mu</w:t>
      </w:r>
      <w:r w:rsidRPr="00183A0E">
        <w:rPr>
          <w:rFonts w:ascii="Times New Roman" w:hAnsi="Times New Roman"/>
          <w:i/>
          <w:iCs/>
        </w:rPr>
        <w:t>ñoz</w:t>
      </w:r>
      <w:r>
        <w:rPr>
          <w:rFonts w:ascii="Times New Roman" w:hAnsi="Times New Roman"/>
        </w:rPr>
        <w:t xml:space="preserve">, 144 S. Ct. </w:t>
      </w:r>
      <w:r w:rsidR="00F86349">
        <w:rPr>
          <w:rFonts w:ascii="Times New Roman" w:hAnsi="Times New Roman"/>
        </w:rPr>
        <w:t>at 1822 (majority opinion).</w:t>
      </w:r>
    </w:p>
  </w:footnote>
  <w:footnote w:id="252">
    <w:p w14:paraId="5EBF9B00" w14:textId="7125FDEE" w:rsidR="00A951E6" w:rsidRPr="00A951E6" w:rsidRDefault="00A951E6">
      <w:pPr>
        <w:pStyle w:val="FootnoteText"/>
      </w:pPr>
      <w:r>
        <w:rPr>
          <w:rStyle w:val="FootnoteReference"/>
        </w:rPr>
        <w:footnoteRef/>
      </w:r>
      <w:r>
        <w:t xml:space="preserve"> </w:t>
      </w:r>
      <w:r>
        <w:rPr>
          <w:i/>
          <w:iCs/>
        </w:rPr>
        <w:t>Bradwell</w:t>
      </w:r>
    </w:p>
  </w:footnote>
  <w:footnote w:id="253">
    <w:p w14:paraId="72A6013E" w14:textId="5C774606" w:rsidR="00803DAC" w:rsidRPr="00803DAC" w:rsidRDefault="00803DAC">
      <w:pPr>
        <w:pStyle w:val="FootnoteText"/>
      </w:pPr>
      <w:r>
        <w:rPr>
          <w:rStyle w:val="FootnoteReference"/>
        </w:rPr>
        <w:footnoteRef/>
      </w:r>
      <w:r>
        <w:t xml:space="preserve"> </w:t>
      </w:r>
      <w:r w:rsidR="00A951E6">
        <w:rPr>
          <w:i/>
          <w:iCs/>
        </w:rPr>
        <w:t>Loving</w:t>
      </w:r>
    </w:p>
  </w:footnote>
  <w:footnote w:id="254">
    <w:p w14:paraId="337EC76C" w14:textId="0A6F565C" w:rsidR="00B96F94" w:rsidRPr="00B96F94" w:rsidRDefault="00B96F94">
      <w:pPr>
        <w:pStyle w:val="FootnoteText"/>
      </w:pPr>
      <w:r>
        <w:rPr>
          <w:rStyle w:val="FootnoteReference"/>
        </w:rPr>
        <w:footnoteRef/>
      </w:r>
      <w:r>
        <w:t xml:space="preserve"> </w:t>
      </w:r>
      <w:r>
        <w:rPr>
          <w:i/>
          <w:iCs/>
        </w:rPr>
        <w:t>Bowers</w:t>
      </w:r>
    </w:p>
  </w:footnote>
  <w:footnote w:id="255">
    <w:p w14:paraId="30F5E49D" w14:textId="5E629161" w:rsidR="00364B24" w:rsidRPr="002C2698" w:rsidRDefault="00364B24">
      <w:pPr>
        <w:pStyle w:val="FootnoteText"/>
      </w:pPr>
      <w:r>
        <w:rPr>
          <w:rStyle w:val="FootnoteReference"/>
        </w:rPr>
        <w:footnoteRef/>
      </w:r>
      <w:r>
        <w:t xml:space="preserve"> </w:t>
      </w:r>
      <w:r w:rsidR="002C2698">
        <w:rPr>
          <w:i/>
          <w:iCs/>
        </w:rPr>
        <w:t>See</w:t>
      </w:r>
      <w:r w:rsidR="002C2698">
        <w:t xml:space="preserve"> </w:t>
      </w:r>
      <w:r w:rsidR="002C2698" w:rsidRPr="000B457C">
        <w:rPr>
          <w:smallCaps/>
        </w:rPr>
        <w:t>West</w:t>
      </w:r>
      <w:r w:rsidR="002C2698">
        <w:t xml:space="preserve">, </w:t>
      </w:r>
      <w:r w:rsidR="002C2698">
        <w:rPr>
          <w:i/>
          <w:iCs/>
        </w:rPr>
        <w:t>supra</w:t>
      </w:r>
      <w:r w:rsidR="002C2698">
        <w:t xml:space="preserve"> note </w:t>
      </w:r>
      <w:r w:rsidR="002C2698">
        <w:fldChar w:fldCharType="begin"/>
      </w:r>
      <w:r w:rsidR="002C2698">
        <w:instrText xml:space="preserve"> NOTEREF _Ref184740956 \h </w:instrText>
      </w:r>
      <w:r w:rsidR="002C2698">
        <w:fldChar w:fldCharType="separate"/>
      </w:r>
      <w:r w:rsidR="002C2698">
        <w:t>20</w:t>
      </w:r>
      <w:r w:rsidR="002C2698">
        <w:fldChar w:fldCharType="end"/>
      </w:r>
      <w:r w:rsidR="002C2698">
        <w:t xml:space="preserve">, at </w:t>
      </w:r>
      <w:r w:rsidR="00E9537A">
        <w:t>12–13</w:t>
      </w:r>
      <w:r w:rsidR="005C5587">
        <w:t>, 48</w:t>
      </w:r>
      <w:r w:rsidR="000B457C">
        <w:t>–53;</w:t>
      </w:r>
      <w:r w:rsidR="00A033FD">
        <w:t xml:space="preserve"> </w:t>
      </w:r>
      <w:r w:rsidR="00A033FD" w:rsidRPr="00313BDD">
        <w:rPr>
          <w:smallCaps/>
        </w:rPr>
        <w:t>Nicholas Bamforth &amp; David A. J. Richards, Patriarchal Religion, Sexuality, and Gender: A Critique of the New Natural Law</w:t>
      </w:r>
      <w:r w:rsidR="00313BDD">
        <w:t xml:space="preserve"> </w:t>
      </w:r>
      <w:r w:rsidR="000F495E">
        <w:t>228–278</w:t>
      </w:r>
      <w:r w:rsidR="00313BDD">
        <w:t xml:space="preserve"> (2008)</w:t>
      </w:r>
      <w:r w:rsidR="000F495E">
        <w:t xml:space="preserve"> (thoroughly illustrating the </w:t>
      </w:r>
      <w:r w:rsidR="00DA2CD6">
        <w:t>connections</w:t>
      </w:r>
      <w:r w:rsidR="000F495E">
        <w:t xml:space="preserve"> of </w:t>
      </w:r>
      <w:r w:rsidR="008211C3">
        <w:t xml:space="preserve">the “new natural law” </w:t>
      </w:r>
      <w:r w:rsidR="00DA2CD6">
        <w:t xml:space="preserve">movement to </w:t>
      </w:r>
      <w:r w:rsidR="008211C3">
        <w:t>sexism and homophobia)</w:t>
      </w:r>
      <w:r w:rsidR="00313BDD">
        <w:t>.</w:t>
      </w:r>
    </w:p>
  </w:footnote>
  <w:footnote w:id="256">
    <w:p w14:paraId="616B7E76" w14:textId="754B0A87" w:rsidR="00FD7208" w:rsidRPr="00AC292D" w:rsidRDefault="00FD7208">
      <w:pPr>
        <w:pStyle w:val="FootnoteText"/>
      </w:pPr>
      <w:r>
        <w:rPr>
          <w:rStyle w:val="FootnoteReference"/>
        </w:rPr>
        <w:footnoteRef/>
      </w:r>
      <w:r>
        <w:t xml:space="preserve"> </w:t>
      </w:r>
      <w:r w:rsidR="00AC292D">
        <w:t xml:space="preserve">Clemons, </w:t>
      </w:r>
      <w:r w:rsidR="00AC292D">
        <w:rPr>
          <w:i/>
          <w:iCs/>
        </w:rPr>
        <w:t>supra</w:t>
      </w:r>
      <w:r w:rsidR="00AC292D">
        <w:t xml:space="preserve"> note </w:t>
      </w:r>
      <w:r w:rsidR="00AC292D">
        <w:fldChar w:fldCharType="begin"/>
      </w:r>
      <w:r w:rsidR="00AC292D">
        <w:instrText xml:space="preserve"> NOTEREF _Ref178849787 \h </w:instrText>
      </w:r>
      <w:r w:rsidR="00AC292D">
        <w:fldChar w:fldCharType="separate"/>
      </w:r>
      <w:r w:rsidR="00AC292D">
        <w:t>62</w:t>
      </w:r>
      <w:r w:rsidR="00AC292D">
        <w:fldChar w:fldCharType="end"/>
      </w:r>
      <w:r w:rsidR="00AC292D">
        <w:t>, at 1149.</w:t>
      </w:r>
    </w:p>
  </w:footnote>
  <w:footnote w:id="257">
    <w:p w14:paraId="74285709" w14:textId="47EF9BF5" w:rsidR="002A69D5" w:rsidRPr="002A69D5" w:rsidRDefault="002A69D5">
      <w:pPr>
        <w:pStyle w:val="FootnoteText"/>
      </w:pPr>
      <w:r>
        <w:rPr>
          <w:rStyle w:val="FootnoteReference"/>
        </w:rPr>
        <w:footnoteRef/>
      </w:r>
      <w:r>
        <w:t xml:space="preserve"> </w:t>
      </w:r>
      <w:r>
        <w:rPr>
          <w:i/>
          <w:iCs/>
        </w:rPr>
        <w:t>Id.</w:t>
      </w:r>
    </w:p>
  </w:footnote>
  <w:footnote w:id="258">
    <w:p w14:paraId="3FD0EE1B" w14:textId="1AB980D6" w:rsidR="007E7C97" w:rsidRPr="00724B01" w:rsidRDefault="007E7C97">
      <w:pPr>
        <w:pStyle w:val="FootnoteText"/>
      </w:pPr>
      <w:r>
        <w:rPr>
          <w:rStyle w:val="FootnoteReference"/>
        </w:rPr>
        <w:footnoteRef/>
      </w:r>
      <w:r>
        <w:t xml:space="preserve"> </w:t>
      </w:r>
      <w:r w:rsidR="00724B01">
        <w:rPr>
          <w:i/>
          <w:iCs/>
        </w:rPr>
        <w:t>Id.</w:t>
      </w:r>
      <w:r w:rsidR="00724B01">
        <w:t xml:space="preserve"> at 115</w:t>
      </w:r>
      <w:r w:rsidR="00B568C4">
        <w:t>0.</w:t>
      </w:r>
    </w:p>
  </w:footnote>
  <w:footnote w:id="259">
    <w:p w14:paraId="41882DED" w14:textId="0837308B" w:rsidR="0072599E" w:rsidRPr="0072599E" w:rsidRDefault="0072599E">
      <w:pPr>
        <w:pStyle w:val="FootnoteText"/>
      </w:pPr>
      <w:r>
        <w:rPr>
          <w:rStyle w:val="FootnoteReference"/>
        </w:rPr>
        <w:footnoteRef/>
      </w:r>
      <w:r>
        <w:t xml:space="preserve"> </w:t>
      </w:r>
      <w:r>
        <w:rPr>
          <w:i/>
          <w:iCs/>
        </w:rPr>
        <w:t>Id.</w:t>
      </w:r>
      <w:r>
        <w:t xml:space="preserve"> </w:t>
      </w:r>
      <w:r w:rsidR="00DA5075">
        <w:t>at 1162 &amp; n.250.</w:t>
      </w:r>
    </w:p>
  </w:footnote>
  <w:footnote w:id="260">
    <w:p w14:paraId="49986A04" w14:textId="2A655886" w:rsidR="00BF5AE0" w:rsidRPr="00BF5AE0" w:rsidRDefault="00BF5AE0">
      <w:pPr>
        <w:pStyle w:val="FootnoteText"/>
      </w:pPr>
      <w:r>
        <w:rPr>
          <w:rStyle w:val="FootnoteReference"/>
        </w:rPr>
        <w:footnoteRef/>
      </w:r>
      <w:r>
        <w:t xml:space="preserve"> </w:t>
      </w:r>
      <w:r>
        <w:rPr>
          <w:i/>
          <w:iCs/>
        </w:rPr>
        <w:t>See supra</w:t>
      </w:r>
      <w:r>
        <w:t xml:space="preserve"> note </w:t>
      </w:r>
      <w:r>
        <w:fldChar w:fldCharType="begin"/>
      </w:r>
      <w:r>
        <w:instrText xml:space="preserve"> NOTEREF _Ref178324504 \h </w:instrText>
      </w:r>
      <w:r>
        <w:fldChar w:fldCharType="separate"/>
      </w:r>
      <w:r>
        <w:t>128</w:t>
      </w:r>
      <w:r>
        <w:fldChar w:fldCharType="end"/>
      </w:r>
      <w:r>
        <w:t xml:space="preserve"> a</w:t>
      </w:r>
      <w:r w:rsidR="00B03560">
        <w:t>nd</w:t>
      </w:r>
      <w:r>
        <w:t xml:space="preserve"> accompanying text.</w:t>
      </w:r>
    </w:p>
  </w:footnote>
  <w:footnote w:id="261">
    <w:p w14:paraId="6A2A5001" w14:textId="799509BF" w:rsidR="00DC2D7A" w:rsidRDefault="00DC2D7A" w:rsidP="00EB3632">
      <w:pPr>
        <w:pStyle w:val="FootnoteText"/>
      </w:pPr>
      <w:r>
        <w:rPr>
          <w:rStyle w:val="FootnoteReference"/>
        </w:rPr>
        <w:footnoteRef/>
      </w:r>
      <w:r>
        <w:t xml:space="preserve"> </w:t>
      </w:r>
      <w:r w:rsidR="002D6B97">
        <w:t>I use “necessarily” here to mean the strictest form of causation:</w:t>
      </w:r>
      <w:r w:rsidR="00766219">
        <w:t xml:space="preserve"> </w:t>
      </w:r>
      <w:r w:rsidR="00541719">
        <w:t xml:space="preserve">Failing to fulfill the desire </w:t>
      </w:r>
      <w:r w:rsidR="00541719">
        <w:rPr>
          <w:i/>
          <w:iCs/>
        </w:rPr>
        <w:t>invariably</w:t>
      </w:r>
      <w:r w:rsidR="00541719">
        <w:t xml:space="preserve"> results in pain or death </w:t>
      </w:r>
      <w:r w:rsidR="00541719">
        <w:rPr>
          <w:i/>
          <w:iCs/>
        </w:rPr>
        <w:t>without</w:t>
      </w:r>
      <w:r w:rsidR="00541719">
        <w:t xml:space="preserve"> further human intervention. </w:t>
      </w:r>
      <w:r w:rsidR="00942AE0">
        <w:t xml:space="preserve">This qualification is necessary because humans often impose pain or death on one another </w:t>
      </w:r>
      <w:r w:rsidR="005F6F9B">
        <w:t>to enforce conformity with artificial hierarchies</w:t>
      </w:r>
      <w:r w:rsidR="00C44751">
        <w:t xml:space="preserve">. </w:t>
      </w:r>
      <w:r w:rsidR="00C44751">
        <w:rPr>
          <w:i/>
          <w:iCs/>
        </w:rPr>
        <w:t>See supra</w:t>
      </w:r>
      <w:r w:rsidR="00C44751">
        <w:t xml:space="preserve"> note </w:t>
      </w:r>
      <w:r w:rsidR="00C44751">
        <w:fldChar w:fldCharType="begin"/>
      </w:r>
      <w:r w:rsidR="00C44751">
        <w:instrText xml:space="preserve"> NOTEREF _Ref178932070 \h </w:instrText>
      </w:r>
      <w:r w:rsidR="00C44751">
        <w:fldChar w:fldCharType="separate"/>
      </w:r>
      <w:r w:rsidR="00C44751">
        <w:t>241</w:t>
      </w:r>
      <w:r w:rsidR="00C44751">
        <w:fldChar w:fldCharType="end"/>
      </w:r>
      <w:r w:rsidR="00C44751">
        <w:t xml:space="preserve"> and accompanying text</w:t>
      </w:r>
      <w:r w:rsidR="00332E86">
        <w:t>.</w:t>
      </w:r>
      <w:r w:rsidR="00C44751">
        <w:t xml:space="preserve"> </w:t>
      </w:r>
      <w:r w:rsidR="00750762">
        <w:t>That authorities would arrest, torture, and kill anyone caught practicing Protestant Christianity during the Spanish Inquisition does not render the desire for Catholic supremacy “natural.”</w:t>
      </w:r>
    </w:p>
  </w:footnote>
  <w:footnote w:id="262">
    <w:p w14:paraId="45E5C742" w14:textId="1E25ECA2" w:rsidR="00EB3632" w:rsidRDefault="00EB3632">
      <w:pPr>
        <w:pStyle w:val="FootnoteText"/>
      </w:pPr>
      <w:r>
        <w:rPr>
          <w:rStyle w:val="FootnoteReference"/>
        </w:rPr>
        <w:footnoteRef/>
      </w:r>
      <w:r>
        <w:t xml:space="preserve"> Psychologists Jim </w:t>
      </w:r>
      <w:proofErr w:type="spellStart"/>
      <w:r w:rsidR="000E5B00">
        <w:t>Sidanius</w:t>
      </w:r>
      <w:proofErr w:type="spellEnd"/>
      <w:r w:rsidR="000E5B00">
        <w:t xml:space="preserve"> and Felicia Pratto call such </w:t>
      </w:r>
      <w:r w:rsidR="00970646">
        <w:t>hierarchies “arbitrary-set systems”</w:t>
      </w:r>
      <w:r w:rsidR="000E3D25">
        <w:t xml:space="preserve"> in which groups are defined based on “any . . . socially relevant group distinction the human imagination is capable of constructing.”</w:t>
      </w:r>
      <w:r w:rsidR="00753437">
        <w:t xml:space="preserve"> </w:t>
      </w:r>
      <w:r w:rsidR="00753437" w:rsidRPr="00913340">
        <w:rPr>
          <w:smallCaps/>
        </w:rPr>
        <w:t xml:space="preserve">Jim </w:t>
      </w:r>
      <w:proofErr w:type="spellStart"/>
      <w:r w:rsidR="00753437" w:rsidRPr="00913340">
        <w:rPr>
          <w:smallCaps/>
        </w:rPr>
        <w:t>Sidanius</w:t>
      </w:r>
      <w:proofErr w:type="spellEnd"/>
      <w:r w:rsidR="00753437" w:rsidRPr="00913340">
        <w:rPr>
          <w:smallCaps/>
        </w:rPr>
        <w:t xml:space="preserve"> &amp; Felicia Pratto, </w:t>
      </w:r>
      <w:r w:rsidR="00F35C10" w:rsidRPr="00913340">
        <w:rPr>
          <w:smallCaps/>
        </w:rPr>
        <w:t>Social Dominance: An Intergroup Theory of Social Hierarchy and Oppression</w:t>
      </w:r>
      <w:r w:rsidR="00F35C10">
        <w:t xml:space="preserve"> </w:t>
      </w:r>
      <w:r w:rsidR="00913340">
        <w:t>33 (1999).</w:t>
      </w:r>
    </w:p>
  </w:footnote>
  <w:footnote w:id="263">
    <w:p w14:paraId="6111C44F" w14:textId="59FA3EDB" w:rsidR="00376A7D" w:rsidRPr="00376A7D" w:rsidRDefault="00376A7D">
      <w:pPr>
        <w:pStyle w:val="FootnoteText"/>
      </w:pPr>
      <w:r>
        <w:rPr>
          <w:rStyle w:val="FootnoteReference"/>
        </w:rPr>
        <w:footnoteRef/>
      </w:r>
      <w:r>
        <w:t xml:space="preserve"> </w:t>
      </w:r>
      <w:r>
        <w:rPr>
          <w:i/>
          <w:iCs/>
        </w:rPr>
        <w:t>See supra</w:t>
      </w:r>
      <w:r>
        <w:t xml:space="preserve"> notes </w:t>
      </w:r>
      <w:r w:rsidR="00617BC0">
        <w:fldChar w:fldCharType="begin"/>
      </w:r>
      <w:r w:rsidR="00617BC0">
        <w:instrText xml:space="preserve"> NOTEREF _Ref178933208 \h </w:instrText>
      </w:r>
      <w:r w:rsidR="00617BC0">
        <w:fldChar w:fldCharType="separate"/>
      </w:r>
      <w:r w:rsidR="00617BC0">
        <w:t>137</w:t>
      </w:r>
      <w:r w:rsidR="00617BC0">
        <w:fldChar w:fldCharType="end"/>
      </w:r>
      <w:r w:rsidR="00617BC0">
        <w:t>–</w:t>
      </w:r>
      <w:r w:rsidR="00617BC0">
        <w:fldChar w:fldCharType="begin"/>
      </w:r>
      <w:r w:rsidR="00617BC0">
        <w:instrText xml:space="preserve"> NOTEREF _Ref176519950 \h </w:instrText>
      </w:r>
      <w:r w:rsidR="00617BC0">
        <w:fldChar w:fldCharType="separate"/>
      </w:r>
      <w:r w:rsidR="00617BC0">
        <w:t>138</w:t>
      </w:r>
      <w:r w:rsidR="00617BC0">
        <w:fldChar w:fldCharType="end"/>
      </w:r>
      <w:r w:rsidR="00617BC0">
        <w:t xml:space="preserve"> and accompanying text.</w:t>
      </w:r>
    </w:p>
  </w:footnote>
  <w:footnote w:id="264">
    <w:p w14:paraId="4FDAE9DD" w14:textId="02DA25AE" w:rsidR="0069236B" w:rsidRPr="00525C64" w:rsidRDefault="0069236B">
      <w:pPr>
        <w:pStyle w:val="FootnoteText"/>
      </w:pPr>
      <w:r>
        <w:rPr>
          <w:rStyle w:val="FootnoteReference"/>
        </w:rPr>
        <w:footnoteRef/>
      </w:r>
      <w:r>
        <w:t xml:space="preserve"> </w:t>
      </w:r>
      <w:r w:rsidR="00525C64">
        <w:rPr>
          <w:i/>
          <w:iCs/>
        </w:rPr>
        <w:t>See</w:t>
      </w:r>
      <w:r w:rsidR="00525C64">
        <w:t xml:space="preserve"> Clemons, </w:t>
      </w:r>
      <w:r w:rsidR="00525C64">
        <w:rPr>
          <w:i/>
          <w:iCs/>
        </w:rPr>
        <w:t>supra</w:t>
      </w:r>
      <w:r w:rsidR="00525C64">
        <w:t xml:space="preserve"> note </w:t>
      </w:r>
      <w:r w:rsidR="00525C64">
        <w:fldChar w:fldCharType="begin"/>
      </w:r>
      <w:r w:rsidR="00525C64">
        <w:instrText xml:space="preserve"> NOTEREF _Ref178849787 \h </w:instrText>
      </w:r>
      <w:r w:rsidR="00525C64">
        <w:fldChar w:fldCharType="separate"/>
      </w:r>
      <w:r w:rsidR="00525C64">
        <w:t>62</w:t>
      </w:r>
      <w:r w:rsidR="00525C64">
        <w:fldChar w:fldCharType="end"/>
      </w:r>
      <w:r w:rsidR="00525C64">
        <w:t xml:space="preserve">, at 1151, </w:t>
      </w:r>
      <w:r w:rsidR="0086086A">
        <w:t>1156.</w:t>
      </w:r>
    </w:p>
  </w:footnote>
  <w:footnote w:id="265">
    <w:p w14:paraId="1D088DA9" w14:textId="750AD69B" w:rsidR="00253462" w:rsidRDefault="00253462">
      <w:pPr>
        <w:pStyle w:val="FootnoteText"/>
      </w:pPr>
      <w:r>
        <w:rPr>
          <w:rStyle w:val="FootnoteReference"/>
        </w:rPr>
        <w:footnoteRef/>
      </w:r>
      <w:r>
        <w:t xml:space="preserve"> [Cite to Scalia’s Lawrence dissent, Roberts/Alito’s Obergefell dissent</w:t>
      </w:r>
      <w:r w:rsidR="0055292A">
        <w:t>]</w:t>
      </w:r>
    </w:p>
  </w:footnote>
  <w:footnote w:id="266">
    <w:p w14:paraId="77E35A8B" w14:textId="551A4160" w:rsidR="0039317A" w:rsidRPr="0066659D" w:rsidRDefault="0039317A">
      <w:pPr>
        <w:pStyle w:val="FootnoteText"/>
      </w:pPr>
      <w:r>
        <w:rPr>
          <w:rStyle w:val="FootnoteReference"/>
        </w:rPr>
        <w:footnoteRef/>
      </w:r>
      <w:r>
        <w:t xml:space="preserve"> </w:t>
      </w:r>
      <w:r w:rsidR="0066659D">
        <w:rPr>
          <w:i/>
          <w:iCs/>
        </w:rPr>
        <w:t>See supra</w:t>
      </w:r>
      <w:r w:rsidR="0066659D">
        <w:t xml:space="preserve"> notes </w:t>
      </w:r>
      <w:r w:rsidR="0008709E">
        <w:fldChar w:fldCharType="begin"/>
      </w:r>
      <w:r w:rsidR="0008709E">
        <w:instrText xml:space="preserve"> NOTEREF _Ref172630327 \h </w:instrText>
      </w:r>
      <w:r w:rsidR="0008709E">
        <w:fldChar w:fldCharType="separate"/>
      </w:r>
      <w:r w:rsidR="0008709E">
        <w:t>6</w:t>
      </w:r>
      <w:r w:rsidR="0008709E">
        <w:fldChar w:fldCharType="end"/>
      </w:r>
      <w:r w:rsidR="0008709E">
        <w:t>–</w:t>
      </w:r>
      <w:r w:rsidR="0008709E">
        <w:fldChar w:fldCharType="begin"/>
      </w:r>
      <w:r w:rsidR="0008709E">
        <w:instrText xml:space="preserve"> NOTEREF _Ref184287517 \h </w:instrText>
      </w:r>
      <w:r w:rsidR="0008709E">
        <w:fldChar w:fldCharType="separate"/>
      </w:r>
      <w:r w:rsidR="0008709E">
        <w:t>9</w:t>
      </w:r>
      <w:r w:rsidR="0008709E">
        <w:fldChar w:fldCharType="end"/>
      </w:r>
      <w:r w:rsidR="0008709E">
        <w:t xml:space="preserve"> and accompanying text.</w:t>
      </w:r>
    </w:p>
  </w:footnote>
  <w:footnote w:id="267">
    <w:p w14:paraId="2033554E" w14:textId="5E9AE1BC" w:rsidR="005E5DFA" w:rsidRDefault="005E5DFA" w:rsidP="005E5DFA">
      <w:pPr>
        <w:pStyle w:val="FootnoteText"/>
      </w:pPr>
      <w:r>
        <w:rPr>
          <w:rStyle w:val="FootnoteReference"/>
        </w:rPr>
        <w:footnoteRef/>
      </w:r>
      <w:r>
        <w:t xml:space="preserve"> I turn to the added wrinkle of children’s minor status below in Part III.</w:t>
      </w:r>
    </w:p>
  </w:footnote>
  <w:footnote w:id="268">
    <w:p w14:paraId="7ABC3345" w14:textId="41CC38C4" w:rsidR="00ED0498" w:rsidRPr="00ED0498" w:rsidRDefault="00ED0498">
      <w:pPr>
        <w:pStyle w:val="FootnoteText"/>
      </w:pPr>
      <w:r>
        <w:rPr>
          <w:rStyle w:val="FootnoteReference"/>
        </w:rPr>
        <w:footnoteRef/>
      </w:r>
      <w:r>
        <w:t xml:space="preserve"> </w:t>
      </w:r>
      <w:r>
        <w:rPr>
          <w:i/>
          <w:iCs/>
        </w:rPr>
        <w:t>See supra</w:t>
      </w:r>
      <w:r>
        <w:t xml:space="preserve"> note</w:t>
      </w:r>
      <w:r w:rsidR="00BC632C">
        <w:t xml:space="preserve">s </w:t>
      </w:r>
      <w:r w:rsidR="00BC632C">
        <w:fldChar w:fldCharType="begin"/>
      </w:r>
      <w:r w:rsidR="00BC632C">
        <w:instrText xml:space="preserve"> NOTEREF _Ref183442134 \h </w:instrText>
      </w:r>
      <w:r w:rsidR="00BC632C">
        <w:fldChar w:fldCharType="separate"/>
      </w:r>
      <w:r w:rsidR="00BC632C">
        <w:t>195</w:t>
      </w:r>
      <w:r w:rsidR="00BC632C">
        <w:fldChar w:fldCharType="end"/>
      </w:r>
      <w:r w:rsidR="00BC632C">
        <w:t>–</w:t>
      </w:r>
      <w:r w:rsidR="00BC632C">
        <w:fldChar w:fldCharType="begin"/>
      </w:r>
      <w:r w:rsidR="00BC632C">
        <w:instrText xml:space="preserve"> NOTEREF _Ref184288065 \h </w:instrText>
      </w:r>
      <w:r w:rsidR="00BC632C">
        <w:fldChar w:fldCharType="separate"/>
      </w:r>
      <w:r w:rsidR="00BC632C">
        <w:t>198</w:t>
      </w:r>
      <w:r w:rsidR="00BC632C">
        <w:fldChar w:fldCharType="end"/>
      </w:r>
      <w:r w:rsidR="00BC632C">
        <w:t xml:space="preserve"> and accompanying text.</w:t>
      </w:r>
    </w:p>
  </w:footnote>
  <w:footnote w:id="269">
    <w:p w14:paraId="5066B2C2" w14:textId="6736F01C" w:rsidR="009605F4" w:rsidRPr="009605F4" w:rsidRDefault="009605F4">
      <w:pPr>
        <w:pStyle w:val="FootnoteText"/>
      </w:pPr>
      <w:r>
        <w:rPr>
          <w:rStyle w:val="FootnoteReference"/>
        </w:rPr>
        <w:footnoteRef/>
      </w:r>
      <w:r>
        <w:t xml:space="preserve"> </w:t>
      </w:r>
      <w:r>
        <w:rPr>
          <w:i/>
          <w:iCs/>
        </w:rPr>
        <w:t xml:space="preserve">See </w:t>
      </w:r>
      <w:proofErr w:type="spellStart"/>
      <w:r>
        <w:rPr>
          <w:i/>
          <w:iCs/>
        </w:rPr>
        <w:t>surpa</w:t>
      </w:r>
      <w:proofErr w:type="spellEnd"/>
      <w:r>
        <w:t xml:space="preserve"> notes </w:t>
      </w:r>
      <w:r>
        <w:fldChar w:fldCharType="begin"/>
      </w:r>
      <w:r>
        <w:instrText xml:space="preserve"> NOTEREF _Ref176519940 \h </w:instrText>
      </w:r>
      <w:r>
        <w:fldChar w:fldCharType="separate"/>
      </w:r>
      <w:r>
        <w:t>126</w:t>
      </w:r>
      <w:r>
        <w:fldChar w:fldCharType="end"/>
      </w:r>
      <w:r>
        <w:t>–</w:t>
      </w:r>
      <w:r>
        <w:fldChar w:fldCharType="begin"/>
      </w:r>
      <w:r>
        <w:instrText xml:space="preserve"> NOTEREF _Ref184288173 \h </w:instrText>
      </w:r>
      <w:r>
        <w:fldChar w:fldCharType="separate"/>
      </w:r>
      <w:r>
        <w:t>131</w:t>
      </w:r>
      <w:r>
        <w:fldChar w:fldCharType="end"/>
      </w:r>
      <w:r>
        <w:t>.</w:t>
      </w:r>
    </w:p>
  </w:footnote>
  <w:footnote w:id="270">
    <w:p w14:paraId="4E28C891" w14:textId="5FD5C95D" w:rsidR="00E41006" w:rsidRPr="00113618" w:rsidRDefault="00E41006">
      <w:pPr>
        <w:pStyle w:val="FootnoteText"/>
      </w:pPr>
      <w:r>
        <w:rPr>
          <w:rStyle w:val="FootnoteReference"/>
        </w:rPr>
        <w:footnoteRef/>
      </w:r>
      <w:r>
        <w:t xml:space="preserve"> </w:t>
      </w:r>
      <w:r w:rsidR="00113618">
        <w:rPr>
          <w:i/>
          <w:iCs/>
        </w:rPr>
        <w:t>See supra</w:t>
      </w:r>
      <w:r w:rsidR="00113618">
        <w:t xml:space="preserve"> note </w:t>
      </w:r>
      <w:r w:rsidR="00113618">
        <w:fldChar w:fldCharType="begin"/>
      </w:r>
      <w:r w:rsidR="00113618">
        <w:instrText xml:space="preserve"> NOTEREF _Ref184288923 \h </w:instrText>
      </w:r>
      <w:r w:rsidR="00113618">
        <w:fldChar w:fldCharType="separate"/>
      </w:r>
      <w:r w:rsidR="00113618">
        <w:t>36</w:t>
      </w:r>
      <w:r w:rsidR="00113618">
        <w:fldChar w:fldCharType="end"/>
      </w:r>
      <w:r w:rsidR="00113618">
        <w:t>; [</w:t>
      </w:r>
      <w:r w:rsidR="00113618" w:rsidRPr="00113618">
        <w:rPr>
          <w:highlight w:val="yellow"/>
        </w:rPr>
        <w:t>others</w:t>
      </w:r>
      <w:r w:rsidR="00113618">
        <w:t>]. [</w:t>
      </w:r>
      <w:r w:rsidR="00113618" w:rsidRPr="002D65C7">
        <w:rPr>
          <w:highlight w:val="yellow"/>
        </w:rPr>
        <w:t>Cite for agender</w:t>
      </w:r>
      <w:r w:rsidR="00113618">
        <w:t>.]</w:t>
      </w:r>
    </w:p>
  </w:footnote>
  <w:footnote w:id="271">
    <w:p w14:paraId="143DAA46" w14:textId="4D4439F2" w:rsidR="004502BC" w:rsidRPr="004502BC" w:rsidRDefault="004502BC">
      <w:pPr>
        <w:pStyle w:val="FootnoteText"/>
      </w:pPr>
      <w:r>
        <w:rPr>
          <w:rStyle w:val="FootnoteReference"/>
        </w:rPr>
        <w:footnoteRef/>
      </w:r>
      <w:r>
        <w:t xml:space="preserve"> </w:t>
      </w:r>
      <w:r>
        <w:rPr>
          <w:i/>
          <w:iCs/>
        </w:rPr>
        <w:t>See supra</w:t>
      </w:r>
      <w:r>
        <w:t xml:space="preserve"> note</w:t>
      </w:r>
      <w:r w:rsidR="006C5542">
        <w:t xml:space="preserve">s </w:t>
      </w:r>
      <w:r w:rsidR="006C5542">
        <w:fldChar w:fldCharType="begin"/>
      </w:r>
      <w:r w:rsidR="006C5542">
        <w:instrText xml:space="preserve"> NOTEREF _Ref184289266 \h </w:instrText>
      </w:r>
      <w:r w:rsidR="006C5542">
        <w:fldChar w:fldCharType="separate"/>
      </w:r>
      <w:r w:rsidR="006C5542">
        <w:t>44</w:t>
      </w:r>
      <w:r w:rsidR="006C5542">
        <w:fldChar w:fldCharType="end"/>
      </w:r>
      <w:r w:rsidR="006C5542">
        <w:t>–</w:t>
      </w:r>
      <w:r w:rsidR="006C5542">
        <w:fldChar w:fldCharType="begin"/>
      </w:r>
      <w:r w:rsidR="006C5542">
        <w:instrText xml:space="preserve"> NOTEREF _Ref184289268 \h </w:instrText>
      </w:r>
      <w:r w:rsidR="006C5542">
        <w:fldChar w:fldCharType="separate"/>
      </w:r>
      <w:r w:rsidR="006C5542">
        <w:t>48</w:t>
      </w:r>
      <w:r w:rsidR="006C5542">
        <w:fldChar w:fldCharType="end"/>
      </w:r>
      <w:r w:rsidR="006C5542">
        <w:t xml:space="preserve"> and accompanying text.</w:t>
      </w:r>
    </w:p>
  </w:footnote>
  <w:footnote w:id="272">
    <w:p w14:paraId="4F6B7F1C" w14:textId="47DCB5E5" w:rsidR="00CD238A" w:rsidRPr="00DE392E" w:rsidRDefault="00CD238A">
      <w:pPr>
        <w:pStyle w:val="FootnoteText"/>
      </w:pPr>
      <w:r>
        <w:rPr>
          <w:rStyle w:val="FootnoteReference"/>
        </w:rPr>
        <w:footnoteRef/>
      </w:r>
      <w:r>
        <w:t xml:space="preserve"> </w:t>
      </w:r>
      <w:r>
        <w:rPr>
          <w:i/>
          <w:iCs/>
        </w:rPr>
        <w:t>See generally</w:t>
      </w:r>
      <w:r>
        <w:t xml:space="preserve"> </w:t>
      </w:r>
      <w:r w:rsidR="0055739F">
        <w:t xml:space="preserve">Ronald S. Swerdloff &amp; Jason C. M. Ng, </w:t>
      </w:r>
      <w:r w:rsidR="00B23B27" w:rsidRPr="001E0195">
        <w:rPr>
          <w:i/>
          <w:iCs/>
        </w:rPr>
        <w:t>Gynecomastia: Etiology, Diagnosis, and Treatment</w:t>
      </w:r>
      <w:r w:rsidR="00B23B27">
        <w:t xml:space="preserve">, </w:t>
      </w:r>
      <w:proofErr w:type="spellStart"/>
      <w:r w:rsidR="00DD4BF4" w:rsidRPr="001E0195">
        <w:rPr>
          <w:smallCaps/>
        </w:rPr>
        <w:t>Nat’l</w:t>
      </w:r>
      <w:proofErr w:type="spellEnd"/>
      <w:r w:rsidR="00DD4BF4" w:rsidRPr="001E0195">
        <w:rPr>
          <w:smallCaps/>
        </w:rPr>
        <w:t xml:space="preserve"> </w:t>
      </w:r>
      <w:proofErr w:type="spellStart"/>
      <w:r w:rsidR="00DD4BF4" w:rsidRPr="001E0195">
        <w:rPr>
          <w:smallCaps/>
        </w:rPr>
        <w:t>Lib</w:t>
      </w:r>
      <w:r w:rsidR="006B1B02" w:rsidRPr="001E0195">
        <w:rPr>
          <w:smallCaps/>
        </w:rPr>
        <w:t>r</w:t>
      </w:r>
      <w:proofErr w:type="spellEnd"/>
      <w:r w:rsidR="006B1B02" w:rsidRPr="001E0195">
        <w:rPr>
          <w:smallCaps/>
        </w:rPr>
        <w:t>. of Med.</w:t>
      </w:r>
      <w:r w:rsidR="006B1B02">
        <w:t xml:space="preserve"> (Jan. </w:t>
      </w:r>
      <w:r w:rsidR="00536C64">
        <w:t xml:space="preserve">6, 2023), </w:t>
      </w:r>
      <w:r w:rsidR="001E0195" w:rsidRPr="002E1DF9">
        <w:t>https://www.ncbi.nlm.nih.gov/books/NBK279105/</w:t>
      </w:r>
      <w:r w:rsidR="001E0195">
        <w:t xml:space="preserve"> [</w:t>
      </w:r>
      <w:r w:rsidR="002E1DF9" w:rsidRPr="002E1DF9">
        <w:t>https://perma.cc/823Y-4VKM</w:t>
      </w:r>
      <w:r w:rsidR="002E1DF9">
        <w:t>].</w:t>
      </w:r>
      <w:r w:rsidR="00C520B6">
        <w:t xml:space="preserve"> </w:t>
      </w:r>
      <w:r w:rsidR="00422642">
        <w:t xml:space="preserve">The </w:t>
      </w:r>
      <w:r w:rsidR="00FD59C5">
        <w:t>normative</w:t>
      </w:r>
      <w:r w:rsidR="00422642">
        <w:t xml:space="preserve"> </w:t>
      </w:r>
      <w:r w:rsidR="00A3065A">
        <w:t>bias</w:t>
      </w:r>
      <w:r w:rsidR="00422642">
        <w:t xml:space="preserve"> of gynecomastia is proved by the fact that </w:t>
      </w:r>
      <w:r w:rsidR="0026196F">
        <w:t>up to</w:t>
      </w:r>
      <w:r w:rsidR="00422642">
        <w:t xml:space="preserve"> 60 percent of boys </w:t>
      </w:r>
      <w:r w:rsidR="00FD59C5">
        <w:t>satisfy its diagnostic</w:t>
      </w:r>
      <w:r w:rsidR="0026196F">
        <w:t xml:space="preserve"> </w:t>
      </w:r>
      <w:r w:rsidR="00132C64">
        <w:t xml:space="preserve">criteria </w:t>
      </w:r>
      <w:r w:rsidR="0026196F">
        <w:t xml:space="preserve">by the time they turn 14, though </w:t>
      </w:r>
      <w:r w:rsidR="0071660A">
        <w:t>most cases resolve within three years</w:t>
      </w:r>
      <w:r w:rsidR="00CC3DF9">
        <w:t xml:space="preserve">. </w:t>
      </w:r>
      <w:r w:rsidR="00EE3F02">
        <w:rPr>
          <w:i/>
          <w:iCs/>
        </w:rPr>
        <w:t>See i</w:t>
      </w:r>
      <w:r w:rsidR="00CC3DF9">
        <w:rPr>
          <w:i/>
          <w:iCs/>
        </w:rPr>
        <w:t>d.</w:t>
      </w:r>
      <w:r w:rsidR="00D62276">
        <w:t xml:space="preserve"> Still, </w:t>
      </w:r>
      <w:r w:rsidR="00DE392E">
        <w:t xml:space="preserve">the American Society of Plastic Surgeons reports that 3,000 cisgender American boys underwent breast reduction surgery in 2022 alone. </w:t>
      </w:r>
      <w:r w:rsidR="00DE392E" w:rsidRPr="00DE392E">
        <w:rPr>
          <w:smallCaps/>
        </w:rPr>
        <w:t>Turban</w:t>
      </w:r>
      <w:r w:rsidR="00DE392E">
        <w:t xml:space="preserve">, </w:t>
      </w:r>
      <w:r w:rsidR="00DE392E">
        <w:rPr>
          <w:i/>
          <w:iCs/>
        </w:rPr>
        <w:t>supra</w:t>
      </w:r>
      <w:r w:rsidR="00DE392E">
        <w:t xml:space="preserve"> note </w:t>
      </w:r>
      <w:r w:rsidR="00BD6382">
        <w:fldChar w:fldCharType="begin"/>
      </w:r>
      <w:r w:rsidR="00BD6382">
        <w:instrText xml:space="preserve"> NOTEREF _Ref184739380 \h </w:instrText>
      </w:r>
      <w:r w:rsidR="00BD6382">
        <w:fldChar w:fldCharType="separate"/>
      </w:r>
      <w:r w:rsidR="00BD6382">
        <w:t>14</w:t>
      </w:r>
      <w:r w:rsidR="00BD6382">
        <w:fldChar w:fldCharType="end"/>
      </w:r>
      <w:r w:rsidR="00DE392E">
        <w:t>, at 133.</w:t>
      </w:r>
    </w:p>
  </w:footnote>
  <w:footnote w:id="273">
    <w:p w14:paraId="7786CD57" w14:textId="47AE54FD" w:rsidR="00891298" w:rsidRDefault="00891298">
      <w:pPr>
        <w:pStyle w:val="FootnoteText"/>
      </w:pPr>
      <w:r>
        <w:rPr>
          <w:rStyle w:val="FootnoteReference"/>
        </w:rPr>
        <w:footnoteRef/>
      </w:r>
      <w:r>
        <w:t xml:space="preserve"> </w:t>
      </w:r>
      <w:r>
        <w:rPr>
          <w:i/>
          <w:iCs/>
        </w:rPr>
        <w:t>See, e.g.</w:t>
      </w:r>
      <w:r>
        <w:t xml:space="preserve">, </w:t>
      </w:r>
      <w:r w:rsidR="00775F87">
        <w:t xml:space="preserve">Elizabeth R. </w:t>
      </w:r>
      <w:proofErr w:type="spellStart"/>
      <w:r w:rsidR="00775F87">
        <w:t>Didie</w:t>
      </w:r>
      <w:proofErr w:type="spellEnd"/>
      <w:r w:rsidR="00775F87">
        <w:t xml:space="preserve"> &amp; David B. </w:t>
      </w:r>
      <w:proofErr w:type="spellStart"/>
      <w:r w:rsidR="00775F87">
        <w:t>Sarwer</w:t>
      </w:r>
      <w:proofErr w:type="spellEnd"/>
      <w:r w:rsidR="00775F87">
        <w:t xml:space="preserve">, </w:t>
      </w:r>
      <w:r w:rsidR="00775F87">
        <w:rPr>
          <w:i/>
          <w:iCs/>
        </w:rPr>
        <w:t>Factors that Influence the Decision to Undergo Cosmetic Breast Augmentation Surgery</w:t>
      </w:r>
      <w:r w:rsidR="00775F87">
        <w:t xml:space="preserve">, </w:t>
      </w:r>
      <w:r w:rsidR="001F766B">
        <w:t xml:space="preserve">12 </w:t>
      </w:r>
      <w:r w:rsidR="001F766B" w:rsidRPr="007A675D">
        <w:rPr>
          <w:smallCaps/>
        </w:rPr>
        <w:t>J. Women’s Health</w:t>
      </w:r>
      <w:r w:rsidR="001F766B">
        <w:t xml:space="preserve"> 241, </w:t>
      </w:r>
      <w:r w:rsidR="003709D9">
        <w:t xml:space="preserve">242, 250 </w:t>
      </w:r>
      <w:r w:rsidR="001F766B">
        <w:t>(2003)</w:t>
      </w:r>
      <w:r w:rsidR="003709D9">
        <w:t>.</w:t>
      </w:r>
      <w:r w:rsidR="00DB0916">
        <w:t xml:space="preserve"> </w:t>
      </w:r>
    </w:p>
    <w:p w14:paraId="294500EF" w14:textId="41712B1C" w:rsidR="0089769C" w:rsidRPr="00E6565B" w:rsidRDefault="00965157" w:rsidP="00965157">
      <w:pPr>
        <w:pStyle w:val="FootnoteText"/>
        <w:ind w:firstLine="630"/>
      </w:pPr>
      <w:r>
        <w:t xml:space="preserve">The classification of </w:t>
      </w:r>
      <w:r w:rsidR="00112CC7">
        <w:t xml:space="preserve">breast-related gender-affirming surgery for cisgender women as “cosmetic” while breast-related gender-affirming surgery for cisgender </w:t>
      </w:r>
      <w:r w:rsidR="00E6565B">
        <w:t xml:space="preserve">men is “medical” is, of course, pure sexism. </w:t>
      </w:r>
      <w:r w:rsidR="00E6565B">
        <w:rPr>
          <w:i/>
          <w:iCs/>
        </w:rPr>
        <w:t>See</w:t>
      </w:r>
      <w:r w:rsidR="00E6565B">
        <w:t xml:space="preserve"> </w:t>
      </w:r>
      <w:proofErr w:type="spellStart"/>
      <w:r w:rsidR="00FA6DB2">
        <w:t>Preeta</w:t>
      </w:r>
      <w:proofErr w:type="spellEnd"/>
      <w:r w:rsidR="00FA6DB2">
        <w:t xml:space="preserve"> Saxena, </w:t>
      </w:r>
      <w:r w:rsidR="00FA6DB2">
        <w:rPr>
          <w:i/>
          <w:iCs/>
        </w:rPr>
        <w:t>Trading and Managing Stigma: Women’s Accounts of Breast Implant Surgery</w:t>
      </w:r>
      <w:r w:rsidR="00FA6DB2">
        <w:t xml:space="preserve">, 42 </w:t>
      </w:r>
      <w:r w:rsidR="00FA6DB2" w:rsidRPr="00C41F12">
        <w:rPr>
          <w:smallCaps/>
        </w:rPr>
        <w:t xml:space="preserve">J. Contemp. </w:t>
      </w:r>
      <w:r w:rsidR="002B2B5A" w:rsidRPr="00C41F12">
        <w:rPr>
          <w:smallCaps/>
        </w:rPr>
        <w:t>Ethnography</w:t>
      </w:r>
      <w:r w:rsidR="002B2B5A">
        <w:t xml:space="preserve"> 347, 348 (2013)</w:t>
      </w:r>
      <w:r w:rsidR="00C41F12">
        <w:t>.</w:t>
      </w:r>
      <w:r w:rsidR="001F4427">
        <w:t xml:space="preserve"> </w:t>
      </w:r>
    </w:p>
  </w:footnote>
  <w:footnote w:id="274">
    <w:p w14:paraId="6FE3C31A" w14:textId="04D905E0" w:rsidR="002D65C7" w:rsidRPr="002D65C7" w:rsidRDefault="002D65C7">
      <w:pPr>
        <w:pStyle w:val="FootnoteText"/>
      </w:pPr>
      <w:r>
        <w:rPr>
          <w:rStyle w:val="FootnoteReference"/>
        </w:rPr>
        <w:footnoteRef/>
      </w:r>
      <w:r>
        <w:t xml:space="preserve"> </w:t>
      </w:r>
      <w:r>
        <w:rPr>
          <w:i/>
          <w:iCs/>
        </w:rPr>
        <w:t>See supra</w:t>
      </w:r>
      <w:r>
        <w:t xml:space="preserve"> notes</w:t>
      </w:r>
      <w:r w:rsidR="006B22A2">
        <w:t xml:space="preserve"> </w:t>
      </w:r>
      <w:r w:rsidR="006B22A2">
        <w:fldChar w:fldCharType="begin"/>
      </w:r>
      <w:r w:rsidR="006B22A2">
        <w:instrText xml:space="preserve"> NOTEREF _Ref185769022 \h </w:instrText>
      </w:r>
      <w:r w:rsidR="006B22A2">
        <w:fldChar w:fldCharType="separate"/>
      </w:r>
      <w:r w:rsidR="006B22A2">
        <w:t>148</w:t>
      </w:r>
      <w:r w:rsidR="006B22A2">
        <w:fldChar w:fldCharType="end"/>
      </w:r>
      <w:r>
        <w:t xml:space="preserve"> and accompanying text.</w:t>
      </w:r>
    </w:p>
  </w:footnote>
  <w:footnote w:id="275">
    <w:p w14:paraId="39DD9354" w14:textId="716648F5" w:rsidR="00691E1D" w:rsidRPr="002A3110" w:rsidRDefault="00691E1D">
      <w:pPr>
        <w:pStyle w:val="FootnoteText"/>
      </w:pPr>
      <w:r>
        <w:rPr>
          <w:rStyle w:val="FootnoteReference"/>
        </w:rPr>
        <w:footnoteRef/>
      </w:r>
      <w:r>
        <w:t xml:space="preserve"> </w:t>
      </w:r>
      <w:r w:rsidR="002A3110">
        <w:rPr>
          <w:i/>
          <w:iCs/>
        </w:rPr>
        <w:t>See</w:t>
      </w:r>
      <w:r w:rsidR="002A3110">
        <w:t xml:space="preserve"> Garima Garg et al., </w:t>
      </w:r>
      <w:r w:rsidR="002A3110">
        <w:rPr>
          <w:i/>
          <w:iCs/>
        </w:rPr>
        <w:t>Gender Dysphoria</w:t>
      </w:r>
      <w:r w:rsidR="002A3110">
        <w:t xml:space="preserve">, </w:t>
      </w:r>
      <w:proofErr w:type="spellStart"/>
      <w:r w:rsidR="002A3110" w:rsidRPr="00EF6ED9">
        <w:rPr>
          <w:smallCaps/>
        </w:rPr>
        <w:t>Nat’l</w:t>
      </w:r>
      <w:proofErr w:type="spellEnd"/>
      <w:r w:rsidR="002A3110" w:rsidRPr="00EF6ED9">
        <w:rPr>
          <w:smallCaps/>
        </w:rPr>
        <w:t xml:space="preserve"> </w:t>
      </w:r>
      <w:proofErr w:type="spellStart"/>
      <w:r w:rsidR="002A3110" w:rsidRPr="00EF6ED9">
        <w:rPr>
          <w:smallCaps/>
        </w:rPr>
        <w:t>Libr</w:t>
      </w:r>
      <w:proofErr w:type="spellEnd"/>
      <w:r w:rsidR="002A3110" w:rsidRPr="00EF6ED9">
        <w:rPr>
          <w:smallCaps/>
        </w:rPr>
        <w:t>. of Med.</w:t>
      </w:r>
      <w:r w:rsidR="002A3110">
        <w:t xml:space="preserve"> (July 11, 2023), </w:t>
      </w:r>
      <w:r w:rsidR="00F96A15" w:rsidRPr="00F96A15">
        <w:t>https://www.ncbi.nlm.nih.gov/books/NBK532313/</w:t>
      </w:r>
      <w:r w:rsidR="00F96A15">
        <w:t xml:space="preserve"> [</w:t>
      </w:r>
      <w:r w:rsidR="00EF6ED9" w:rsidRPr="00EF6ED9">
        <w:t>https://perma.cc/SU6A-9BB7</w:t>
      </w:r>
      <w:r w:rsidR="00EF6ED9">
        <w:t>].</w:t>
      </w:r>
    </w:p>
  </w:footnote>
  <w:footnote w:id="276">
    <w:p w14:paraId="140B0EC2" w14:textId="6E97CB93" w:rsidR="00085139" w:rsidRPr="003473F3" w:rsidRDefault="00085139">
      <w:pPr>
        <w:pStyle w:val="FootnoteText"/>
      </w:pPr>
      <w:r>
        <w:rPr>
          <w:rStyle w:val="FootnoteReference"/>
        </w:rPr>
        <w:footnoteRef/>
      </w:r>
      <w:r>
        <w:t xml:space="preserve"> </w:t>
      </w:r>
      <w:r>
        <w:rPr>
          <w:i/>
          <w:iCs/>
        </w:rPr>
        <w:t>Id.</w:t>
      </w:r>
      <w:r>
        <w:t xml:space="preserve">; </w:t>
      </w:r>
      <w:r>
        <w:rPr>
          <w:i/>
          <w:iCs/>
        </w:rPr>
        <w:t>see also</w:t>
      </w:r>
      <w:r>
        <w:t xml:space="preserve"> </w:t>
      </w:r>
      <w:r w:rsidR="003473F3">
        <w:t xml:space="preserve">Kate Cooper et al., </w:t>
      </w:r>
      <w:r w:rsidR="003473F3">
        <w:rPr>
          <w:i/>
          <w:iCs/>
        </w:rPr>
        <w:t>The Phenomenology of Gender Dysphoria in Adults: A Systematic Review and Meta-Synthesis</w:t>
      </w:r>
      <w:r w:rsidR="003473F3">
        <w:t xml:space="preserve">, 80 </w:t>
      </w:r>
      <w:r w:rsidR="00CE2B20" w:rsidRPr="002D2576">
        <w:rPr>
          <w:smallCaps/>
        </w:rPr>
        <w:t>Clinical Psych. Rev.</w:t>
      </w:r>
      <w:r w:rsidR="00CE2B20">
        <w:t xml:space="preserve"> </w:t>
      </w:r>
      <w:r w:rsidR="002D2576">
        <w:t>1, 5–6 (2020).</w:t>
      </w:r>
    </w:p>
  </w:footnote>
  <w:footnote w:id="277">
    <w:p w14:paraId="3E5726E7" w14:textId="0253EBC6" w:rsidR="00972A99" w:rsidRDefault="00972A99" w:rsidP="00972A99">
      <w:pPr>
        <w:pStyle w:val="FootnoteText"/>
      </w:pPr>
      <w:r>
        <w:rPr>
          <w:rStyle w:val="FootnoteReference"/>
        </w:rPr>
        <w:footnoteRef/>
      </w:r>
      <w:r>
        <w:t xml:space="preserve"> </w:t>
      </w:r>
      <w:r>
        <w:rPr>
          <w:i/>
          <w:iCs/>
        </w:rPr>
        <w:t>Id.</w:t>
      </w:r>
      <w:r>
        <w:t xml:space="preserve">; </w:t>
      </w:r>
      <w:r>
        <w:rPr>
          <w:i/>
          <w:iCs/>
        </w:rPr>
        <w:t>see also</w:t>
      </w:r>
      <w:r>
        <w:t xml:space="preserve"> Catherine Butler et al., </w:t>
      </w:r>
      <w:r>
        <w:rPr>
          <w:i/>
          <w:iCs/>
        </w:rPr>
        <w:t xml:space="preserve">Self-Harm Prevalence and Ideation in a Community Sample of </w:t>
      </w:r>
      <w:proofErr w:type="spellStart"/>
      <w:r>
        <w:rPr>
          <w:i/>
          <w:iCs/>
        </w:rPr>
        <w:t>of</w:t>
      </w:r>
      <w:proofErr w:type="spellEnd"/>
      <w:r>
        <w:rPr>
          <w:i/>
          <w:iCs/>
        </w:rPr>
        <w:t xml:space="preserve"> Cis, Trans, and Other Youth</w:t>
      </w:r>
      <w:r>
        <w:t>, 20 Int’l J. Transgenderism 447, 452 (2019) (finding that “self-harm ideation and perceived peer self-harm is significantly higher in trans-gender youth populations”).</w:t>
      </w:r>
    </w:p>
  </w:footnote>
  <w:footnote w:id="278">
    <w:p w14:paraId="1EF1E561" w14:textId="7F489A71" w:rsidR="00142953" w:rsidRPr="004407F2" w:rsidRDefault="00785265" w:rsidP="00972A99">
      <w:pPr>
        <w:pStyle w:val="FootnoteText"/>
      </w:pPr>
      <w:r>
        <w:rPr>
          <w:rStyle w:val="FootnoteReference"/>
        </w:rPr>
        <w:footnoteRef/>
      </w:r>
      <w:r>
        <w:t xml:space="preserve"> </w:t>
      </w:r>
      <w:r w:rsidR="00507623">
        <w:t>For example, t</w:t>
      </w:r>
      <w:r w:rsidR="00972A99">
        <w:t xml:space="preserve">ransmasculine individuals—those assigned female at birth—may develop eating disorders </w:t>
      </w:r>
      <w:r w:rsidR="00507623">
        <w:t xml:space="preserve">as a means of decreasing breast size. </w:t>
      </w:r>
      <w:r w:rsidR="00507623">
        <w:rPr>
          <w:i/>
          <w:iCs/>
        </w:rPr>
        <w:t xml:space="preserve">See </w:t>
      </w:r>
      <w:r w:rsidR="00507623" w:rsidRPr="00480DB8">
        <w:rPr>
          <w:smallCaps/>
        </w:rPr>
        <w:t>Turban</w:t>
      </w:r>
      <w:r w:rsidR="00507623">
        <w:t xml:space="preserve">, </w:t>
      </w:r>
      <w:r w:rsidR="00507623">
        <w:rPr>
          <w:i/>
          <w:iCs/>
        </w:rPr>
        <w:t>supra</w:t>
      </w:r>
      <w:r w:rsidR="00507623">
        <w:t xml:space="preserve"> note </w:t>
      </w:r>
      <w:r w:rsidR="00BD6382">
        <w:fldChar w:fldCharType="begin"/>
      </w:r>
      <w:r w:rsidR="00BD6382">
        <w:instrText xml:space="preserve"> NOTEREF _Ref184739380 \h </w:instrText>
      </w:r>
      <w:r w:rsidR="00BD6382">
        <w:fldChar w:fldCharType="separate"/>
      </w:r>
      <w:r w:rsidR="00BD6382">
        <w:t>14</w:t>
      </w:r>
      <w:r w:rsidR="00BD6382">
        <w:fldChar w:fldCharType="end"/>
      </w:r>
      <w:r w:rsidR="00507623">
        <w:t xml:space="preserve">, at </w:t>
      </w:r>
      <w:r w:rsidR="00480DB8">
        <w:t xml:space="preserve">23. </w:t>
      </w:r>
      <w:r w:rsidR="00B35A37">
        <w:t xml:space="preserve">Transfeminine individuals—those assigned male at birth—may attempt </w:t>
      </w:r>
      <w:r w:rsidR="00E552A1">
        <w:t xml:space="preserve">to remove </w:t>
      </w:r>
      <w:r w:rsidR="00BE1D49">
        <w:t xml:space="preserve">their penises or testicles through </w:t>
      </w:r>
      <w:r w:rsidR="00E552A1">
        <w:t xml:space="preserve">binding or cutting. </w:t>
      </w:r>
      <w:r w:rsidR="00E552A1">
        <w:rPr>
          <w:i/>
          <w:iCs/>
        </w:rPr>
        <w:t>See</w:t>
      </w:r>
      <w:r w:rsidR="00E552A1">
        <w:t xml:space="preserve"> </w:t>
      </w:r>
      <w:r w:rsidR="00E22D79">
        <w:t xml:space="preserve">Michael S. </w:t>
      </w:r>
      <w:proofErr w:type="spellStart"/>
      <w:r w:rsidR="00E22D79">
        <w:t>Irwig</w:t>
      </w:r>
      <w:proofErr w:type="spellEnd"/>
      <w:r w:rsidR="00E22D79">
        <w:t xml:space="preserve"> et al., </w:t>
      </w:r>
      <w:r w:rsidR="00E22D79">
        <w:rPr>
          <w:i/>
          <w:iCs/>
        </w:rPr>
        <w:t>Self-Castration in a Transsexual Woman</w:t>
      </w:r>
      <w:r w:rsidR="004407F2">
        <w:rPr>
          <w:i/>
          <w:iCs/>
        </w:rPr>
        <w:t>: Financial and Psychological Costs: A Case Report</w:t>
      </w:r>
      <w:r w:rsidR="004407F2">
        <w:t xml:space="preserve">, 9 </w:t>
      </w:r>
      <w:r w:rsidR="004407F2" w:rsidRPr="004407F2">
        <w:rPr>
          <w:smallCaps/>
        </w:rPr>
        <w:t>J. Sexual Med.</w:t>
      </w:r>
      <w:r w:rsidR="004407F2">
        <w:t xml:space="preserve"> 1216 (2012).</w:t>
      </w:r>
    </w:p>
  </w:footnote>
  <w:footnote w:id="279">
    <w:p w14:paraId="6D9EBAE4" w14:textId="32ECCC95" w:rsidR="00214D20" w:rsidRDefault="00214D20">
      <w:pPr>
        <w:pStyle w:val="FootnoteText"/>
      </w:pPr>
      <w:r>
        <w:rPr>
          <w:rStyle w:val="FootnoteReference"/>
        </w:rPr>
        <w:footnoteRef/>
      </w:r>
      <w:r>
        <w:t xml:space="preserve"> Because the category of “transgender” is defined by</w:t>
      </w:r>
      <w:r w:rsidR="001262BC">
        <w:t xml:space="preserve"> internal/external gender misalignment.</w:t>
      </w:r>
    </w:p>
  </w:footnote>
  <w:footnote w:id="280">
    <w:p w14:paraId="38B9C16F" w14:textId="011331FE" w:rsidR="00B639BF" w:rsidRPr="00C83E1F" w:rsidRDefault="00B639BF">
      <w:pPr>
        <w:pStyle w:val="FootnoteText"/>
      </w:pPr>
      <w:r>
        <w:rPr>
          <w:rStyle w:val="FootnoteReference"/>
        </w:rPr>
        <w:footnoteRef/>
      </w:r>
      <w:r>
        <w:t xml:space="preserve"> </w:t>
      </w:r>
      <w:r>
        <w:rPr>
          <w:i/>
          <w:iCs/>
        </w:rPr>
        <w:t>See, e.g.</w:t>
      </w:r>
      <w:r>
        <w:t xml:space="preserve">, </w:t>
      </w:r>
      <w:r w:rsidR="00F44104">
        <w:t xml:space="preserve">Martin </w:t>
      </w:r>
      <w:r w:rsidR="00473BDA">
        <w:t xml:space="preserve">Sollie, </w:t>
      </w:r>
      <w:r w:rsidR="00473BDA">
        <w:rPr>
          <w:i/>
          <w:iCs/>
        </w:rPr>
        <w:t>Management of Gynecomastia: Changes in Psychological Aspects After Surgery: A Systematic Review</w:t>
      </w:r>
      <w:r w:rsidR="00473BDA">
        <w:t xml:space="preserve">, </w:t>
      </w:r>
      <w:r w:rsidR="00AB2556">
        <w:t xml:space="preserve">7 </w:t>
      </w:r>
      <w:r w:rsidR="00AB2556" w:rsidRPr="005869D8">
        <w:rPr>
          <w:smallCaps/>
        </w:rPr>
        <w:t>Gland Surgery</w:t>
      </w:r>
      <w:r w:rsidR="00AB2556">
        <w:t xml:space="preserve"> S70, </w:t>
      </w:r>
      <w:r w:rsidR="00172284">
        <w:t>S70 (noting that “</w:t>
      </w:r>
      <w:r w:rsidR="001C49F5">
        <w:t>[s]</w:t>
      </w:r>
      <w:proofErr w:type="spellStart"/>
      <w:r w:rsidR="001C49F5">
        <w:t>tudies</w:t>
      </w:r>
      <w:proofErr w:type="spellEnd"/>
      <w:r w:rsidR="001C49F5">
        <w:t xml:space="preserve"> performed on adults and adolescents with gynecomastia have reported significant </w:t>
      </w:r>
      <w:r w:rsidR="00C83E1F">
        <w:t xml:space="preserve">negative impact on psychosocial aspects, such as well-being, social functioning, mental health, and self-esteem”); </w:t>
      </w:r>
      <w:proofErr w:type="spellStart"/>
      <w:r w:rsidR="00C83E1F">
        <w:t>Didie</w:t>
      </w:r>
      <w:proofErr w:type="spellEnd"/>
      <w:r w:rsidR="00C83E1F">
        <w:t xml:space="preserve"> &amp; </w:t>
      </w:r>
      <w:proofErr w:type="spellStart"/>
      <w:r w:rsidR="00C83E1F">
        <w:t>Sarwer</w:t>
      </w:r>
      <w:proofErr w:type="spellEnd"/>
      <w:r w:rsidR="00C83E1F">
        <w:t xml:space="preserve">, </w:t>
      </w:r>
      <w:r w:rsidR="00C83E1F">
        <w:rPr>
          <w:i/>
          <w:iCs/>
        </w:rPr>
        <w:t xml:space="preserve">supra </w:t>
      </w:r>
      <w:r w:rsidR="00C83E1F">
        <w:t xml:space="preserve">note </w:t>
      </w:r>
      <w:r w:rsidR="00C83E1F">
        <w:fldChar w:fldCharType="begin"/>
      </w:r>
      <w:r w:rsidR="00C83E1F">
        <w:instrText xml:space="preserve"> NOTEREF _Ref184296575 \h </w:instrText>
      </w:r>
      <w:r w:rsidR="00C83E1F">
        <w:fldChar w:fldCharType="separate"/>
      </w:r>
      <w:r w:rsidR="00C83E1F">
        <w:t>256</w:t>
      </w:r>
      <w:r w:rsidR="00C83E1F">
        <w:fldChar w:fldCharType="end"/>
      </w:r>
      <w:r w:rsidR="00C83E1F">
        <w:t xml:space="preserve">, at </w:t>
      </w:r>
      <w:r w:rsidR="00731EBE">
        <w:t>242</w:t>
      </w:r>
      <w:r w:rsidR="004119A9">
        <w:t xml:space="preserve"> (cataloging symptoms of psychological distress in cisgender women seeking breast augmentation)</w:t>
      </w:r>
      <w:r w:rsidR="00B43DEF">
        <w:t>.</w:t>
      </w:r>
    </w:p>
  </w:footnote>
  <w:footnote w:id="281">
    <w:p w14:paraId="19468A0E" w14:textId="0811D3AD" w:rsidR="00152C96" w:rsidRPr="00152C96" w:rsidRDefault="00152C96">
      <w:pPr>
        <w:pStyle w:val="FootnoteText"/>
      </w:pPr>
      <w:r>
        <w:rPr>
          <w:rStyle w:val="FootnoteReference"/>
        </w:rPr>
        <w:footnoteRef/>
      </w:r>
      <w:r>
        <w:t xml:space="preserve"> </w:t>
      </w:r>
      <w:r>
        <w:rPr>
          <w:i/>
          <w:iCs/>
        </w:rPr>
        <w:t>See supra</w:t>
      </w:r>
      <w:r>
        <w:t xml:space="preserve"> note </w:t>
      </w:r>
      <w:r w:rsidR="006B22A2">
        <w:fldChar w:fldCharType="begin"/>
      </w:r>
      <w:r w:rsidR="006B22A2">
        <w:instrText xml:space="preserve"> NOTEREF _Ref178324504 \h </w:instrText>
      </w:r>
      <w:r w:rsidR="006B22A2">
        <w:fldChar w:fldCharType="separate"/>
      </w:r>
      <w:r w:rsidR="006B22A2">
        <w:t>142</w:t>
      </w:r>
      <w:r w:rsidR="006B22A2">
        <w:fldChar w:fldCharType="end"/>
      </w:r>
      <w:r w:rsidR="006B22A2">
        <w:t xml:space="preserve"> </w:t>
      </w:r>
      <w:r>
        <w:t>and accompanying text.</w:t>
      </w:r>
    </w:p>
  </w:footnote>
  <w:footnote w:id="282">
    <w:p w14:paraId="43DEC05E" w14:textId="10E9AF4D" w:rsidR="0094434E" w:rsidRPr="00621998" w:rsidRDefault="0094434E">
      <w:pPr>
        <w:pStyle w:val="FootnoteText"/>
      </w:pPr>
      <w:r>
        <w:rPr>
          <w:rStyle w:val="FootnoteReference"/>
        </w:rPr>
        <w:footnoteRef/>
      </w:r>
      <w:r>
        <w:t xml:space="preserve"> </w:t>
      </w:r>
      <w:r w:rsidR="00621998">
        <w:rPr>
          <w:i/>
          <w:iCs/>
        </w:rPr>
        <w:t>See</w:t>
      </w:r>
      <w:r w:rsidR="00621998">
        <w:t xml:space="preserve"> </w:t>
      </w:r>
      <w:r w:rsidR="00621998" w:rsidRPr="00AA3D22">
        <w:rPr>
          <w:smallCaps/>
        </w:rPr>
        <w:t>Turban</w:t>
      </w:r>
      <w:r w:rsidR="00621998">
        <w:t xml:space="preserve">, </w:t>
      </w:r>
      <w:r w:rsidR="00621998">
        <w:rPr>
          <w:i/>
          <w:iCs/>
        </w:rPr>
        <w:t>supra</w:t>
      </w:r>
      <w:r w:rsidR="00621998">
        <w:t xml:space="preserve"> note </w:t>
      </w:r>
      <w:r w:rsidR="00621998">
        <w:fldChar w:fldCharType="begin"/>
      </w:r>
      <w:r w:rsidR="00621998">
        <w:instrText xml:space="preserve"> NOTEREF _Ref184739380 \h </w:instrText>
      </w:r>
      <w:r w:rsidR="00621998">
        <w:fldChar w:fldCharType="separate"/>
      </w:r>
      <w:r w:rsidR="00621998">
        <w:t>14</w:t>
      </w:r>
      <w:r w:rsidR="00621998">
        <w:fldChar w:fldCharType="end"/>
      </w:r>
      <w:r w:rsidR="00621998">
        <w:t xml:space="preserve">, </w:t>
      </w:r>
      <w:r w:rsidR="003220EC">
        <w:t>at 35–36.</w:t>
      </w:r>
    </w:p>
  </w:footnote>
  <w:footnote w:id="283">
    <w:p w14:paraId="400E163C" w14:textId="6FF6E55A" w:rsidR="00532248" w:rsidRDefault="00532248">
      <w:pPr>
        <w:pStyle w:val="FootnoteText"/>
      </w:pPr>
      <w:r>
        <w:rPr>
          <w:rStyle w:val="FootnoteReference"/>
        </w:rPr>
        <w:footnoteRef/>
      </w:r>
      <w:r>
        <w:t xml:space="preserve"> </w:t>
      </w:r>
      <w:r w:rsidR="00762B4F">
        <w:rPr>
          <w:i/>
          <w:iCs/>
        </w:rPr>
        <w:t>See</w:t>
      </w:r>
      <w:r w:rsidR="00762B4F">
        <w:t xml:space="preserve"> </w:t>
      </w:r>
      <w:r w:rsidR="00762B4F">
        <w:rPr>
          <w:i/>
          <w:iCs/>
        </w:rPr>
        <w:t>id.</w:t>
      </w:r>
      <w:r w:rsidR="00762B4F">
        <w:t xml:space="preserve"> at 84–86</w:t>
      </w:r>
      <w:r w:rsidR="003220EC">
        <w:t>.</w:t>
      </w:r>
    </w:p>
  </w:footnote>
  <w:footnote w:id="284">
    <w:p w14:paraId="39D7844F" w14:textId="7DA356CA" w:rsidR="00B34D2A" w:rsidRPr="00B34D2A" w:rsidRDefault="00B34D2A">
      <w:pPr>
        <w:pStyle w:val="FootnoteText"/>
      </w:pPr>
      <w:r>
        <w:rPr>
          <w:rStyle w:val="FootnoteReference"/>
        </w:rPr>
        <w:footnoteRef/>
      </w:r>
      <w:r>
        <w:t xml:space="preserve"> </w:t>
      </w:r>
      <w:r>
        <w:rPr>
          <w:i/>
          <w:iCs/>
        </w:rPr>
        <w:t>See</w:t>
      </w:r>
      <w:r>
        <w:t xml:space="preserve"> </w:t>
      </w:r>
      <w:r w:rsidR="00762B4F">
        <w:rPr>
          <w:i/>
          <w:iCs/>
        </w:rPr>
        <w:t>id.</w:t>
      </w:r>
      <w:r>
        <w:t xml:space="preserve"> at 139–40 (</w:t>
      </w:r>
      <w:r w:rsidR="00AA3D22">
        <w:t>“[W]</w:t>
      </w:r>
      <w:proofErr w:type="spellStart"/>
      <w:r w:rsidR="00AA3D22">
        <w:t>hile</w:t>
      </w:r>
      <w:proofErr w:type="spellEnd"/>
      <w:r w:rsidR="00AA3D22">
        <w:t xml:space="preserve"> the puberty blocker was </w:t>
      </w:r>
      <w:proofErr w:type="gramStart"/>
      <w:r w:rsidR="00AA3D22">
        <w:t>reversible,</w:t>
      </w:r>
      <w:proofErr w:type="gramEnd"/>
      <w:r w:rsidR="00AA3D22">
        <w:t xml:space="preserve"> puberty itself was not.”).</w:t>
      </w:r>
    </w:p>
  </w:footnote>
  <w:footnote w:id="285">
    <w:p w14:paraId="5D58ADDA" w14:textId="2E26330C" w:rsidR="00544B0C" w:rsidRPr="002A1C9A" w:rsidRDefault="00544B0C">
      <w:pPr>
        <w:pStyle w:val="FootnoteText"/>
      </w:pPr>
      <w:r>
        <w:rPr>
          <w:rStyle w:val="FootnoteReference"/>
        </w:rPr>
        <w:footnoteRef/>
      </w:r>
      <w:r>
        <w:t xml:space="preserve"> </w:t>
      </w:r>
      <w:r w:rsidR="002A1C9A">
        <w:rPr>
          <w:i/>
          <w:iCs/>
        </w:rPr>
        <w:t>See supra</w:t>
      </w:r>
      <w:r w:rsidR="002A1C9A">
        <w:t xml:space="preserve"> notes </w:t>
      </w:r>
      <w:r w:rsidR="002A1C9A">
        <w:fldChar w:fldCharType="begin"/>
      </w:r>
      <w:r w:rsidR="002A1C9A">
        <w:instrText xml:space="preserve"> NOTEREF _Ref184297468 \h </w:instrText>
      </w:r>
      <w:r w:rsidR="002A1C9A">
        <w:fldChar w:fldCharType="separate"/>
      </w:r>
      <w:r w:rsidR="002A1C9A">
        <w:t>132</w:t>
      </w:r>
      <w:r w:rsidR="002A1C9A">
        <w:fldChar w:fldCharType="end"/>
      </w:r>
      <w:r w:rsidR="002A1C9A">
        <w:t>–</w:t>
      </w:r>
      <w:r w:rsidR="002A1C9A">
        <w:fldChar w:fldCharType="begin"/>
      </w:r>
      <w:r w:rsidR="002A1C9A">
        <w:instrText xml:space="preserve"> NOTEREF _Ref176519950 \h </w:instrText>
      </w:r>
      <w:r w:rsidR="002A1C9A">
        <w:fldChar w:fldCharType="separate"/>
      </w:r>
      <w:r w:rsidR="002A1C9A">
        <w:t>138</w:t>
      </w:r>
      <w:r w:rsidR="002A1C9A">
        <w:fldChar w:fldCharType="end"/>
      </w:r>
      <w:r w:rsidR="002A1C9A">
        <w:t>.</w:t>
      </w:r>
    </w:p>
  </w:footnote>
  <w:footnote w:id="286">
    <w:p w14:paraId="4F7041FF" w14:textId="51491021" w:rsidR="003E6E18" w:rsidRPr="003E6E18" w:rsidRDefault="003E6E18">
      <w:pPr>
        <w:pStyle w:val="FootnoteText"/>
      </w:pPr>
      <w:r>
        <w:rPr>
          <w:rStyle w:val="FootnoteReference"/>
        </w:rPr>
        <w:footnoteRef/>
      </w:r>
      <w:r>
        <w:t xml:space="preserve"> </w:t>
      </w:r>
      <w:r>
        <w:rPr>
          <w:i/>
          <w:iCs/>
        </w:rPr>
        <w:t>See supra</w:t>
      </w:r>
      <w:r>
        <w:t xml:space="preserve"> text between notes </w:t>
      </w:r>
      <w:r>
        <w:fldChar w:fldCharType="begin"/>
      </w:r>
      <w:r>
        <w:instrText xml:space="preserve"> NOTEREF _Ref178328512 \h </w:instrText>
      </w:r>
      <w:r>
        <w:fldChar w:fldCharType="separate"/>
      </w:r>
      <w:r>
        <w:t>211</w:t>
      </w:r>
      <w:r>
        <w:fldChar w:fldCharType="end"/>
      </w:r>
      <w:r>
        <w:t>–</w:t>
      </w:r>
      <w:r>
        <w:fldChar w:fldCharType="begin"/>
      </w:r>
      <w:r>
        <w:instrText xml:space="preserve"> NOTEREF _Ref178328515 \h </w:instrText>
      </w:r>
      <w:r>
        <w:fldChar w:fldCharType="separate"/>
      </w:r>
      <w:r>
        <w:t>212</w:t>
      </w:r>
      <w:r>
        <w:fldChar w:fldCharType="end"/>
      </w:r>
      <w:r>
        <w:t>.</w:t>
      </w:r>
    </w:p>
  </w:footnote>
  <w:footnote w:id="287">
    <w:p w14:paraId="438EBB34" w14:textId="10FF07CE" w:rsidR="0016326D" w:rsidRPr="00837179" w:rsidRDefault="0016326D">
      <w:pPr>
        <w:pStyle w:val="FootnoteText"/>
      </w:pPr>
      <w:r>
        <w:rPr>
          <w:rStyle w:val="FootnoteReference"/>
        </w:rPr>
        <w:footnoteRef/>
      </w:r>
      <w:r>
        <w:t xml:space="preserve"> </w:t>
      </w:r>
      <w:r w:rsidR="00837179">
        <w:rPr>
          <w:i/>
          <w:iCs/>
        </w:rPr>
        <w:t>See</w:t>
      </w:r>
      <w:r w:rsidR="00837179">
        <w:t xml:space="preserve"> </w:t>
      </w:r>
      <w:r w:rsidR="000263FA">
        <w:t xml:space="preserve">E. Coleman et al., </w:t>
      </w:r>
      <w:r w:rsidR="00A70D34">
        <w:rPr>
          <w:i/>
          <w:iCs/>
        </w:rPr>
        <w:t>Standards of Care for Health of Transgender and Gender Diverse People, Version 8</w:t>
      </w:r>
      <w:r w:rsidR="00A70D34">
        <w:t xml:space="preserve">, 23 </w:t>
      </w:r>
      <w:r w:rsidR="00A70D34" w:rsidRPr="007B37B6">
        <w:rPr>
          <w:smallCaps/>
        </w:rPr>
        <w:t>Int’l J. Transgender Health</w:t>
      </w:r>
      <w:r w:rsidR="00A70D34">
        <w:t xml:space="preserve"> S1,</w:t>
      </w:r>
      <w:r w:rsidR="000263FA">
        <w:t xml:space="preserve"> S175–S176</w:t>
      </w:r>
      <w:r w:rsidR="00A70D34">
        <w:t xml:space="preserve"> </w:t>
      </w:r>
      <w:r w:rsidR="007B37B6">
        <w:t>(2022) (hereinafter “WPATH 8”)</w:t>
      </w:r>
      <w:r w:rsidR="000263FA">
        <w:t>.</w:t>
      </w:r>
    </w:p>
  </w:footnote>
  <w:footnote w:id="288">
    <w:p w14:paraId="28529492" w14:textId="23EEB541" w:rsidR="002078C3" w:rsidRPr="002078C3" w:rsidRDefault="002078C3">
      <w:pPr>
        <w:pStyle w:val="FootnoteText"/>
      </w:pPr>
      <w:r>
        <w:rPr>
          <w:rStyle w:val="FootnoteReference"/>
        </w:rPr>
        <w:footnoteRef/>
      </w:r>
      <w:r>
        <w:t xml:space="preserve"> </w:t>
      </w:r>
      <w:r>
        <w:rPr>
          <w:i/>
          <w:iCs/>
        </w:rPr>
        <w:t>Id.</w:t>
      </w:r>
      <w:r>
        <w:t xml:space="preserve"> at S39–S40.</w:t>
      </w:r>
    </w:p>
  </w:footnote>
  <w:footnote w:id="289">
    <w:p w14:paraId="788D041C" w14:textId="0760A271" w:rsidR="00AE4678" w:rsidRPr="00AD0838" w:rsidRDefault="00AE4678">
      <w:pPr>
        <w:pStyle w:val="FootnoteText"/>
      </w:pPr>
      <w:r>
        <w:rPr>
          <w:rStyle w:val="FootnoteReference"/>
        </w:rPr>
        <w:footnoteRef/>
      </w:r>
      <w:r>
        <w:t xml:space="preserve"> </w:t>
      </w:r>
      <w:r w:rsidR="00AD0838">
        <w:rPr>
          <w:i/>
          <w:iCs/>
        </w:rPr>
        <w:t>See id.</w:t>
      </w:r>
      <w:r w:rsidR="00AD0838">
        <w:t xml:space="preserve"> at </w:t>
      </w:r>
      <w:r w:rsidR="00C02B46">
        <w:t xml:space="preserve">S32, </w:t>
      </w:r>
      <w:r w:rsidR="001D4895">
        <w:t>S171</w:t>
      </w:r>
      <w:r w:rsidR="00C02B46">
        <w:t>.</w:t>
      </w:r>
    </w:p>
  </w:footnote>
  <w:footnote w:id="290">
    <w:p w14:paraId="0F772D84" w14:textId="65FA91DC" w:rsidR="00FC3E1D" w:rsidRPr="00FC3E1D" w:rsidRDefault="00FC3E1D">
      <w:pPr>
        <w:pStyle w:val="FootnoteText"/>
      </w:pPr>
      <w:r>
        <w:rPr>
          <w:rStyle w:val="FootnoteReference"/>
        </w:rPr>
        <w:footnoteRef/>
      </w:r>
      <w:r>
        <w:t xml:space="preserve"> </w:t>
      </w:r>
      <w:r>
        <w:rPr>
          <w:i/>
          <w:iCs/>
        </w:rPr>
        <w:t>See id.</w:t>
      </w:r>
      <w:r>
        <w:t xml:space="preserve"> at S110–S111</w:t>
      </w:r>
      <w:r w:rsidR="002702DF">
        <w:t>,</w:t>
      </w:r>
      <w:r>
        <w:t xml:space="preserve"> </w:t>
      </w:r>
      <w:r w:rsidR="007C07DD">
        <w:t>S128–S130</w:t>
      </w:r>
      <w:r w:rsidR="000473EC">
        <w:t xml:space="preserve">; </w:t>
      </w:r>
      <w:proofErr w:type="gramStart"/>
      <w:r w:rsidR="000473EC" w:rsidRPr="000473EC">
        <w:rPr>
          <w:smallCaps/>
          <w:highlight w:val="yellow"/>
        </w:rPr>
        <w:t>Turban</w:t>
      </w:r>
      <w:r w:rsidR="000473EC">
        <w:t>?</w:t>
      </w:r>
      <w:r w:rsidR="007C07DD">
        <w:t>.</w:t>
      </w:r>
      <w:proofErr w:type="gramEnd"/>
    </w:p>
  </w:footnote>
  <w:footnote w:id="291">
    <w:p w14:paraId="0D0BC9A6" w14:textId="5CDE50E5" w:rsidR="003127FD" w:rsidRPr="00973D2B" w:rsidRDefault="003127FD">
      <w:pPr>
        <w:pStyle w:val="FootnoteText"/>
      </w:pPr>
      <w:r>
        <w:rPr>
          <w:rStyle w:val="FootnoteReference"/>
        </w:rPr>
        <w:footnoteRef/>
      </w:r>
      <w:r>
        <w:t xml:space="preserve"> </w:t>
      </w:r>
      <w:r w:rsidR="00973D2B">
        <w:rPr>
          <w:i/>
          <w:iCs/>
        </w:rPr>
        <w:t xml:space="preserve">See </w:t>
      </w:r>
      <w:r w:rsidR="00973D2B">
        <w:t xml:space="preserve">WPATH 8, </w:t>
      </w:r>
      <w:r w:rsidR="00973D2B">
        <w:rPr>
          <w:i/>
          <w:iCs/>
        </w:rPr>
        <w:t>supra</w:t>
      </w:r>
      <w:r w:rsidR="00973D2B">
        <w:t xml:space="preserve"> note </w:t>
      </w:r>
      <w:r w:rsidR="00973D2B">
        <w:fldChar w:fldCharType="begin"/>
      </w:r>
      <w:r w:rsidR="00973D2B">
        <w:instrText xml:space="preserve"> NOTEREF _Ref184299290 \h </w:instrText>
      </w:r>
      <w:r w:rsidR="00973D2B">
        <w:fldChar w:fldCharType="separate"/>
      </w:r>
      <w:r w:rsidR="00973D2B">
        <w:t>265</w:t>
      </w:r>
      <w:r w:rsidR="00973D2B">
        <w:fldChar w:fldCharType="end"/>
      </w:r>
      <w:r w:rsidR="00973D2B">
        <w:t xml:space="preserve">, at </w:t>
      </w:r>
      <w:r w:rsidR="002702DF">
        <w:t>S37, S39–S40.</w:t>
      </w:r>
    </w:p>
  </w:footnote>
  <w:footnote w:id="292">
    <w:p w14:paraId="3E9B96B3" w14:textId="1B1BC26F" w:rsidR="00D41A7A" w:rsidRDefault="00D41A7A">
      <w:pPr>
        <w:pStyle w:val="FootnoteText"/>
      </w:pPr>
      <w:r>
        <w:rPr>
          <w:rStyle w:val="FootnoteReference"/>
        </w:rPr>
        <w:footnoteRef/>
      </w:r>
      <w:r>
        <w:t xml:space="preserve"> [</w:t>
      </w:r>
      <w:r w:rsidRPr="00D41A7A">
        <w:rPr>
          <w:highlight w:val="yellow"/>
        </w:rPr>
        <w:t>Refer back to FN re EPC challenge</w:t>
      </w:r>
      <w:r>
        <w:t>.]</w:t>
      </w:r>
    </w:p>
  </w:footnote>
  <w:footnote w:id="293">
    <w:p w14:paraId="503D1B66" w14:textId="1D155EA6" w:rsidR="0064200D" w:rsidRPr="0064200D" w:rsidRDefault="0064200D">
      <w:pPr>
        <w:pStyle w:val="FootnoteText"/>
      </w:pPr>
      <w:r>
        <w:rPr>
          <w:rStyle w:val="FootnoteReference"/>
        </w:rPr>
        <w:footnoteRef/>
      </w:r>
      <w:r>
        <w:t xml:space="preserve"> </w:t>
      </w:r>
      <w:r>
        <w:rPr>
          <w:i/>
          <w:iCs/>
        </w:rPr>
        <w:t>See supra</w:t>
      </w:r>
      <w:r>
        <w:t xml:space="preserve"> </w:t>
      </w:r>
      <w:r w:rsidR="000E4B2C">
        <w:t xml:space="preserve">text between notes </w:t>
      </w:r>
      <w:r w:rsidR="000E4B2C">
        <w:fldChar w:fldCharType="begin"/>
      </w:r>
      <w:r w:rsidR="000E4B2C">
        <w:instrText xml:space="preserve"> NOTEREF _Ref178328512 \h </w:instrText>
      </w:r>
      <w:r w:rsidR="000E4B2C">
        <w:fldChar w:fldCharType="separate"/>
      </w:r>
      <w:r w:rsidR="000E4B2C">
        <w:t>211</w:t>
      </w:r>
      <w:r w:rsidR="000E4B2C">
        <w:fldChar w:fldCharType="end"/>
      </w:r>
      <w:r w:rsidR="000E4B2C">
        <w:t>–</w:t>
      </w:r>
      <w:r w:rsidR="000E4B2C">
        <w:fldChar w:fldCharType="begin"/>
      </w:r>
      <w:r w:rsidR="000E4B2C">
        <w:instrText xml:space="preserve"> NOTEREF _Ref178328515 \h </w:instrText>
      </w:r>
      <w:r w:rsidR="000E4B2C">
        <w:fldChar w:fldCharType="separate"/>
      </w:r>
      <w:r w:rsidR="000E4B2C">
        <w:t>212</w:t>
      </w:r>
      <w:r w:rsidR="000E4B2C">
        <w:fldChar w:fldCharType="end"/>
      </w:r>
      <w:r w:rsidR="000E4B2C">
        <w:t>.</w:t>
      </w:r>
    </w:p>
  </w:footnote>
  <w:footnote w:id="294">
    <w:p w14:paraId="52611AAD" w14:textId="65422239" w:rsidR="00322C2F" w:rsidRDefault="00322C2F">
      <w:pPr>
        <w:pStyle w:val="FootnoteText"/>
      </w:pPr>
      <w:r>
        <w:rPr>
          <w:rStyle w:val="FootnoteReference"/>
        </w:rPr>
        <w:footnoteRef/>
      </w:r>
      <w:r>
        <w:t xml:space="preserve"> </w:t>
      </w:r>
      <w:r w:rsidR="004F338C">
        <w:t>478 U.S. 186 (1986).</w:t>
      </w:r>
    </w:p>
  </w:footnote>
  <w:footnote w:id="295">
    <w:p w14:paraId="698AA0D3" w14:textId="3A4FE43F" w:rsidR="003A6C10" w:rsidRPr="009B262E" w:rsidRDefault="003A6C10">
      <w:pPr>
        <w:pStyle w:val="FootnoteText"/>
      </w:pPr>
      <w:r>
        <w:rPr>
          <w:rStyle w:val="FootnoteReference"/>
        </w:rPr>
        <w:footnoteRef/>
      </w:r>
      <w:r>
        <w:t xml:space="preserve">  </w:t>
      </w:r>
      <w:r w:rsidR="009B262E">
        <w:rPr>
          <w:i/>
          <w:iCs/>
        </w:rPr>
        <w:t>Bowers</w:t>
      </w:r>
      <w:r w:rsidR="009B262E">
        <w:t xml:space="preserve">, 478 U.S. at </w:t>
      </w:r>
      <w:r w:rsidR="00D57302">
        <w:t>187–88</w:t>
      </w:r>
      <w:r w:rsidR="006E03A7">
        <w:t>; [</w:t>
      </w:r>
      <w:r w:rsidR="006E03A7" w:rsidRPr="006E03A7">
        <w:rPr>
          <w:highlight w:val="yellow"/>
        </w:rPr>
        <w:t>book source</w:t>
      </w:r>
      <w:r w:rsidR="006E03A7">
        <w:t>]</w:t>
      </w:r>
      <w:r w:rsidR="00D57302">
        <w:t>.</w:t>
      </w:r>
    </w:p>
  </w:footnote>
  <w:footnote w:id="296">
    <w:p w14:paraId="6F564D52" w14:textId="14110CED" w:rsidR="004F338C" w:rsidRDefault="004F338C">
      <w:pPr>
        <w:pStyle w:val="FootnoteText"/>
      </w:pPr>
      <w:r>
        <w:rPr>
          <w:rStyle w:val="FootnoteReference"/>
        </w:rPr>
        <w:footnoteRef/>
      </w:r>
      <w:r>
        <w:t xml:space="preserve"> </w:t>
      </w:r>
      <w:r w:rsidR="00B557C6">
        <w:t xml:space="preserve">539 U.S. </w:t>
      </w:r>
      <w:r w:rsidR="00250DF8">
        <w:t>558 (2003).</w:t>
      </w:r>
    </w:p>
  </w:footnote>
  <w:footnote w:id="297">
    <w:p w14:paraId="0F5C662F" w14:textId="3649D9D2" w:rsidR="005E1D38" w:rsidRPr="005E1D38" w:rsidRDefault="005E1D38">
      <w:pPr>
        <w:pStyle w:val="FootnoteText"/>
      </w:pPr>
      <w:r>
        <w:rPr>
          <w:rStyle w:val="FootnoteReference"/>
        </w:rPr>
        <w:footnoteRef/>
      </w:r>
      <w:r>
        <w:t xml:space="preserve"> </w:t>
      </w:r>
      <w:r>
        <w:rPr>
          <w:i/>
          <w:iCs/>
        </w:rPr>
        <w:t>Bowers</w:t>
      </w:r>
      <w:r>
        <w:t>, 478 U.S. at 187–88 &amp; n.1.</w:t>
      </w:r>
    </w:p>
  </w:footnote>
  <w:footnote w:id="298">
    <w:p w14:paraId="01C112E9" w14:textId="51938898" w:rsidR="00852A68" w:rsidRPr="00852A68" w:rsidRDefault="00852A68">
      <w:pPr>
        <w:pStyle w:val="FootnoteText"/>
      </w:pPr>
      <w:r>
        <w:rPr>
          <w:rStyle w:val="FootnoteReference"/>
        </w:rPr>
        <w:footnoteRef/>
      </w:r>
      <w:r>
        <w:t xml:space="preserve"> </w:t>
      </w:r>
      <w:r>
        <w:rPr>
          <w:i/>
          <w:iCs/>
        </w:rPr>
        <w:t>Id.</w:t>
      </w:r>
      <w:r>
        <w:t xml:space="preserve"> at </w:t>
      </w:r>
      <w:r w:rsidR="00586118">
        <w:t>188–91.</w:t>
      </w:r>
    </w:p>
  </w:footnote>
  <w:footnote w:id="299">
    <w:p w14:paraId="492E3187" w14:textId="24E01DCB" w:rsidR="00586118" w:rsidRDefault="00586118">
      <w:pPr>
        <w:pStyle w:val="FootnoteText"/>
      </w:pPr>
      <w:r>
        <w:rPr>
          <w:rStyle w:val="FootnoteReference"/>
        </w:rPr>
        <w:footnoteRef/>
      </w:r>
      <w:r>
        <w:t xml:space="preserve"> </w:t>
      </w:r>
      <w:r w:rsidR="00A11B18">
        <w:t xml:space="preserve">381 U.S. </w:t>
      </w:r>
      <w:r w:rsidR="00444407">
        <w:t>479 (1965).</w:t>
      </w:r>
    </w:p>
  </w:footnote>
  <w:footnote w:id="300">
    <w:p w14:paraId="6DEFD669" w14:textId="2F3EF458" w:rsidR="00444407" w:rsidRPr="00444407" w:rsidRDefault="00444407">
      <w:pPr>
        <w:pStyle w:val="FootnoteText"/>
      </w:pPr>
      <w:r>
        <w:rPr>
          <w:rStyle w:val="FootnoteReference"/>
        </w:rPr>
        <w:footnoteRef/>
      </w:r>
      <w:r>
        <w:t xml:space="preserve"> 410 U.S. 113 (1973), </w:t>
      </w:r>
      <w:r>
        <w:rPr>
          <w:i/>
          <w:iCs/>
        </w:rPr>
        <w:t>overruled by</w:t>
      </w:r>
      <w:r>
        <w:t xml:space="preserve"> Dobbs v. </w:t>
      </w:r>
      <w:r w:rsidR="003C0502">
        <w:t>Jackson Whole Women’s Health, 597 U.S. 21</w:t>
      </w:r>
      <w:r w:rsidR="00193718">
        <w:t>5 (2022).</w:t>
      </w:r>
    </w:p>
  </w:footnote>
  <w:footnote w:id="301">
    <w:p w14:paraId="1626DC93" w14:textId="59E54F18" w:rsidR="0091512E" w:rsidRPr="0091512E" w:rsidRDefault="0091512E">
      <w:pPr>
        <w:pStyle w:val="FootnoteText"/>
      </w:pPr>
      <w:r>
        <w:rPr>
          <w:rStyle w:val="FootnoteReference"/>
        </w:rPr>
        <w:footnoteRef/>
      </w:r>
      <w:r>
        <w:t xml:space="preserve"> </w:t>
      </w:r>
      <w:r>
        <w:rPr>
          <w:i/>
          <w:iCs/>
        </w:rPr>
        <w:t>Bowers</w:t>
      </w:r>
      <w:r>
        <w:t xml:space="preserve">, </w:t>
      </w:r>
      <w:r w:rsidR="00711102">
        <w:t xml:space="preserve">478 U.S. at </w:t>
      </w:r>
      <w:r w:rsidR="00F71B64">
        <w:t>192.</w:t>
      </w:r>
    </w:p>
  </w:footnote>
  <w:footnote w:id="302">
    <w:p w14:paraId="241C4751" w14:textId="5819E56D" w:rsidR="00935B54" w:rsidRPr="00935B54" w:rsidRDefault="00935B54">
      <w:pPr>
        <w:pStyle w:val="FootnoteText"/>
      </w:pPr>
      <w:r>
        <w:rPr>
          <w:rStyle w:val="FootnoteReference"/>
        </w:rPr>
        <w:footnoteRef/>
      </w:r>
      <w:r>
        <w:t xml:space="preserve"> </w:t>
      </w:r>
      <w:r>
        <w:rPr>
          <w:i/>
          <w:iCs/>
        </w:rPr>
        <w:t xml:space="preserve">See </w:t>
      </w:r>
      <w:proofErr w:type="gramStart"/>
      <w:r>
        <w:rPr>
          <w:i/>
          <w:iCs/>
        </w:rPr>
        <w:t xml:space="preserve">supra </w:t>
      </w:r>
      <w:r>
        <w:t>Part II</w:t>
      </w:r>
      <w:proofErr w:type="gramEnd"/>
      <w:r>
        <w:t>.B.1.</w:t>
      </w:r>
    </w:p>
  </w:footnote>
  <w:footnote w:id="303">
    <w:p w14:paraId="28D08B03" w14:textId="0DDCB752" w:rsidR="00FE24FF" w:rsidRPr="00FE24FF" w:rsidRDefault="00FE24FF">
      <w:pPr>
        <w:pStyle w:val="FootnoteText"/>
      </w:pPr>
      <w:r>
        <w:rPr>
          <w:rStyle w:val="FootnoteReference"/>
        </w:rPr>
        <w:footnoteRef/>
      </w:r>
      <w:r>
        <w:t xml:space="preserve"> </w:t>
      </w:r>
      <w:r>
        <w:rPr>
          <w:i/>
          <w:iCs/>
        </w:rPr>
        <w:t>See supra</w:t>
      </w:r>
      <w:r>
        <w:t xml:space="preserve"> note </w:t>
      </w:r>
      <w:r w:rsidR="000548A1">
        <w:fldChar w:fldCharType="begin"/>
      </w:r>
      <w:r w:rsidR="000548A1">
        <w:instrText xml:space="preserve"> NOTEREF _Ref179543615 \h </w:instrText>
      </w:r>
      <w:r w:rsidR="000548A1">
        <w:fldChar w:fldCharType="separate"/>
      </w:r>
      <w:r w:rsidR="000548A1">
        <w:t>186</w:t>
      </w:r>
      <w:r w:rsidR="000548A1">
        <w:fldChar w:fldCharType="end"/>
      </w:r>
      <w:r w:rsidR="00CC1DA3">
        <w:t>.</w:t>
      </w:r>
    </w:p>
  </w:footnote>
  <w:footnote w:id="304">
    <w:p w14:paraId="20B520DC" w14:textId="335D2B00" w:rsidR="0045268D" w:rsidRPr="0045268D" w:rsidRDefault="0045268D">
      <w:pPr>
        <w:pStyle w:val="FootnoteText"/>
      </w:pPr>
      <w:r>
        <w:rPr>
          <w:rStyle w:val="FootnoteReference"/>
        </w:rPr>
        <w:footnoteRef/>
      </w:r>
      <w:r>
        <w:t xml:space="preserve"> </w:t>
      </w:r>
      <w:r>
        <w:rPr>
          <w:i/>
          <w:iCs/>
        </w:rPr>
        <w:t>See supra</w:t>
      </w:r>
      <w:r>
        <w:t xml:space="preserve"> notes </w:t>
      </w:r>
      <w:r>
        <w:fldChar w:fldCharType="begin"/>
      </w:r>
      <w:r>
        <w:instrText xml:space="preserve"> NOTEREF _Ref175059646 \h </w:instrText>
      </w:r>
      <w:r>
        <w:fldChar w:fldCharType="separate"/>
      </w:r>
      <w:r>
        <w:t>182</w:t>
      </w:r>
      <w:r>
        <w:fldChar w:fldCharType="end"/>
      </w:r>
      <w:r>
        <w:t>–</w:t>
      </w:r>
      <w:r>
        <w:fldChar w:fldCharType="begin"/>
      </w:r>
      <w:r>
        <w:instrText xml:space="preserve"> NOTEREF _Ref179543865 \h </w:instrText>
      </w:r>
      <w:r>
        <w:fldChar w:fldCharType="separate"/>
      </w:r>
      <w:r>
        <w:t>185</w:t>
      </w:r>
      <w:r>
        <w:fldChar w:fldCharType="end"/>
      </w:r>
      <w:r>
        <w:t>.</w:t>
      </w:r>
    </w:p>
  </w:footnote>
  <w:footnote w:id="305">
    <w:p w14:paraId="296F96EF" w14:textId="472D8090" w:rsidR="008317B0" w:rsidRPr="008317B0" w:rsidRDefault="008317B0">
      <w:pPr>
        <w:pStyle w:val="FootnoteText"/>
      </w:pPr>
      <w:r>
        <w:rPr>
          <w:rStyle w:val="FootnoteReference"/>
        </w:rPr>
        <w:footnoteRef/>
      </w:r>
      <w:r>
        <w:t xml:space="preserve"> </w:t>
      </w:r>
      <w:r>
        <w:rPr>
          <w:i/>
          <w:iCs/>
        </w:rPr>
        <w:t>Bowers</w:t>
      </w:r>
      <w:r>
        <w:t>, 478 U.S. at 194.</w:t>
      </w:r>
    </w:p>
  </w:footnote>
  <w:footnote w:id="306">
    <w:p w14:paraId="5283F15A" w14:textId="01AB5679" w:rsidR="00AE4CDF" w:rsidRPr="00AE4CDF" w:rsidRDefault="00AE4CDF">
      <w:pPr>
        <w:pStyle w:val="FootnoteText"/>
      </w:pPr>
      <w:r>
        <w:rPr>
          <w:rStyle w:val="FootnoteReference"/>
        </w:rPr>
        <w:footnoteRef/>
      </w:r>
      <w:r>
        <w:t xml:space="preserve"> </w:t>
      </w:r>
      <w:r>
        <w:rPr>
          <w:i/>
          <w:iCs/>
        </w:rPr>
        <w:t>Id.</w:t>
      </w:r>
      <w:r>
        <w:t xml:space="preserve"> at 196 (Burger, C.J., concurring).</w:t>
      </w:r>
    </w:p>
  </w:footnote>
  <w:footnote w:id="307">
    <w:p w14:paraId="355F76C8" w14:textId="77B85669" w:rsidR="00312F00" w:rsidRPr="00507828" w:rsidRDefault="00312F00">
      <w:pPr>
        <w:pStyle w:val="FootnoteText"/>
      </w:pPr>
      <w:r>
        <w:rPr>
          <w:rStyle w:val="FootnoteReference"/>
        </w:rPr>
        <w:footnoteRef/>
      </w:r>
      <w:r>
        <w:t xml:space="preserve"> </w:t>
      </w:r>
      <w:r>
        <w:rPr>
          <w:i/>
          <w:iCs/>
        </w:rPr>
        <w:t>See id.</w:t>
      </w:r>
      <w:r>
        <w:t xml:space="preserve"> at </w:t>
      </w:r>
      <w:r w:rsidR="00507828">
        <w:t xml:space="preserve">196 (majority opinion); </w:t>
      </w:r>
      <w:r w:rsidR="00507828">
        <w:rPr>
          <w:i/>
          <w:iCs/>
        </w:rPr>
        <w:t>id.</w:t>
      </w:r>
      <w:r w:rsidR="00507828">
        <w:t xml:space="preserve"> at 197 </w:t>
      </w:r>
      <w:r w:rsidR="00AC6A37">
        <w:t xml:space="preserve">(Burger, C.J., concurring) </w:t>
      </w:r>
      <w:r w:rsidR="00507828">
        <w:t>(</w:t>
      </w:r>
      <w:r w:rsidR="00A62460">
        <w:t>“</w:t>
      </w:r>
      <w:r w:rsidR="00A62460" w:rsidRPr="00A62460">
        <w:t>To hold that the act of homosexual sodomy is somehow protected as a fundamental right would be to cast aside millennia of moral teaching.</w:t>
      </w:r>
      <w:r w:rsidR="00A62460">
        <w:t>”).</w:t>
      </w:r>
    </w:p>
  </w:footnote>
  <w:footnote w:id="308">
    <w:p w14:paraId="2B9E4237" w14:textId="7F7CEE8E" w:rsidR="009F1D3F" w:rsidRPr="00E53FBB" w:rsidRDefault="009F1D3F">
      <w:pPr>
        <w:pStyle w:val="FootnoteText"/>
      </w:pPr>
      <w:r>
        <w:rPr>
          <w:rStyle w:val="FootnoteReference"/>
        </w:rPr>
        <w:footnoteRef/>
      </w:r>
      <w:r>
        <w:t xml:space="preserve"> </w:t>
      </w:r>
      <w:r>
        <w:rPr>
          <w:i/>
          <w:iCs/>
        </w:rPr>
        <w:t>See id.</w:t>
      </w:r>
      <w:r>
        <w:t xml:space="preserve"> at </w:t>
      </w:r>
      <w:r w:rsidR="00542C48">
        <w:t>191</w:t>
      </w:r>
      <w:r w:rsidR="00E53FBB">
        <w:t xml:space="preserve"> (majority opinion)</w:t>
      </w:r>
      <w:r w:rsidR="00542C48">
        <w:t xml:space="preserve"> (“</w:t>
      </w:r>
      <w:r w:rsidR="00E53FBB" w:rsidRPr="00E53FBB">
        <w:t>No connection between family, marriage, or procreation on the one hand and homosexual activity on the other has been demonstrated</w:t>
      </w:r>
      <w:r w:rsidR="00E53FBB">
        <w:t xml:space="preserve">”); </w:t>
      </w:r>
      <w:r w:rsidR="00E53FBB">
        <w:rPr>
          <w:i/>
          <w:iCs/>
        </w:rPr>
        <w:t>id.</w:t>
      </w:r>
      <w:r w:rsidR="00E53FBB">
        <w:t xml:space="preserve"> at 197 </w:t>
      </w:r>
      <w:r w:rsidR="00AC6A37">
        <w:t xml:space="preserve">(Burger, C.J., concurring) </w:t>
      </w:r>
      <w:r w:rsidR="00E53FBB">
        <w:t xml:space="preserve">(highlighting </w:t>
      </w:r>
      <w:r w:rsidR="00BA1B31">
        <w:t xml:space="preserve">several historical descriptions of homosexual conduct as a “crime against nature”). </w:t>
      </w:r>
    </w:p>
  </w:footnote>
  <w:footnote w:id="309">
    <w:p w14:paraId="14CE3362" w14:textId="634ABA24" w:rsidR="0009245F" w:rsidRDefault="0009245F">
      <w:pPr>
        <w:pStyle w:val="FootnoteText"/>
      </w:pPr>
      <w:r>
        <w:rPr>
          <w:rStyle w:val="FootnoteReference"/>
        </w:rPr>
        <w:footnoteRef/>
      </w:r>
      <w:r>
        <w:t xml:space="preserve"> [source—</w:t>
      </w:r>
      <w:r w:rsidRPr="00E20B8C">
        <w:rPr>
          <w:highlight w:val="yellow"/>
        </w:rPr>
        <w:t>Eskridge</w:t>
      </w:r>
      <w:r>
        <w:t>?]</w:t>
      </w:r>
      <w:r w:rsidR="00832FE5">
        <w:t>.</w:t>
      </w:r>
    </w:p>
  </w:footnote>
  <w:footnote w:id="310">
    <w:p w14:paraId="598AB462" w14:textId="35983730" w:rsidR="00832FE5" w:rsidRPr="00A67751" w:rsidRDefault="00832FE5">
      <w:pPr>
        <w:pStyle w:val="FootnoteText"/>
      </w:pPr>
      <w:r>
        <w:rPr>
          <w:rStyle w:val="FootnoteReference"/>
        </w:rPr>
        <w:footnoteRef/>
      </w:r>
      <w:r>
        <w:t xml:space="preserve"> [</w:t>
      </w:r>
      <w:r w:rsidRPr="00832FE5">
        <w:rPr>
          <w:highlight w:val="yellow"/>
        </w:rPr>
        <w:t>cite</w:t>
      </w:r>
      <w:r>
        <w:t>].</w:t>
      </w:r>
      <w:r w:rsidR="00A67751">
        <w:t xml:space="preserve"> (with </w:t>
      </w:r>
      <w:r w:rsidR="00A67751">
        <w:rPr>
          <w:i/>
          <w:iCs/>
        </w:rPr>
        <w:t>see also supra</w:t>
      </w:r>
      <w:r w:rsidR="00A67751">
        <w:t xml:space="preserve"> cite to footnote discussing asexual people).</w:t>
      </w:r>
    </w:p>
  </w:footnote>
  <w:footnote w:id="311">
    <w:p w14:paraId="714603D2" w14:textId="0B201F2A" w:rsidR="007768A1" w:rsidRPr="007768A1" w:rsidRDefault="007768A1">
      <w:pPr>
        <w:pStyle w:val="FootnoteText"/>
      </w:pPr>
      <w:r>
        <w:rPr>
          <w:rStyle w:val="FootnoteReference"/>
        </w:rPr>
        <w:footnoteRef/>
      </w:r>
      <w:r>
        <w:t xml:space="preserve"> </w:t>
      </w:r>
      <w:r>
        <w:rPr>
          <w:i/>
          <w:iCs/>
        </w:rPr>
        <w:t>See supra</w:t>
      </w:r>
      <w:r>
        <w:t xml:space="preserve"> note </w:t>
      </w:r>
      <w:r>
        <w:fldChar w:fldCharType="begin"/>
      </w:r>
      <w:r>
        <w:instrText xml:space="preserve"> NOTEREF _Ref178328512 \h </w:instrText>
      </w:r>
      <w:r>
        <w:fldChar w:fldCharType="separate"/>
      </w:r>
      <w:r>
        <w:t>211</w:t>
      </w:r>
      <w:r>
        <w:fldChar w:fldCharType="end"/>
      </w:r>
      <w:r>
        <w:t xml:space="preserve"> and accompanying text.</w:t>
      </w:r>
    </w:p>
  </w:footnote>
  <w:footnote w:id="312">
    <w:p w14:paraId="02C45CEC" w14:textId="021D4B5D" w:rsidR="00C367AE" w:rsidRDefault="00C367AE">
      <w:pPr>
        <w:pStyle w:val="FootnoteText"/>
      </w:pPr>
      <w:r>
        <w:rPr>
          <w:rStyle w:val="FootnoteReference"/>
        </w:rPr>
        <w:footnoteRef/>
      </w:r>
      <w:r>
        <w:t xml:space="preserve"> [</w:t>
      </w:r>
      <w:r w:rsidRPr="00C367AE">
        <w:rPr>
          <w:highlight w:val="yellow"/>
        </w:rPr>
        <w:t>cite</w:t>
      </w:r>
      <w:r>
        <w:t>].</w:t>
      </w:r>
    </w:p>
  </w:footnote>
  <w:footnote w:id="313">
    <w:p w14:paraId="76CB0615" w14:textId="17EDBF9B" w:rsidR="00F63CE9" w:rsidRDefault="00F63CE9">
      <w:pPr>
        <w:pStyle w:val="FootnoteText"/>
      </w:pPr>
      <w:r>
        <w:rPr>
          <w:rStyle w:val="FootnoteReference"/>
        </w:rPr>
        <w:footnoteRef/>
      </w:r>
      <w:r>
        <w:t xml:space="preserve"> 539 U.S. 558 (2003).</w:t>
      </w:r>
    </w:p>
  </w:footnote>
  <w:footnote w:id="314">
    <w:p w14:paraId="7D53E2F4" w14:textId="4AA40BE5" w:rsidR="00F37747" w:rsidRPr="00F37747" w:rsidRDefault="00F37747">
      <w:pPr>
        <w:pStyle w:val="FootnoteText"/>
      </w:pPr>
      <w:r>
        <w:rPr>
          <w:rStyle w:val="FootnoteReference"/>
        </w:rPr>
        <w:footnoteRef/>
      </w:r>
      <w:r>
        <w:t xml:space="preserve"> </w:t>
      </w:r>
      <w:r>
        <w:rPr>
          <w:i/>
          <w:iCs/>
        </w:rPr>
        <w:t>Id.</w:t>
      </w:r>
      <w:r>
        <w:t xml:space="preserve"> at </w:t>
      </w:r>
      <w:r w:rsidR="008B17C3">
        <w:t>562–63.</w:t>
      </w:r>
    </w:p>
  </w:footnote>
  <w:footnote w:id="315">
    <w:p w14:paraId="3778C82E" w14:textId="600DC60B" w:rsidR="002A6CF7" w:rsidRPr="002A6CF7" w:rsidRDefault="002A6CF7">
      <w:pPr>
        <w:pStyle w:val="FootnoteText"/>
      </w:pPr>
      <w:r>
        <w:rPr>
          <w:rStyle w:val="FootnoteReference"/>
        </w:rPr>
        <w:footnoteRef/>
      </w:r>
      <w:r>
        <w:t xml:space="preserve"> </w:t>
      </w:r>
      <w:r>
        <w:rPr>
          <w:i/>
          <w:iCs/>
        </w:rPr>
        <w:t>Id.</w:t>
      </w:r>
    </w:p>
  </w:footnote>
  <w:footnote w:id="316">
    <w:p w14:paraId="230F41FE" w14:textId="1405AD77" w:rsidR="00550500" w:rsidRPr="00550500" w:rsidRDefault="00550500">
      <w:pPr>
        <w:pStyle w:val="FootnoteText"/>
      </w:pPr>
      <w:r>
        <w:rPr>
          <w:rStyle w:val="FootnoteReference"/>
        </w:rPr>
        <w:footnoteRef/>
      </w:r>
      <w:r>
        <w:t xml:space="preserve"> </w:t>
      </w:r>
      <w:r>
        <w:rPr>
          <w:i/>
          <w:iCs/>
        </w:rPr>
        <w:t>Id.</w:t>
      </w:r>
    </w:p>
  </w:footnote>
  <w:footnote w:id="317">
    <w:p w14:paraId="0AE23952" w14:textId="00242495" w:rsidR="00D97365" w:rsidRPr="00D97365" w:rsidRDefault="00D97365">
      <w:pPr>
        <w:pStyle w:val="FootnoteText"/>
      </w:pPr>
      <w:r>
        <w:rPr>
          <w:rStyle w:val="FootnoteReference"/>
        </w:rPr>
        <w:footnoteRef/>
      </w:r>
      <w:r>
        <w:t xml:space="preserve"> </w:t>
      </w:r>
      <w:r>
        <w:rPr>
          <w:i/>
          <w:iCs/>
        </w:rPr>
        <w:t>See id.</w:t>
      </w:r>
      <w:r>
        <w:t xml:space="preserve"> at </w:t>
      </w:r>
      <w:r w:rsidR="00802434">
        <w:t>571 (“</w:t>
      </w:r>
      <w:r w:rsidR="00802434" w:rsidRPr="00802434">
        <w:t xml:space="preserve">In summary, the historical grounds relied upon in </w:t>
      </w:r>
      <w:r w:rsidR="00802434" w:rsidRPr="000B267C">
        <w:rPr>
          <w:i/>
          <w:iCs/>
        </w:rPr>
        <w:t>Bowers</w:t>
      </w:r>
      <w:r w:rsidR="00802434" w:rsidRPr="00802434">
        <w:t xml:space="preserve"> are more complex than the majority opinion and the concurring opinion by Chief Justice Burger indicate. Their historical premises are not without doubt and, at the very least, are overstated.</w:t>
      </w:r>
      <w:r w:rsidR="00802434">
        <w:t>”).</w:t>
      </w:r>
    </w:p>
  </w:footnote>
  <w:footnote w:id="318">
    <w:p w14:paraId="5A5A353A" w14:textId="7D8E7466" w:rsidR="00273AA6" w:rsidRPr="00273AA6" w:rsidRDefault="00273AA6">
      <w:pPr>
        <w:pStyle w:val="FootnoteText"/>
      </w:pPr>
      <w:r>
        <w:rPr>
          <w:rStyle w:val="FootnoteReference"/>
        </w:rPr>
        <w:footnoteRef/>
      </w:r>
      <w:r>
        <w:t xml:space="preserve"> </w:t>
      </w:r>
      <w:r>
        <w:rPr>
          <w:i/>
          <w:iCs/>
        </w:rPr>
        <w:t>See id.</w:t>
      </w:r>
      <w:r>
        <w:t xml:space="preserve"> at </w:t>
      </w:r>
      <w:r w:rsidR="00374062">
        <w:t>572 (“History and tradition are the starting point but not in all cases the ending point of the substantive due process inquiry.” (internal quotation omitted)).</w:t>
      </w:r>
    </w:p>
  </w:footnote>
  <w:footnote w:id="319">
    <w:p w14:paraId="5EFC7C7A" w14:textId="2066F739" w:rsidR="004056F9" w:rsidRPr="004056F9" w:rsidRDefault="004056F9">
      <w:pPr>
        <w:pStyle w:val="FootnoteText"/>
      </w:pPr>
      <w:r>
        <w:rPr>
          <w:rStyle w:val="FootnoteReference"/>
        </w:rPr>
        <w:footnoteRef/>
      </w:r>
      <w:r>
        <w:t xml:space="preserve"> </w:t>
      </w:r>
      <w:r>
        <w:rPr>
          <w:i/>
          <w:iCs/>
        </w:rPr>
        <w:t>Id.</w:t>
      </w:r>
    </w:p>
  </w:footnote>
  <w:footnote w:id="320">
    <w:p w14:paraId="677CBBC4" w14:textId="014DEB56" w:rsidR="00A72986" w:rsidRPr="00A87783" w:rsidRDefault="00A72986">
      <w:pPr>
        <w:pStyle w:val="FootnoteText"/>
      </w:pPr>
      <w:r>
        <w:rPr>
          <w:rStyle w:val="FootnoteReference"/>
        </w:rPr>
        <w:footnoteRef/>
      </w:r>
      <w:r>
        <w:t xml:space="preserve"> </w:t>
      </w:r>
      <w:r>
        <w:rPr>
          <w:i/>
          <w:iCs/>
        </w:rPr>
        <w:t>Id.</w:t>
      </w:r>
      <w:r>
        <w:t xml:space="preserve"> at 574 (quoting Planned Parenthood of Se. Penn. v. Casey, </w:t>
      </w:r>
      <w:r w:rsidR="00BE00CC">
        <w:t xml:space="preserve">505 U.S. 833, 851 (1992) (plurality)). </w:t>
      </w:r>
      <w:r w:rsidR="00A65631">
        <w:t xml:space="preserve">The Court overruled </w:t>
      </w:r>
      <w:r w:rsidR="00A65631">
        <w:rPr>
          <w:i/>
          <w:iCs/>
        </w:rPr>
        <w:t>Casey</w:t>
      </w:r>
      <w:r w:rsidR="00A65631">
        <w:t xml:space="preserve"> in </w:t>
      </w:r>
      <w:r w:rsidR="00A65631">
        <w:rPr>
          <w:i/>
          <w:iCs/>
        </w:rPr>
        <w:t xml:space="preserve">Dobbs v. Whole Women’s </w:t>
      </w:r>
      <w:r w:rsidR="00A65631" w:rsidRPr="00C9589F">
        <w:rPr>
          <w:i/>
          <w:iCs/>
        </w:rPr>
        <w:t>Health</w:t>
      </w:r>
      <w:r w:rsidR="00C9589F">
        <w:rPr>
          <w:i/>
          <w:iCs/>
        </w:rPr>
        <w:t xml:space="preserve"> Organization</w:t>
      </w:r>
      <w:r w:rsidR="00C9589F">
        <w:t xml:space="preserve">, </w:t>
      </w:r>
      <w:r w:rsidR="00C9589F" w:rsidRPr="00C9589F">
        <w:t>597</w:t>
      </w:r>
      <w:r w:rsidR="00C9589F">
        <w:t xml:space="preserve"> U.S. 215, 231 (2022)</w:t>
      </w:r>
      <w:r w:rsidR="000A2499">
        <w:t xml:space="preserve">. It has not yet clarified the status of this portion of </w:t>
      </w:r>
      <w:r w:rsidR="000A2499">
        <w:rPr>
          <w:i/>
          <w:iCs/>
        </w:rPr>
        <w:t>Casey</w:t>
      </w:r>
      <w:r w:rsidR="000A2499">
        <w:t xml:space="preserve"> quoted </w:t>
      </w:r>
      <w:r w:rsidR="00A87783">
        <w:t xml:space="preserve">in </w:t>
      </w:r>
      <w:r w:rsidR="00A87783">
        <w:rPr>
          <w:i/>
          <w:iCs/>
        </w:rPr>
        <w:t>Lawrence</w:t>
      </w:r>
      <w:r w:rsidR="00A87783">
        <w:t>, which remains good law—at least for now.</w:t>
      </w:r>
    </w:p>
  </w:footnote>
  <w:footnote w:id="321">
    <w:p w14:paraId="536809C0" w14:textId="3E4B2F39" w:rsidR="000F26AA" w:rsidRPr="000F26AA" w:rsidRDefault="000F26AA">
      <w:pPr>
        <w:pStyle w:val="FootnoteText"/>
      </w:pPr>
      <w:r>
        <w:rPr>
          <w:rStyle w:val="FootnoteReference"/>
        </w:rPr>
        <w:footnoteRef/>
      </w:r>
      <w:r>
        <w:t xml:space="preserve"> </w:t>
      </w:r>
      <w:r>
        <w:rPr>
          <w:i/>
          <w:iCs/>
        </w:rPr>
        <w:t>See id.</w:t>
      </w:r>
      <w:r>
        <w:t xml:space="preserve"> at 573–75 (defining “[t]hose matters” in the quotation from </w:t>
      </w:r>
      <w:r>
        <w:rPr>
          <w:i/>
          <w:iCs/>
        </w:rPr>
        <w:t>Casey</w:t>
      </w:r>
      <w:r>
        <w:t xml:space="preserve"> as “</w:t>
      </w:r>
      <w:r w:rsidR="004D1145">
        <w:t>personal decisions relating to marriage, procreation, contraception, family relationships, child rearing, and education”).</w:t>
      </w:r>
    </w:p>
  </w:footnote>
  <w:footnote w:id="322">
    <w:p w14:paraId="2E1F9822" w14:textId="42002FCA" w:rsidR="0019264C" w:rsidRPr="0019264C" w:rsidRDefault="0019264C">
      <w:pPr>
        <w:pStyle w:val="FootnoteText"/>
      </w:pPr>
      <w:r>
        <w:rPr>
          <w:rStyle w:val="FootnoteReference"/>
        </w:rPr>
        <w:footnoteRef/>
      </w:r>
      <w:r>
        <w:t xml:space="preserve"> </w:t>
      </w:r>
      <w:r>
        <w:rPr>
          <w:i/>
          <w:iCs/>
        </w:rPr>
        <w:t>See id.</w:t>
      </w:r>
      <w:r>
        <w:t xml:space="preserve"> at 572, </w:t>
      </w:r>
      <w:r w:rsidR="00D3461C">
        <w:t>578–79.</w:t>
      </w:r>
    </w:p>
  </w:footnote>
  <w:footnote w:id="323">
    <w:p w14:paraId="3F84D086" w14:textId="38C41185" w:rsidR="00DA6358" w:rsidRPr="00DA6358" w:rsidRDefault="00DA6358">
      <w:pPr>
        <w:pStyle w:val="FootnoteText"/>
      </w:pPr>
      <w:r>
        <w:rPr>
          <w:rStyle w:val="FootnoteReference"/>
        </w:rPr>
        <w:footnoteRef/>
      </w:r>
      <w:r>
        <w:t xml:space="preserve"> </w:t>
      </w:r>
      <w:r>
        <w:rPr>
          <w:i/>
          <w:iCs/>
        </w:rPr>
        <w:t>See supra</w:t>
      </w:r>
      <w:r>
        <w:t xml:space="preserve"> </w:t>
      </w:r>
      <w:r w:rsidR="004918D2">
        <w:t xml:space="preserve">text accompanying </w:t>
      </w:r>
      <w:r>
        <w:t>note</w:t>
      </w:r>
      <w:r w:rsidR="004918D2">
        <w:t xml:space="preserve">s </w:t>
      </w:r>
      <w:r w:rsidR="004918D2">
        <w:fldChar w:fldCharType="begin"/>
      </w:r>
      <w:r w:rsidR="004918D2">
        <w:instrText xml:space="preserve"> NOTEREF _Ref183442082 \h </w:instrText>
      </w:r>
      <w:r w:rsidR="004918D2">
        <w:fldChar w:fldCharType="separate"/>
      </w:r>
      <w:r w:rsidR="004918D2">
        <w:t>77</w:t>
      </w:r>
      <w:r w:rsidR="004918D2">
        <w:fldChar w:fldCharType="end"/>
      </w:r>
      <w:r w:rsidR="004918D2">
        <w:t>–</w:t>
      </w:r>
      <w:r w:rsidR="004918D2">
        <w:fldChar w:fldCharType="begin"/>
      </w:r>
      <w:r w:rsidR="004918D2">
        <w:instrText xml:space="preserve"> NOTEREF _Ref183442091 \h </w:instrText>
      </w:r>
      <w:r w:rsidR="004918D2">
        <w:fldChar w:fldCharType="separate"/>
      </w:r>
      <w:r w:rsidR="004918D2">
        <w:t>80</w:t>
      </w:r>
      <w:r w:rsidR="004918D2">
        <w:fldChar w:fldCharType="end"/>
      </w:r>
      <w:r w:rsidR="004918D2">
        <w:t xml:space="preserve">, </w:t>
      </w:r>
      <w:r w:rsidR="004C3675">
        <w:fldChar w:fldCharType="begin"/>
      </w:r>
      <w:r w:rsidR="004C3675">
        <w:instrText xml:space="preserve"> NOTEREF _Ref183442134 \h </w:instrText>
      </w:r>
      <w:r w:rsidR="004C3675">
        <w:fldChar w:fldCharType="separate"/>
      </w:r>
      <w:r w:rsidR="004C3675">
        <w:t>195</w:t>
      </w:r>
      <w:r w:rsidR="004C3675">
        <w:fldChar w:fldCharType="end"/>
      </w:r>
      <w:r w:rsidR="004C3675">
        <w:t>–</w:t>
      </w:r>
      <w:r w:rsidR="004C3675">
        <w:fldChar w:fldCharType="begin"/>
      </w:r>
      <w:r w:rsidR="004C3675">
        <w:instrText xml:space="preserve"> NOTEREF _Ref176524312 \h </w:instrText>
      </w:r>
      <w:r w:rsidR="004C3675">
        <w:fldChar w:fldCharType="separate"/>
      </w:r>
      <w:r w:rsidR="004C3675">
        <w:t>197</w:t>
      </w:r>
      <w:r w:rsidR="004C3675">
        <w:fldChar w:fldCharType="end"/>
      </w:r>
      <w:r>
        <w:t>.</w:t>
      </w:r>
    </w:p>
  </w:footnote>
  <w:footnote w:id="324">
    <w:p w14:paraId="25E1D9D6" w14:textId="48AA0E43" w:rsidR="004A1FA0" w:rsidRPr="004A1FA0" w:rsidRDefault="004A1FA0">
      <w:pPr>
        <w:pStyle w:val="FootnoteText"/>
      </w:pPr>
      <w:r>
        <w:rPr>
          <w:rStyle w:val="FootnoteReference"/>
        </w:rPr>
        <w:footnoteRef/>
      </w:r>
      <w:r>
        <w:t xml:space="preserve"> </w:t>
      </w:r>
      <w:r>
        <w:rPr>
          <w:i/>
          <w:iCs/>
        </w:rPr>
        <w:t xml:space="preserve">See </w:t>
      </w:r>
      <w:proofErr w:type="gramStart"/>
      <w:r>
        <w:rPr>
          <w:i/>
          <w:iCs/>
        </w:rPr>
        <w:t>supra</w:t>
      </w:r>
      <w:r>
        <w:t xml:space="preserve"> </w:t>
      </w:r>
      <w:r w:rsidR="001A630D">
        <w:t>Part II</w:t>
      </w:r>
      <w:proofErr w:type="gramEnd"/>
      <w:r w:rsidR="001A630D">
        <w:t>.B.3</w:t>
      </w:r>
      <w:r>
        <w:t>.</w:t>
      </w:r>
    </w:p>
  </w:footnote>
  <w:footnote w:id="325">
    <w:p w14:paraId="61837B69" w14:textId="3CFFD7F4" w:rsidR="00DB3A88" w:rsidRDefault="00DB3A88">
      <w:pPr>
        <w:pStyle w:val="FootnoteText"/>
      </w:pPr>
      <w:r>
        <w:rPr>
          <w:rStyle w:val="FootnoteReference"/>
        </w:rPr>
        <w:footnoteRef/>
      </w:r>
      <w:r>
        <w:t xml:space="preserve"> </w:t>
      </w:r>
      <w:r>
        <w:rPr>
          <w:i/>
          <w:iCs/>
        </w:rPr>
        <w:t xml:space="preserve">See </w:t>
      </w:r>
      <w:proofErr w:type="gramStart"/>
      <w:r>
        <w:rPr>
          <w:i/>
          <w:iCs/>
        </w:rPr>
        <w:t>supra</w:t>
      </w:r>
      <w:r>
        <w:t xml:space="preserve"> Part II</w:t>
      </w:r>
      <w:proofErr w:type="gramEnd"/>
      <w:r>
        <w:t>.</w:t>
      </w:r>
      <w:r w:rsidR="001A630D">
        <w:t>B.4.</w:t>
      </w:r>
    </w:p>
    <w:p w14:paraId="5782A367" w14:textId="2BAD0C05" w:rsidR="007E0416" w:rsidRPr="00BE57D1" w:rsidRDefault="00767A78" w:rsidP="00D12ACF">
      <w:pPr>
        <w:pStyle w:val="FootnoteText"/>
        <w:ind w:left="360" w:firstLine="270"/>
      </w:pPr>
      <w:r>
        <w:t>I</w:t>
      </w:r>
      <w:r w:rsidR="00D12ACF">
        <w:t xml:space="preserve"> would depart from </w:t>
      </w:r>
      <w:r w:rsidR="00D12ACF">
        <w:rPr>
          <w:i/>
          <w:iCs/>
        </w:rPr>
        <w:t xml:space="preserve">Lawrence </w:t>
      </w:r>
      <w:r w:rsidR="00D12ACF">
        <w:t>only in</w:t>
      </w:r>
      <w:r w:rsidR="0040534C">
        <w:t>sofar as the Court ends</w:t>
      </w:r>
      <w:r w:rsidR="00D12ACF">
        <w:t xml:space="preserve"> its analysis </w:t>
      </w:r>
      <w:r>
        <w:t>by</w:t>
      </w:r>
      <w:r w:rsidR="00D12ACF">
        <w:t xml:space="preserve"> </w:t>
      </w:r>
      <w:r>
        <w:t xml:space="preserve">articulating the importance of the liberty interest at stake. </w:t>
      </w:r>
      <w:r w:rsidR="00EE4F1E">
        <w:t xml:space="preserve">Under the Epicurean approach, the Court would then decide how much process would be required for Texas to infringe upon that liberty interest. </w:t>
      </w:r>
      <w:r w:rsidR="00812082">
        <w:t>Since the liberty interest clearly requires more than the state’s standard legislative and judicial processes, however, the result would be the same.</w:t>
      </w:r>
      <w:r w:rsidR="00BE57D1">
        <w:t xml:space="preserve"> </w:t>
      </w:r>
      <w:r w:rsidR="00BE57D1">
        <w:rPr>
          <w:i/>
          <w:iCs/>
        </w:rPr>
        <w:t>Cf. supra</w:t>
      </w:r>
      <w:r w:rsidR="00BE57D1">
        <w:t xml:space="preserve"> text accompanying notes </w:t>
      </w:r>
      <w:r w:rsidR="00BE57D1">
        <w:fldChar w:fldCharType="begin"/>
      </w:r>
      <w:r w:rsidR="00BE57D1">
        <w:instrText xml:space="preserve"> NOTEREF _Ref183443203 \h </w:instrText>
      </w:r>
      <w:r w:rsidR="00BE57D1">
        <w:fldChar w:fldCharType="separate"/>
      </w:r>
      <w:r w:rsidR="00BE57D1">
        <w:t>222</w:t>
      </w:r>
      <w:r w:rsidR="00BE57D1">
        <w:fldChar w:fldCharType="end"/>
      </w:r>
      <w:r w:rsidR="00BE57D1">
        <w:t>–</w:t>
      </w:r>
      <w:r w:rsidR="00BE57D1">
        <w:fldChar w:fldCharType="begin"/>
      </w:r>
      <w:r w:rsidR="00BE57D1">
        <w:instrText xml:space="preserve"> NOTEREF _Ref183443208 \h </w:instrText>
      </w:r>
      <w:r w:rsidR="00BE57D1">
        <w:fldChar w:fldCharType="separate"/>
      </w:r>
      <w:r w:rsidR="00BE57D1">
        <w:t>223</w:t>
      </w:r>
      <w:r w:rsidR="00BE57D1">
        <w:fldChar w:fldCharType="end"/>
      </w:r>
      <w:r w:rsidR="00BE57D1">
        <w:t>.</w:t>
      </w:r>
    </w:p>
  </w:footnote>
  <w:footnote w:id="326">
    <w:p w14:paraId="6BB2D73C" w14:textId="37AA90C1" w:rsidR="00114A11" w:rsidRPr="00114A11" w:rsidRDefault="00114A11">
      <w:pPr>
        <w:pStyle w:val="FootnoteText"/>
      </w:pPr>
      <w:r>
        <w:rPr>
          <w:rStyle w:val="FootnoteReference"/>
        </w:rPr>
        <w:footnoteRef/>
      </w:r>
      <w:r>
        <w:t xml:space="preserve"> </w:t>
      </w:r>
      <w:r>
        <w:rPr>
          <w:i/>
          <w:iCs/>
        </w:rPr>
        <w:t>Lawrence</w:t>
      </w:r>
      <w:r>
        <w:t xml:space="preserve">, 539 U.S. at </w:t>
      </w:r>
      <w:r w:rsidR="00284038">
        <w:t>578–79.</w:t>
      </w:r>
    </w:p>
  </w:footnote>
  <w:footnote w:id="327">
    <w:p w14:paraId="2565F5CE" w14:textId="1CB267CA" w:rsidR="004920B0" w:rsidRPr="00236182" w:rsidRDefault="004920B0">
      <w:pPr>
        <w:pStyle w:val="FootnoteText"/>
      </w:pPr>
      <w:r>
        <w:rPr>
          <w:rStyle w:val="FootnoteReference"/>
        </w:rPr>
        <w:footnoteRef/>
      </w:r>
      <w:r>
        <w:t xml:space="preserve"> This Part’s title</w:t>
      </w:r>
      <w:r w:rsidR="001737D3">
        <w:t xml:space="preserve"> invokes</w:t>
      </w:r>
      <w:r>
        <w:t xml:space="preserve"> </w:t>
      </w:r>
      <w:r w:rsidR="00127B09">
        <w:t xml:space="preserve">the title of Dorothy Sayers’s </w:t>
      </w:r>
      <w:r w:rsidR="00A764CE">
        <w:t xml:space="preserve">1938 speech to a </w:t>
      </w:r>
      <w:r w:rsidR="00A640BC">
        <w:t>women’s society: “Are women human</w:t>
      </w:r>
      <w:r w:rsidR="00B42D7C">
        <w:t xml:space="preserve">?” </w:t>
      </w:r>
      <w:r w:rsidR="00B42D7C">
        <w:rPr>
          <w:i/>
          <w:iCs/>
        </w:rPr>
        <w:t>See</w:t>
      </w:r>
      <w:r w:rsidR="00B42D7C">
        <w:t xml:space="preserve"> Sayers, </w:t>
      </w:r>
      <w:r w:rsidR="00B42D7C">
        <w:rPr>
          <w:i/>
          <w:iCs/>
        </w:rPr>
        <w:t>supra</w:t>
      </w:r>
      <w:r w:rsidR="00B42D7C">
        <w:t xml:space="preserve"> note </w:t>
      </w:r>
      <w:r w:rsidR="00B42D7C">
        <w:fldChar w:fldCharType="begin"/>
      </w:r>
      <w:r w:rsidR="00B42D7C">
        <w:instrText xml:space="preserve"> NOTEREF _Ref184807671 \h </w:instrText>
      </w:r>
      <w:r w:rsidR="00B42D7C">
        <w:fldChar w:fldCharType="separate"/>
      </w:r>
      <w:r w:rsidR="00B42D7C">
        <w:t>52</w:t>
      </w:r>
      <w:r w:rsidR="00B42D7C">
        <w:fldChar w:fldCharType="end"/>
      </w:r>
      <w:r w:rsidR="00B42D7C">
        <w:t xml:space="preserve">, at </w:t>
      </w:r>
      <w:r w:rsidR="00FB07C0">
        <w:t>16</w:t>
      </w:r>
      <w:r w:rsidR="00EE0939">
        <w:t xml:space="preserve">5. </w:t>
      </w:r>
      <w:r w:rsidR="00CC1615">
        <w:t xml:space="preserve">Her point then, as mine is now, </w:t>
      </w:r>
      <w:r w:rsidR="001149FB">
        <w:t xml:space="preserve">is that </w:t>
      </w:r>
      <w:r w:rsidR="000F5782">
        <w:t xml:space="preserve">no person’s </w:t>
      </w:r>
      <w:r w:rsidR="001149FB">
        <w:t xml:space="preserve">humanity is reducible to </w:t>
      </w:r>
      <w:r w:rsidR="00120857">
        <w:t xml:space="preserve">their membership in a </w:t>
      </w:r>
      <w:r w:rsidR="000F5782">
        <w:t>particular category—e.g., “women” or “children”</w:t>
      </w:r>
      <w:r w:rsidR="005A710D">
        <w:t xml:space="preserve">—and that defining or depriving </w:t>
      </w:r>
      <w:r w:rsidR="001737D3">
        <w:t>any person of self-determination is literally in</w:t>
      </w:r>
      <w:r w:rsidR="001737D3" w:rsidRPr="00236182">
        <w:rPr>
          <w:i/>
          <w:iCs/>
        </w:rPr>
        <w:t>human</w:t>
      </w:r>
      <w:r w:rsidR="001737D3">
        <w:t xml:space="preserve">. </w:t>
      </w:r>
      <w:r w:rsidR="00236182">
        <w:rPr>
          <w:i/>
          <w:iCs/>
        </w:rPr>
        <w:t>See id.</w:t>
      </w:r>
      <w:r w:rsidR="00236182">
        <w:t xml:space="preserve"> at 166–167</w:t>
      </w:r>
      <w:r w:rsidR="005550FD">
        <w:t>.</w:t>
      </w:r>
      <w:r w:rsidR="00236182">
        <w:t xml:space="preserve"> </w:t>
      </w:r>
    </w:p>
  </w:footnote>
  <w:footnote w:id="328">
    <w:p w14:paraId="292946FE" w14:textId="31CD093F" w:rsidR="00043048" w:rsidRPr="005816BE" w:rsidRDefault="00043048" w:rsidP="00564EDC">
      <w:pPr>
        <w:pStyle w:val="FootnoteText"/>
      </w:pPr>
      <w:r>
        <w:rPr>
          <w:rStyle w:val="FootnoteReference"/>
        </w:rPr>
        <w:footnoteRef/>
      </w:r>
      <w:r>
        <w:t xml:space="preserve"> </w:t>
      </w:r>
      <w:r w:rsidR="0050725E">
        <w:rPr>
          <w:i/>
          <w:iCs/>
        </w:rPr>
        <w:t>See, e.g.</w:t>
      </w:r>
      <w:r w:rsidR="0050725E">
        <w:t xml:space="preserve">, </w:t>
      </w:r>
      <w:r w:rsidR="00237CBF">
        <w:t xml:space="preserve">Appell, </w:t>
      </w:r>
      <w:r w:rsidR="001F38E3" w:rsidRPr="001F38E3">
        <w:rPr>
          <w:i/>
          <w:iCs/>
        </w:rPr>
        <w:t>supra</w:t>
      </w:r>
      <w:r w:rsidR="001F38E3">
        <w:rPr>
          <w:i/>
          <w:iCs/>
        </w:rPr>
        <w:t xml:space="preserve"> </w:t>
      </w:r>
      <w:r w:rsidR="001F38E3">
        <w:t xml:space="preserve">note </w:t>
      </w:r>
      <w:r w:rsidR="001F38E3">
        <w:fldChar w:fldCharType="begin"/>
      </w:r>
      <w:r w:rsidR="001F38E3">
        <w:instrText xml:space="preserve"> NOTEREF _Ref184806241 \h </w:instrText>
      </w:r>
      <w:r w:rsidR="001F38E3">
        <w:fldChar w:fldCharType="separate"/>
      </w:r>
      <w:r w:rsidR="001F38E3">
        <w:t>27</w:t>
      </w:r>
      <w:r w:rsidR="001F38E3">
        <w:fldChar w:fldCharType="end"/>
      </w:r>
      <w:r w:rsidR="009F10CB">
        <w:t xml:space="preserve">, at </w:t>
      </w:r>
      <w:r w:rsidR="00001732" w:rsidRPr="009F10CB">
        <w:t>742</w:t>
      </w:r>
      <w:r w:rsidR="00001732">
        <w:t>–</w:t>
      </w:r>
      <w:r w:rsidR="001C62EB">
        <w:t>47 (noting that “children in the U.S. have been, and continue to be, active laborers, consumers, and political activists during what law and society now construct as their childhoods”)</w:t>
      </w:r>
      <w:r w:rsidR="00564EDC">
        <w:t xml:space="preserve">; </w:t>
      </w:r>
      <w:r w:rsidR="005816BE" w:rsidRPr="00786B41">
        <w:rPr>
          <w:smallCaps/>
        </w:rPr>
        <w:t xml:space="preserve">Barbara Bennett Woodhouse, Hidden in Plain Sight: </w:t>
      </w:r>
      <w:r w:rsidR="00E501D3" w:rsidRPr="00786B41">
        <w:rPr>
          <w:smallCaps/>
        </w:rPr>
        <w:t>The Tragedy of Children’s Rights from Ben Franklin to Lincoln Tate</w:t>
      </w:r>
      <w:r w:rsidR="00E501D3">
        <w:t xml:space="preserve"> </w:t>
      </w:r>
      <w:r w:rsidR="00564EDC">
        <w:t xml:space="preserve">6–7 </w:t>
      </w:r>
      <w:r w:rsidR="00E501D3">
        <w:t>(2008)</w:t>
      </w:r>
      <w:r w:rsidR="00564EDC">
        <w:t xml:space="preserve"> (“History has been purged of stories about children’s agency and voice that make adults uncomfortable. Adults do not like to advertise the pivotal role played in American history and culture by acts of youthful defiance.”).</w:t>
      </w:r>
    </w:p>
  </w:footnote>
  <w:footnote w:id="329">
    <w:p w14:paraId="364601B9" w14:textId="372FA6DB" w:rsidR="004E759A" w:rsidRPr="004E759A" w:rsidRDefault="004E759A">
      <w:pPr>
        <w:pStyle w:val="FootnoteText"/>
      </w:pPr>
      <w:r>
        <w:rPr>
          <w:rStyle w:val="FootnoteReference"/>
        </w:rPr>
        <w:footnoteRef/>
      </w:r>
      <w:r>
        <w:t xml:space="preserve"> </w:t>
      </w:r>
      <w:r>
        <w:rPr>
          <w:i/>
          <w:iCs/>
        </w:rPr>
        <w:t>See</w:t>
      </w:r>
      <w:r>
        <w:t xml:space="preserve"> </w:t>
      </w:r>
      <w:r w:rsidRPr="004868AD">
        <w:rPr>
          <w:smallCaps/>
        </w:rPr>
        <w:t xml:space="preserve">Thomas </w:t>
      </w:r>
      <w:r w:rsidR="00A12A6F" w:rsidRPr="004868AD">
        <w:rPr>
          <w:smallCaps/>
        </w:rPr>
        <w:t>S. Henricks, Play Reconsidered: Sociological Perspectives on Human Expression</w:t>
      </w:r>
      <w:r w:rsidR="00A12A6F">
        <w:t xml:space="preserve"> </w:t>
      </w:r>
      <w:r w:rsidR="004868AD">
        <w:t>14 (2008)</w:t>
      </w:r>
      <w:r w:rsidR="00B9743E">
        <w:t xml:space="preserve">; </w:t>
      </w:r>
      <w:r w:rsidR="002B12C1">
        <w:rPr>
          <w:i/>
          <w:iCs/>
        </w:rPr>
        <w:t>see also generally</w:t>
      </w:r>
      <w:r w:rsidR="002B12C1">
        <w:t xml:space="preserve"> </w:t>
      </w:r>
      <w:r w:rsidR="00456720" w:rsidRPr="00C371A7">
        <w:rPr>
          <w:smallCaps/>
        </w:rPr>
        <w:t xml:space="preserve">Adult Play: A </w:t>
      </w:r>
      <w:r w:rsidR="00C371A7" w:rsidRPr="00C371A7">
        <w:rPr>
          <w:smallCaps/>
        </w:rPr>
        <w:t>Reversal Theory Approach</w:t>
      </w:r>
      <w:r w:rsidR="00C371A7">
        <w:t xml:space="preserve"> (John H. Kerr &amp; Michael J. Apter, eds.) (1991) (surveying sports, sex, civil disobedience, </w:t>
      </w:r>
      <w:r w:rsidR="003350CD">
        <w:t>and other behaviors as forms of adult play)</w:t>
      </w:r>
      <w:r w:rsidR="004868AD">
        <w:t>.</w:t>
      </w:r>
    </w:p>
  </w:footnote>
  <w:footnote w:id="330">
    <w:p w14:paraId="19E2B20D" w14:textId="3D20DDC2" w:rsidR="00A632CD" w:rsidRPr="000C2C42" w:rsidRDefault="00A632CD">
      <w:pPr>
        <w:pStyle w:val="FootnoteText"/>
      </w:pPr>
      <w:r>
        <w:rPr>
          <w:rStyle w:val="FootnoteReference"/>
        </w:rPr>
        <w:footnoteRef/>
      </w:r>
      <w:r>
        <w:t xml:space="preserve"> </w:t>
      </w:r>
      <w:r>
        <w:rPr>
          <w:i/>
          <w:iCs/>
        </w:rPr>
        <w:t>See</w:t>
      </w:r>
      <w:r>
        <w:t xml:space="preserve"> </w:t>
      </w:r>
      <w:r w:rsidR="00E97263">
        <w:t xml:space="preserve">Sharon Stephens, </w:t>
      </w:r>
      <w:r w:rsidR="00E97263">
        <w:rPr>
          <w:i/>
          <w:iCs/>
        </w:rPr>
        <w:t>Introduction: Children and the Politics of Culture in “Late Capitalism</w:t>
      </w:r>
      <w:r w:rsidR="00E97263">
        <w:t>,</w:t>
      </w:r>
      <w:r w:rsidR="00E97263">
        <w:rPr>
          <w:i/>
          <w:iCs/>
        </w:rPr>
        <w:t>”</w:t>
      </w:r>
      <w:r w:rsidR="00E97263">
        <w:t xml:space="preserve"> </w:t>
      </w:r>
      <w:r w:rsidR="00673B05">
        <w:t xml:space="preserve">in </w:t>
      </w:r>
      <w:r w:rsidR="00673B05" w:rsidRPr="0065653A">
        <w:rPr>
          <w:smallCaps/>
        </w:rPr>
        <w:t>Children and the Politics of Culture</w:t>
      </w:r>
      <w:r w:rsidR="00673B05">
        <w:t xml:space="preserve"> (</w:t>
      </w:r>
      <w:r w:rsidR="0065653A">
        <w:t xml:space="preserve">Sharon Stephens, ed.) </w:t>
      </w:r>
      <w:r w:rsidR="00673B05">
        <w:t>3–48, 33 (1995)</w:t>
      </w:r>
      <w:r w:rsidR="0065653A">
        <w:t xml:space="preserve"> </w:t>
      </w:r>
      <w:r w:rsidR="000C2C42">
        <w:t xml:space="preserve">(describing “the notion of childhood as a domain of </w:t>
      </w:r>
      <w:r w:rsidR="000C2C42">
        <w:rPr>
          <w:i/>
          <w:iCs/>
        </w:rPr>
        <w:t>play</w:t>
      </w:r>
      <w:r w:rsidR="000C2C42">
        <w:t>” (emphasis original))</w:t>
      </w:r>
      <w:r w:rsidR="00AE21C5">
        <w:t xml:space="preserve">; Erica S. Weisgram </w:t>
      </w:r>
      <w:r w:rsidR="007D1D8B">
        <w:t xml:space="preserve">et al., </w:t>
      </w:r>
      <w:r w:rsidR="007D1D8B">
        <w:rPr>
          <w:i/>
          <w:iCs/>
        </w:rPr>
        <w:t xml:space="preserve">Pink Gives Girls Permission: Exploring the Roles of Explicit Gender Labels and Gender-Typed Colors on </w:t>
      </w:r>
      <w:r w:rsidR="00BA0F9B">
        <w:rPr>
          <w:i/>
          <w:iCs/>
        </w:rPr>
        <w:t>Preschool Children’s Toy Preferences</w:t>
      </w:r>
      <w:r w:rsidR="00BA0F9B">
        <w:t xml:space="preserve">, 35 </w:t>
      </w:r>
      <w:r w:rsidR="00BA0F9B" w:rsidRPr="00057233">
        <w:rPr>
          <w:smallCaps/>
        </w:rPr>
        <w:t xml:space="preserve">J. </w:t>
      </w:r>
      <w:r w:rsidR="00057233" w:rsidRPr="00057233">
        <w:rPr>
          <w:smallCaps/>
        </w:rPr>
        <w:t>Applied Dev. Psych.</w:t>
      </w:r>
      <w:r w:rsidR="00057233">
        <w:t xml:space="preserve"> 401, 401 (2014) (noting that “toy play is a fundamental aspect of young children’s daily experience”)</w:t>
      </w:r>
      <w:r w:rsidR="000C2C42">
        <w:t>.</w:t>
      </w:r>
    </w:p>
  </w:footnote>
  <w:footnote w:id="331">
    <w:p w14:paraId="6E794A91" w14:textId="32E7EE11" w:rsidR="00723725" w:rsidRPr="00723725" w:rsidRDefault="00723725">
      <w:pPr>
        <w:pStyle w:val="FootnoteText"/>
      </w:pPr>
      <w:r>
        <w:rPr>
          <w:rStyle w:val="FootnoteReference"/>
        </w:rPr>
        <w:footnoteRef/>
      </w:r>
      <w:r>
        <w:t xml:space="preserve"> </w:t>
      </w:r>
      <w:r>
        <w:rPr>
          <w:i/>
          <w:iCs/>
        </w:rPr>
        <w:t>See</w:t>
      </w:r>
      <w:r>
        <w:t xml:space="preserve"> </w:t>
      </w:r>
      <w:r w:rsidR="00CB75FB">
        <w:t xml:space="preserve">U.N. Convention on the Rights of the Child, </w:t>
      </w:r>
      <w:r w:rsidR="00D741F0">
        <w:t xml:space="preserve">G.A. Res. 44/25, art. </w:t>
      </w:r>
      <w:r w:rsidR="00FA3B9E">
        <w:t>3</w:t>
      </w:r>
      <w:r w:rsidR="00D741F0">
        <w:t>1, U.N. Doc.  A/RES/44/25</w:t>
      </w:r>
      <w:r w:rsidR="00FA3B9E">
        <w:t xml:space="preserve"> (Nov. 20, 1989) [hereinafter “UNCRC”],</w:t>
      </w:r>
      <w:r w:rsidR="00987C43">
        <w:tab/>
      </w:r>
      <w:r w:rsidR="00FA3B9E">
        <w:t xml:space="preserve"> </w:t>
      </w:r>
      <w:r w:rsidR="00FA3B9E" w:rsidRPr="00987C43">
        <w:t>https://www.ohchr.org/sites/default/files/crc.pdf</w:t>
      </w:r>
      <w:r w:rsidR="00FA3B9E">
        <w:t xml:space="preserve"> [</w:t>
      </w:r>
      <w:r w:rsidR="00987C43" w:rsidRPr="00987C43">
        <w:t>https://perma.cc/GV6U-HQZP</w:t>
      </w:r>
      <w:r w:rsidR="00987C43">
        <w:t>] (“State parties recognize the right o</w:t>
      </w:r>
      <w:r w:rsidR="005857CB">
        <w:t>f the child to rest in leisure, to engage in play and recreational activities appropriate to the age of the child”)</w:t>
      </w:r>
      <w:r w:rsidR="008A117B">
        <w:t xml:space="preserve">; </w:t>
      </w:r>
      <w:r w:rsidR="008A117B" w:rsidRPr="003C7AFC">
        <w:rPr>
          <w:smallCaps/>
        </w:rPr>
        <w:t xml:space="preserve">Int’l Play </w:t>
      </w:r>
      <w:proofErr w:type="spellStart"/>
      <w:r w:rsidR="004322EF" w:rsidRPr="003C7AFC">
        <w:rPr>
          <w:smallCaps/>
        </w:rPr>
        <w:t>Ass’n</w:t>
      </w:r>
      <w:proofErr w:type="spellEnd"/>
      <w:r w:rsidR="004322EF" w:rsidRPr="003C7AFC">
        <w:rPr>
          <w:smallCaps/>
        </w:rPr>
        <w:t>, Declaration on the Importance of Play</w:t>
      </w:r>
      <w:r w:rsidR="004322EF">
        <w:t xml:space="preserve"> (2014)</w:t>
      </w:r>
      <w:r w:rsidR="00F30381">
        <w:t xml:space="preserve"> [hereinafter “IPA Decl.”</w:t>
      </w:r>
      <w:r w:rsidR="00023451">
        <w:t>]</w:t>
      </w:r>
      <w:r w:rsidR="004322EF">
        <w:t>,</w:t>
      </w:r>
      <w:r w:rsidR="003C7AFC">
        <w:tab/>
      </w:r>
      <w:r w:rsidR="004322EF">
        <w:t xml:space="preserve"> </w:t>
      </w:r>
      <w:r w:rsidR="004322EF" w:rsidRPr="00977FD9">
        <w:t>http://ipaworld.org/wp-content/uploads/2015/05/IPA_Declaration-FINAL.pdf</w:t>
      </w:r>
      <w:r w:rsidR="004322EF">
        <w:t xml:space="preserve"> [</w:t>
      </w:r>
      <w:r w:rsidR="00977FD9" w:rsidRPr="00977FD9">
        <w:t>https://perma.cc/9QT7-W3JA</w:t>
      </w:r>
      <w:r w:rsidR="00977FD9">
        <w:t>]</w:t>
      </w:r>
      <w:r w:rsidR="005857CB">
        <w:t>.</w:t>
      </w:r>
    </w:p>
  </w:footnote>
  <w:footnote w:id="332">
    <w:p w14:paraId="305B5A78" w14:textId="4B95662B" w:rsidR="00B65158" w:rsidRPr="00B65158" w:rsidRDefault="00B65158">
      <w:pPr>
        <w:pStyle w:val="FootnoteText"/>
      </w:pPr>
      <w:r>
        <w:rPr>
          <w:rStyle w:val="FootnoteReference"/>
        </w:rPr>
        <w:footnoteRef/>
      </w:r>
      <w:r>
        <w:t xml:space="preserve"> </w:t>
      </w:r>
      <w:r>
        <w:rPr>
          <w:i/>
          <w:iCs/>
        </w:rPr>
        <w:t>See, e.g.</w:t>
      </w:r>
      <w:r>
        <w:t xml:space="preserve">, Roberta </w:t>
      </w:r>
      <w:proofErr w:type="spellStart"/>
      <w:r>
        <w:t>Michnick</w:t>
      </w:r>
      <w:proofErr w:type="spellEnd"/>
      <w:r>
        <w:t xml:space="preserve"> </w:t>
      </w:r>
      <w:proofErr w:type="spellStart"/>
      <w:r>
        <w:t>Gol</w:t>
      </w:r>
      <w:r w:rsidR="006257F2">
        <w:t>inkoff</w:t>
      </w:r>
      <w:proofErr w:type="spellEnd"/>
      <w:r w:rsidR="006257F2">
        <w:t xml:space="preserve"> et al., </w:t>
      </w:r>
      <w:r w:rsidR="001A1C88" w:rsidRPr="001A1C88">
        <w:rPr>
          <w:i/>
          <w:iCs/>
        </w:rPr>
        <w:t>Why Play = Learning: A Challenge for Parents and Educators</w:t>
      </w:r>
      <w:r w:rsidR="001A1C88">
        <w:t xml:space="preserve">, in </w:t>
      </w:r>
      <w:r w:rsidR="00696FFE" w:rsidRPr="00E530B5">
        <w:rPr>
          <w:smallCaps/>
        </w:rPr>
        <w:t>Play = Learning: How Play Motivates and Enhances Children’s Cognitive and Social-Emotional Growth</w:t>
      </w:r>
      <w:r w:rsidR="00696FFE">
        <w:t xml:space="preserve"> (Dorothy G. Singer et al., eds.) </w:t>
      </w:r>
      <w:r w:rsidR="0015482B">
        <w:t>3–12, 7–10 (2006)</w:t>
      </w:r>
      <w:r w:rsidR="00EB1E4C">
        <w:t xml:space="preserve"> </w:t>
      </w:r>
      <w:r w:rsidR="005E407D">
        <w:t>(</w:t>
      </w:r>
      <w:r w:rsidR="00523088">
        <w:t>cataloging</w:t>
      </w:r>
      <w:r w:rsidR="005E407D">
        <w:t xml:space="preserve"> research demonstrating importance of play </w:t>
      </w:r>
      <w:r w:rsidR="00523088">
        <w:t>to children’s emotional wellbeing</w:t>
      </w:r>
      <w:r w:rsidR="00C10CEF">
        <w:t>)</w:t>
      </w:r>
      <w:r w:rsidR="00E530B5">
        <w:t>.</w:t>
      </w:r>
      <w:r w:rsidR="00C10CEF">
        <w:t xml:space="preserve"> </w:t>
      </w:r>
      <w:r w:rsidR="001B122E">
        <w:rPr>
          <w:i/>
          <w:iCs/>
        </w:rPr>
        <w:t>But see id.</w:t>
      </w:r>
      <w:r w:rsidR="001B122E">
        <w:t xml:space="preserve"> at 3–6 (</w:t>
      </w:r>
      <w:r w:rsidR="00113029">
        <w:t xml:space="preserve">decrying </w:t>
      </w:r>
      <w:r w:rsidR="00A84381">
        <w:t>increasing</w:t>
      </w:r>
      <w:r w:rsidR="00113029">
        <w:t xml:space="preserve"> emphasis on structured, “educational” activities</w:t>
      </w:r>
      <w:r w:rsidR="00B557C2">
        <w:t xml:space="preserve"> at the expense of play in children’s lives)</w:t>
      </w:r>
      <w:r w:rsidR="0015338F">
        <w:t xml:space="preserve">; Stephens, </w:t>
      </w:r>
      <w:r w:rsidR="0015338F">
        <w:rPr>
          <w:i/>
          <w:iCs/>
        </w:rPr>
        <w:t xml:space="preserve">supra </w:t>
      </w:r>
      <w:r w:rsidR="0015338F">
        <w:t xml:space="preserve">note </w:t>
      </w:r>
      <w:r w:rsidR="0015338F">
        <w:fldChar w:fldCharType="begin"/>
      </w:r>
      <w:r w:rsidR="0015338F">
        <w:instrText xml:space="preserve"> NOTEREF _Ref184639544 \h </w:instrText>
      </w:r>
      <w:r w:rsidR="0015338F">
        <w:fldChar w:fldCharType="separate"/>
      </w:r>
      <w:r w:rsidR="0015338F">
        <w:t>311</w:t>
      </w:r>
      <w:r w:rsidR="0015338F">
        <w:fldChar w:fldCharType="end"/>
      </w:r>
      <w:r w:rsidR="0015338F">
        <w:t>, at 33 (noting “contemporary laments about the loss of quality of play in children’s lives”)</w:t>
      </w:r>
      <w:r w:rsidR="00B557C2">
        <w:t>.</w:t>
      </w:r>
      <w:r w:rsidR="001A1C88">
        <w:t xml:space="preserve"> </w:t>
      </w:r>
    </w:p>
  </w:footnote>
  <w:footnote w:id="333">
    <w:p w14:paraId="0D571220" w14:textId="77777777" w:rsidR="001E386B" w:rsidRDefault="005F6F89" w:rsidP="00B917ED">
      <w:pPr>
        <w:pStyle w:val="FootnoteText"/>
      </w:pPr>
      <w:r>
        <w:rPr>
          <w:rStyle w:val="FootnoteReference"/>
        </w:rPr>
        <w:footnoteRef/>
      </w:r>
      <w:r>
        <w:t xml:space="preserve"> </w:t>
      </w:r>
      <w:r w:rsidR="00477D97">
        <w:t>Developmental psychologist and play theorist Brian Sutton-Smith calls this “the ambiguity of play.”</w:t>
      </w:r>
      <w:r w:rsidR="006F35CC">
        <w:t xml:space="preserve"> </w:t>
      </w:r>
      <w:r w:rsidR="006F35CC">
        <w:rPr>
          <w:i/>
          <w:iCs/>
        </w:rPr>
        <w:t>See</w:t>
      </w:r>
      <w:r w:rsidR="006F35CC">
        <w:t xml:space="preserve"> </w:t>
      </w:r>
      <w:r w:rsidR="006F35CC" w:rsidRPr="008738B7">
        <w:rPr>
          <w:smallCaps/>
        </w:rPr>
        <w:t>Brian Sutton-Smith, The Ambiguity of Play</w:t>
      </w:r>
      <w:r w:rsidR="008738B7">
        <w:t xml:space="preserve"> 1</w:t>
      </w:r>
      <w:r w:rsidR="006F35CC">
        <w:t xml:space="preserve"> (1997)</w:t>
      </w:r>
      <w:r w:rsidR="008738B7">
        <w:t xml:space="preserve">; </w:t>
      </w:r>
      <w:r w:rsidR="00E4480B">
        <w:t xml:space="preserve">Brian Sutton-Smith, </w:t>
      </w:r>
      <w:r w:rsidR="00E4480B">
        <w:rPr>
          <w:i/>
          <w:iCs/>
        </w:rPr>
        <w:t xml:space="preserve">Play Theory: A </w:t>
      </w:r>
      <w:r w:rsidR="00CE2B75">
        <w:rPr>
          <w:i/>
          <w:iCs/>
        </w:rPr>
        <w:t>Personal Journey and New Thoughts</w:t>
      </w:r>
      <w:r w:rsidR="00CE2B75">
        <w:t xml:space="preserve">, </w:t>
      </w:r>
      <w:r w:rsidR="00A910FD">
        <w:t xml:space="preserve">1 </w:t>
      </w:r>
      <w:r w:rsidR="00A910FD" w:rsidRPr="00274FA7">
        <w:rPr>
          <w:smallCaps/>
        </w:rPr>
        <w:t>Am. J. Play</w:t>
      </w:r>
      <w:r w:rsidR="00A910FD">
        <w:t xml:space="preserve"> 80</w:t>
      </w:r>
      <w:r w:rsidR="00A900A5">
        <w:t>, 112 (2008) (</w:t>
      </w:r>
      <w:r w:rsidR="00B917ED">
        <w:t xml:space="preserve">“My argument [in </w:t>
      </w:r>
      <w:r w:rsidR="00B917ED">
        <w:rPr>
          <w:i/>
          <w:iCs/>
        </w:rPr>
        <w:t>The Ambiguity of Play</w:t>
      </w:r>
      <w:r w:rsidR="00B917ED">
        <w:t>] held that play was ambiguous, and the evidence for that ambiguity lay in these quite different scholarly ways of viewing play. Further, over the years it became clear to me that much of play was by itself—in its very nature, we might say—intentionally ambiguous”).</w:t>
      </w:r>
      <w:r w:rsidR="00175855">
        <w:t xml:space="preserve"> </w:t>
      </w:r>
    </w:p>
    <w:p w14:paraId="44B03996" w14:textId="20D1026F" w:rsidR="005F6F89" w:rsidRPr="005E68FA" w:rsidRDefault="00175855" w:rsidP="001E386B">
      <w:pPr>
        <w:pStyle w:val="FootnoteText"/>
        <w:ind w:firstLine="630"/>
      </w:pPr>
      <w:r>
        <w:t xml:space="preserve">Indeed, </w:t>
      </w:r>
      <w:r w:rsidR="00ED54B3">
        <w:t>the point</w:t>
      </w:r>
      <w:r w:rsidR="00ED54B3">
        <w:rPr>
          <w:i/>
          <w:iCs/>
        </w:rPr>
        <w:t>less</w:t>
      </w:r>
      <w:r w:rsidR="00ED54B3">
        <w:t>ness of play may be an essential component of its definition.</w:t>
      </w:r>
      <w:r w:rsidR="005E68FA">
        <w:t xml:space="preserve"> </w:t>
      </w:r>
      <w:r w:rsidR="005E68FA">
        <w:rPr>
          <w:i/>
          <w:iCs/>
        </w:rPr>
        <w:t>See, e.g.</w:t>
      </w:r>
      <w:r w:rsidR="005E68FA">
        <w:t xml:space="preserve">, </w:t>
      </w:r>
      <w:proofErr w:type="spellStart"/>
      <w:r w:rsidR="005E68FA">
        <w:t>Serenella</w:t>
      </w:r>
      <w:proofErr w:type="spellEnd"/>
      <w:r w:rsidR="005E68FA">
        <w:t xml:space="preserve"> Besio, </w:t>
      </w:r>
      <w:r w:rsidR="005E68FA">
        <w:rPr>
          <w:i/>
          <w:iCs/>
        </w:rPr>
        <w:t>The Need for Play for the Sake of Play</w:t>
      </w:r>
      <w:r w:rsidR="005E68FA">
        <w:t xml:space="preserve">, </w:t>
      </w:r>
      <w:r w:rsidR="0032292E">
        <w:t xml:space="preserve">in </w:t>
      </w:r>
      <w:r w:rsidR="00986AE4" w:rsidRPr="006864D8">
        <w:rPr>
          <w:smallCaps/>
        </w:rPr>
        <w:t>Play Development in Children with Disabilities</w:t>
      </w:r>
      <w:r w:rsidR="00986AE4">
        <w:t xml:space="preserve"> (</w:t>
      </w:r>
      <w:proofErr w:type="spellStart"/>
      <w:r w:rsidR="00986AE4">
        <w:t>Serenella</w:t>
      </w:r>
      <w:proofErr w:type="spellEnd"/>
      <w:r w:rsidR="00986AE4">
        <w:t xml:space="preserve"> Besio et al., eds.) 9–</w:t>
      </w:r>
      <w:r w:rsidR="0004218D">
        <w:t xml:space="preserve">52, </w:t>
      </w:r>
      <w:r w:rsidR="00BE069B">
        <w:t>14 (</w:t>
      </w:r>
      <w:r w:rsidR="006864D8">
        <w:t>2017).</w:t>
      </w:r>
    </w:p>
  </w:footnote>
  <w:footnote w:id="334">
    <w:p w14:paraId="3AB12D7E" w14:textId="72FC8CCA" w:rsidR="00320BD4" w:rsidRPr="00320BD4" w:rsidRDefault="00320BD4">
      <w:pPr>
        <w:pStyle w:val="FootnoteText"/>
      </w:pPr>
      <w:r>
        <w:rPr>
          <w:rStyle w:val="FootnoteReference"/>
        </w:rPr>
        <w:footnoteRef/>
      </w:r>
      <w:r>
        <w:t xml:space="preserve"> </w:t>
      </w:r>
      <w:r>
        <w:rPr>
          <w:i/>
          <w:iCs/>
        </w:rPr>
        <w:t>See</w:t>
      </w:r>
      <w:r>
        <w:t xml:space="preserve"> Thomas S. Henricks, </w:t>
      </w:r>
      <w:r w:rsidRPr="005520DB">
        <w:rPr>
          <w:i/>
          <w:iCs/>
        </w:rPr>
        <w:t xml:space="preserve">Play as Self-Realization: </w:t>
      </w:r>
      <w:r w:rsidR="00A37A0F" w:rsidRPr="005520DB">
        <w:rPr>
          <w:i/>
          <w:iCs/>
        </w:rPr>
        <w:t>Toward a General Theory of Play</w:t>
      </w:r>
      <w:r w:rsidR="00A37A0F">
        <w:t xml:space="preserve">, 6 </w:t>
      </w:r>
      <w:r w:rsidR="00A37A0F" w:rsidRPr="005520DB">
        <w:rPr>
          <w:smallCaps/>
        </w:rPr>
        <w:t>Am. J. Play</w:t>
      </w:r>
      <w:r w:rsidR="00A37A0F">
        <w:t xml:space="preserve"> 190, </w:t>
      </w:r>
      <w:r w:rsidR="00B65161">
        <w:t xml:space="preserve">197, </w:t>
      </w:r>
      <w:r w:rsidR="00A37A0F">
        <w:t>203 (20</w:t>
      </w:r>
      <w:r w:rsidR="005520DB">
        <w:t>13).</w:t>
      </w:r>
    </w:p>
  </w:footnote>
  <w:footnote w:id="335">
    <w:p w14:paraId="6D73D9E0" w14:textId="77777777" w:rsidR="00683E4C" w:rsidRDefault="008F692E">
      <w:pPr>
        <w:pStyle w:val="FootnoteText"/>
      </w:pPr>
      <w:r>
        <w:rPr>
          <w:rStyle w:val="FootnoteReference"/>
        </w:rPr>
        <w:footnoteRef/>
      </w:r>
      <w:r>
        <w:t xml:space="preserve"> </w:t>
      </w:r>
      <w:r>
        <w:rPr>
          <w:i/>
          <w:iCs/>
        </w:rPr>
        <w:t>Id.</w:t>
      </w:r>
      <w:r>
        <w:t xml:space="preserve"> at 203.</w:t>
      </w:r>
      <w:r w:rsidR="00920991">
        <w:t xml:space="preserve"> </w:t>
      </w:r>
    </w:p>
    <w:p w14:paraId="083F9DA5" w14:textId="5CA19D4A" w:rsidR="008F692E" w:rsidRPr="00651D2E" w:rsidRDefault="00920991" w:rsidP="00683E4C">
      <w:pPr>
        <w:pStyle w:val="FootnoteText"/>
        <w:ind w:firstLine="630"/>
      </w:pPr>
      <w:r>
        <w:t xml:space="preserve">Humans </w:t>
      </w:r>
      <w:r w:rsidR="0068104E">
        <w:t xml:space="preserve">engage in emotion-monitoring during all activities, </w:t>
      </w:r>
      <w:r w:rsidR="0070440B">
        <w:t>not</w:t>
      </w:r>
      <w:r w:rsidR="0068104E">
        <w:t xml:space="preserve"> just play. But </w:t>
      </w:r>
      <w:r w:rsidR="00F220B7">
        <w:t xml:space="preserve">positive emotions are </w:t>
      </w:r>
      <w:r w:rsidR="00651D2E">
        <w:t xml:space="preserve">the primary intended result of play in a way that distinguishes it from other activities. </w:t>
      </w:r>
      <w:r w:rsidR="00651D2E">
        <w:rPr>
          <w:i/>
          <w:iCs/>
        </w:rPr>
        <w:t>See id.</w:t>
      </w:r>
      <w:r w:rsidR="00651D2E">
        <w:t xml:space="preserve"> at 197. (“People seek out the distinctive encounters we call play with the anticipation that they will be rewarded with a succession of positive emotions</w:t>
      </w:r>
      <w:r w:rsidR="00683E4C">
        <w:t>.”</w:t>
      </w:r>
      <w:r w:rsidR="008F17A6">
        <w:t>)</w:t>
      </w:r>
      <w:r w:rsidR="002560FC">
        <w:t>.</w:t>
      </w:r>
    </w:p>
  </w:footnote>
  <w:footnote w:id="336">
    <w:p w14:paraId="3CD009CC" w14:textId="67887DEF" w:rsidR="003A59F0" w:rsidRPr="00C17085" w:rsidRDefault="00F12C6B" w:rsidP="006D721D">
      <w:pPr>
        <w:pStyle w:val="FootnoteText"/>
      </w:pPr>
      <w:r>
        <w:rPr>
          <w:rStyle w:val="FootnoteReference"/>
        </w:rPr>
        <w:footnoteRef/>
      </w:r>
      <w:r>
        <w:t xml:space="preserve"> </w:t>
      </w:r>
      <w:r w:rsidR="00C17085">
        <w:rPr>
          <w:i/>
          <w:iCs/>
        </w:rPr>
        <w:t>See i</w:t>
      </w:r>
      <w:r>
        <w:rPr>
          <w:i/>
          <w:iCs/>
        </w:rPr>
        <w:t>d.</w:t>
      </w:r>
      <w:r>
        <w:t xml:space="preserve"> </w:t>
      </w:r>
      <w:r w:rsidR="003B4750">
        <w:t>(“[C]</w:t>
      </w:r>
      <w:proofErr w:type="spellStart"/>
      <w:r w:rsidR="003B4750">
        <w:t>reatures</w:t>
      </w:r>
      <w:proofErr w:type="spellEnd"/>
      <w:r w:rsidR="003B4750">
        <w:t xml:space="preserve"> who play seek to acquaint themselves with the</w:t>
      </w:r>
      <w:r w:rsidR="000963DE">
        <w:t xml:space="preserve"> character of the world in which they operate and to evaluate the personal standings they can achieve within that world.”)</w:t>
      </w:r>
      <w:r w:rsidR="00305F8C">
        <w:t>.</w:t>
      </w:r>
    </w:p>
  </w:footnote>
  <w:footnote w:id="337">
    <w:p w14:paraId="3DAB23F4" w14:textId="77777777" w:rsidR="00AD565E" w:rsidRPr="00BE7CF3" w:rsidRDefault="00AD565E" w:rsidP="00AD565E">
      <w:pPr>
        <w:pStyle w:val="FootnoteText"/>
      </w:pPr>
      <w:r>
        <w:rPr>
          <w:rStyle w:val="FootnoteReference"/>
        </w:rPr>
        <w:footnoteRef/>
      </w:r>
      <w:r>
        <w:t xml:space="preserve"> </w:t>
      </w:r>
      <w:r>
        <w:rPr>
          <w:i/>
          <w:iCs/>
        </w:rPr>
        <w:t xml:space="preserve">See </w:t>
      </w:r>
      <w:r w:rsidRPr="008C58C5">
        <w:rPr>
          <w:smallCaps/>
        </w:rPr>
        <w:t>Kondo</w:t>
      </w:r>
      <w:r>
        <w:t xml:space="preserve">, </w:t>
      </w:r>
      <w:r>
        <w:rPr>
          <w:i/>
          <w:iCs/>
        </w:rPr>
        <w:t>supra</w:t>
      </w:r>
      <w:r>
        <w:t xml:space="preserve"> note </w:t>
      </w:r>
      <w:r>
        <w:fldChar w:fldCharType="begin"/>
      </w:r>
      <w:r>
        <w:instrText xml:space="preserve"> NOTEREF _Ref184644716 \h </w:instrText>
      </w:r>
      <w:r>
        <w:fldChar w:fldCharType="separate"/>
      </w:r>
      <w:r>
        <w:t>2</w:t>
      </w:r>
      <w:r>
        <w:fldChar w:fldCharType="end"/>
      </w:r>
      <w:r>
        <w:t>, at 39–42.</w:t>
      </w:r>
    </w:p>
  </w:footnote>
  <w:footnote w:id="338">
    <w:p w14:paraId="0437454E" w14:textId="02304068" w:rsidR="00E078AA" w:rsidRDefault="00E078AA">
      <w:pPr>
        <w:pStyle w:val="FootnoteText"/>
      </w:pPr>
      <w:r>
        <w:rPr>
          <w:rStyle w:val="FootnoteReference"/>
        </w:rPr>
        <w:footnoteRef/>
      </w:r>
      <w:r>
        <w:t xml:space="preserve"> This understanding of play is consistent with, but is by no means dependent upon, the classical liberal ideal of the independent, autonomous self. Whether the individual is discovering the pre-existing preferences of a gestalt self or experiencing spontaneous positive affect as a fleeting personal preference (or something between these extremes), an individual’s subjective response to a play experience will differ from those of others and thus </w:t>
      </w:r>
      <w:r w:rsidR="00462473">
        <w:t xml:space="preserve">will </w:t>
      </w:r>
      <w:r>
        <w:t xml:space="preserve">facilitate self-realization. </w:t>
      </w:r>
      <w:r>
        <w:rPr>
          <w:i/>
          <w:iCs/>
        </w:rPr>
        <w:t xml:space="preserve">See </w:t>
      </w:r>
      <w:r>
        <w:t xml:space="preserve">Henricks, </w:t>
      </w:r>
      <w:r>
        <w:rPr>
          <w:i/>
          <w:iCs/>
        </w:rPr>
        <w:t xml:space="preserve">supra </w:t>
      </w:r>
      <w:r>
        <w:t xml:space="preserve">note </w:t>
      </w:r>
      <w:r>
        <w:fldChar w:fldCharType="begin"/>
      </w:r>
      <w:r>
        <w:instrText xml:space="preserve"> NOTEREF _Ref184645027 \h </w:instrText>
      </w:r>
      <w:r>
        <w:fldChar w:fldCharType="separate"/>
      </w:r>
      <w:r>
        <w:t>315</w:t>
      </w:r>
      <w:r>
        <w:fldChar w:fldCharType="end"/>
      </w:r>
      <w:r>
        <w:t>, at 200–01 (discussing various conceptions of the self in relation to play).</w:t>
      </w:r>
    </w:p>
  </w:footnote>
  <w:footnote w:id="339">
    <w:p w14:paraId="12FD5FBE" w14:textId="48A01C5A" w:rsidR="00824D66" w:rsidRPr="003C4D7D" w:rsidRDefault="007C5B60">
      <w:pPr>
        <w:pStyle w:val="FootnoteText"/>
      </w:pPr>
      <w:r>
        <w:rPr>
          <w:rStyle w:val="FootnoteReference"/>
        </w:rPr>
        <w:footnoteRef/>
      </w:r>
      <w:r w:rsidR="004A1D88">
        <w:t xml:space="preserve"> </w:t>
      </w:r>
      <w:r w:rsidR="00824D66">
        <w:rPr>
          <w:i/>
          <w:iCs/>
        </w:rPr>
        <w:t>See, e.g.</w:t>
      </w:r>
      <w:r w:rsidR="00824D66">
        <w:t xml:space="preserve">, </w:t>
      </w:r>
      <w:r w:rsidR="003C4D7D">
        <w:t xml:space="preserve">Stephanie Watson, </w:t>
      </w:r>
      <w:r w:rsidR="003C4D7D">
        <w:rPr>
          <w:i/>
          <w:iCs/>
        </w:rPr>
        <w:t>Dopamine: The Pathway to Pleasure</w:t>
      </w:r>
      <w:r w:rsidR="000B2E7E">
        <w:t>,</w:t>
      </w:r>
      <w:r w:rsidR="003C4D7D">
        <w:t xml:space="preserve"> (</w:t>
      </w:r>
      <w:r w:rsidR="00377D71">
        <w:t>Harv. Health Pub</w:t>
      </w:r>
      <w:r w:rsidR="000B2E7E">
        <w:t>l’g Apr. 18, 2024)</w:t>
      </w:r>
      <w:r w:rsidR="00377D71">
        <w:t xml:space="preserve"> </w:t>
      </w:r>
      <w:hyperlink r:id="rId27" w:history="1">
        <w:r w:rsidR="002566FE" w:rsidRPr="000D5669">
          <w:rPr>
            <w:rStyle w:val="Hyperlink"/>
          </w:rPr>
          <w:t>https://www.health.harvard.edu/mind-and-mood/dopamine-the-pathway-to-pleasure</w:t>
        </w:r>
      </w:hyperlink>
      <w:r w:rsidR="002566FE">
        <w:t xml:space="preserve"> [</w:t>
      </w:r>
      <w:r w:rsidR="002566FE" w:rsidRPr="002566FE">
        <w:t>https://perma.cc/NQA8-BQXD</w:t>
      </w:r>
      <w:r w:rsidR="002566FE">
        <w:t>].</w:t>
      </w:r>
    </w:p>
    <w:p w14:paraId="1C088F76" w14:textId="622DD2D0" w:rsidR="007C5B60" w:rsidRPr="00FE123F" w:rsidRDefault="00824D66" w:rsidP="00824D66">
      <w:pPr>
        <w:pStyle w:val="FootnoteText"/>
        <w:ind w:firstLine="630"/>
      </w:pPr>
      <w:r>
        <w:t>That said,</w:t>
      </w:r>
      <w:r w:rsidR="004A1D88">
        <w:t xml:space="preserve"> fun is </w:t>
      </w:r>
      <w:r w:rsidR="001F03B8">
        <w:t>undoubtedly among play’s most important characteristics.</w:t>
      </w:r>
      <w:r w:rsidR="007C5B60">
        <w:t xml:space="preserve"> </w:t>
      </w:r>
      <w:r w:rsidR="007C5B60">
        <w:rPr>
          <w:i/>
          <w:iCs/>
        </w:rPr>
        <w:t>See</w:t>
      </w:r>
      <w:r w:rsidR="007C5B60">
        <w:t xml:space="preserve"> Besio, </w:t>
      </w:r>
      <w:r w:rsidR="007C5B60">
        <w:rPr>
          <w:i/>
          <w:iCs/>
        </w:rPr>
        <w:t>supra</w:t>
      </w:r>
      <w:r w:rsidR="007C5B60">
        <w:t xml:space="preserve"> note </w:t>
      </w:r>
      <w:r w:rsidR="00203957">
        <w:fldChar w:fldCharType="begin"/>
      </w:r>
      <w:r w:rsidR="00203957">
        <w:instrText xml:space="preserve"> NOTEREF _Ref184644256 \h </w:instrText>
      </w:r>
      <w:r w:rsidR="00203957">
        <w:fldChar w:fldCharType="separate"/>
      </w:r>
      <w:r w:rsidR="00203957">
        <w:t>314</w:t>
      </w:r>
      <w:r w:rsidR="00203957">
        <w:fldChar w:fldCharType="end"/>
      </w:r>
      <w:r w:rsidR="00203957">
        <w:t>, at 13.</w:t>
      </w:r>
      <w:r w:rsidR="00FE123F">
        <w:t xml:space="preserve"> </w:t>
      </w:r>
      <w:r w:rsidR="00FE123F">
        <w:rPr>
          <w:i/>
          <w:iCs/>
        </w:rPr>
        <w:t>Cf.</w:t>
      </w:r>
      <w:r w:rsidR="00FE123F">
        <w:t xml:space="preserve"> </w:t>
      </w:r>
      <w:r w:rsidR="00FE123F">
        <w:rPr>
          <w:i/>
          <w:iCs/>
        </w:rPr>
        <w:t>supra</w:t>
      </w:r>
      <w:r w:rsidR="00FE123F">
        <w:t xml:space="preserve"> note </w:t>
      </w:r>
      <w:r w:rsidR="00FE123F">
        <w:fldChar w:fldCharType="begin"/>
      </w:r>
      <w:r w:rsidR="00FE123F">
        <w:instrText xml:space="preserve"> NOTEREF _Ref174632393 \h </w:instrText>
      </w:r>
      <w:r w:rsidR="00FE123F">
        <w:fldChar w:fldCharType="separate"/>
      </w:r>
      <w:r w:rsidR="00FE123F">
        <w:t>88</w:t>
      </w:r>
      <w:r w:rsidR="00FE123F">
        <w:fldChar w:fldCharType="end"/>
      </w:r>
      <w:r w:rsidR="00FE123F">
        <w:t xml:space="preserve"> and accompanying text</w:t>
      </w:r>
      <w:r w:rsidR="00163604">
        <w:t xml:space="preserve"> (discussing modern definitions of “happiness” as “ephemeral positive feelings”)</w:t>
      </w:r>
      <w:r w:rsidR="00FE123F">
        <w:t>.</w:t>
      </w:r>
    </w:p>
  </w:footnote>
  <w:footnote w:id="340">
    <w:p w14:paraId="40FB9313" w14:textId="3EB25B1D" w:rsidR="009D540F" w:rsidRPr="009D540F" w:rsidRDefault="009D540F">
      <w:pPr>
        <w:pStyle w:val="FootnoteText"/>
      </w:pPr>
      <w:r>
        <w:rPr>
          <w:rStyle w:val="FootnoteReference"/>
        </w:rPr>
        <w:footnoteRef/>
      </w:r>
      <w:r>
        <w:t xml:space="preserve"> </w:t>
      </w:r>
      <w:r>
        <w:rPr>
          <w:i/>
          <w:iCs/>
        </w:rPr>
        <w:t>See supra</w:t>
      </w:r>
      <w:r>
        <w:t xml:space="preserve"> notes</w:t>
      </w:r>
      <w:r w:rsidR="00267701">
        <w:t xml:space="preserve"> </w:t>
      </w:r>
      <w:r w:rsidR="00751E46">
        <w:fldChar w:fldCharType="begin"/>
      </w:r>
      <w:r w:rsidR="00751E46">
        <w:instrText xml:space="preserve"> NOTEREF _Ref174629283 \h </w:instrText>
      </w:r>
      <w:r w:rsidR="00751E46">
        <w:fldChar w:fldCharType="separate"/>
      </w:r>
      <w:r w:rsidR="00751E46">
        <w:t>87</w:t>
      </w:r>
      <w:r w:rsidR="00751E46">
        <w:fldChar w:fldCharType="end"/>
      </w:r>
      <w:r w:rsidR="00751E46">
        <w:t>–</w:t>
      </w:r>
      <w:r w:rsidR="00751E46">
        <w:fldChar w:fldCharType="begin"/>
      </w:r>
      <w:r w:rsidR="00751E46">
        <w:instrText xml:space="preserve"> NOTEREF _Ref184649142 \h </w:instrText>
      </w:r>
      <w:r w:rsidR="00751E46">
        <w:fldChar w:fldCharType="separate"/>
      </w:r>
      <w:r w:rsidR="00751E46">
        <w:t>90</w:t>
      </w:r>
      <w:r w:rsidR="00751E46">
        <w:fldChar w:fldCharType="end"/>
      </w:r>
      <w:r w:rsidR="00751E46">
        <w:t xml:space="preserve"> and accompanying text.</w:t>
      </w:r>
    </w:p>
  </w:footnote>
  <w:footnote w:id="341">
    <w:p w14:paraId="796C6CC3" w14:textId="17869B4F" w:rsidR="003542B9" w:rsidRDefault="003542B9">
      <w:pPr>
        <w:pStyle w:val="FootnoteText"/>
      </w:pPr>
      <w:r>
        <w:rPr>
          <w:rStyle w:val="FootnoteReference"/>
        </w:rPr>
        <w:footnoteRef/>
      </w:r>
      <w:r>
        <w:t xml:space="preserve"> </w:t>
      </w:r>
      <w:r>
        <w:rPr>
          <w:i/>
          <w:iCs/>
        </w:rPr>
        <w:t>See supra</w:t>
      </w:r>
      <w:r>
        <w:t xml:space="preserve"> notes </w:t>
      </w:r>
      <w:r>
        <w:fldChar w:fldCharType="begin"/>
      </w:r>
      <w:r>
        <w:instrText xml:space="preserve"> NOTEREF _Ref184645430 \h </w:instrText>
      </w:r>
      <w:r>
        <w:fldChar w:fldCharType="separate"/>
      </w:r>
      <w:r>
        <w:t>79</w:t>
      </w:r>
      <w:r>
        <w:fldChar w:fldCharType="end"/>
      </w:r>
      <w:r>
        <w:t>–</w:t>
      </w:r>
      <w:r>
        <w:fldChar w:fldCharType="begin"/>
      </w:r>
      <w:r>
        <w:instrText xml:space="preserve"> NOTEREF _Ref183442091 \h </w:instrText>
      </w:r>
      <w:r>
        <w:fldChar w:fldCharType="separate"/>
      </w:r>
      <w:r>
        <w:t>80</w:t>
      </w:r>
      <w:r>
        <w:fldChar w:fldCharType="end"/>
      </w:r>
      <w:r>
        <w:t xml:space="preserve">, </w:t>
      </w:r>
      <w:r>
        <w:fldChar w:fldCharType="begin"/>
      </w:r>
      <w:r>
        <w:instrText xml:space="preserve"> NOTEREF _Ref175048567 \h </w:instrText>
      </w:r>
      <w:r>
        <w:fldChar w:fldCharType="separate"/>
      </w:r>
      <w:r>
        <w:t>91</w:t>
      </w:r>
      <w:r>
        <w:fldChar w:fldCharType="end"/>
      </w:r>
      <w:r>
        <w:t xml:space="preserve"> and accompanying text.</w:t>
      </w:r>
    </w:p>
  </w:footnote>
  <w:footnote w:id="342">
    <w:p w14:paraId="5230FE13" w14:textId="3FF38307" w:rsidR="00D93A40" w:rsidRPr="00D93A40" w:rsidRDefault="00D93A40">
      <w:pPr>
        <w:pStyle w:val="FootnoteText"/>
      </w:pPr>
      <w:r>
        <w:rPr>
          <w:rStyle w:val="FootnoteReference"/>
        </w:rPr>
        <w:footnoteRef/>
      </w:r>
      <w:r>
        <w:t xml:space="preserve"> </w:t>
      </w:r>
      <w:r>
        <w:rPr>
          <w:i/>
          <w:iCs/>
        </w:rPr>
        <w:t>See supra</w:t>
      </w:r>
      <w:r>
        <w:t xml:space="preserve"> notes </w:t>
      </w:r>
      <w:r w:rsidR="00E15AD2">
        <w:fldChar w:fldCharType="begin"/>
      </w:r>
      <w:r w:rsidR="00E15AD2">
        <w:instrText xml:space="preserve"> NOTEREF _Ref184650569 \h </w:instrText>
      </w:r>
      <w:r w:rsidR="00E15AD2">
        <w:fldChar w:fldCharType="separate"/>
      </w:r>
      <w:r w:rsidR="00E15AD2">
        <w:t>81</w:t>
      </w:r>
      <w:r w:rsidR="00E15AD2">
        <w:fldChar w:fldCharType="end"/>
      </w:r>
      <w:r w:rsidR="00E15AD2">
        <w:t>–</w:t>
      </w:r>
      <w:r w:rsidR="00E15AD2">
        <w:fldChar w:fldCharType="begin"/>
      </w:r>
      <w:r w:rsidR="00E15AD2">
        <w:instrText xml:space="preserve"> NOTEREF _Ref184650571 \h </w:instrText>
      </w:r>
      <w:r w:rsidR="00E15AD2">
        <w:fldChar w:fldCharType="separate"/>
      </w:r>
      <w:r w:rsidR="00E15AD2">
        <w:t>82</w:t>
      </w:r>
      <w:r w:rsidR="00E15AD2">
        <w:fldChar w:fldCharType="end"/>
      </w:r>
      <w:r w:rsidR="00E15AD2">
        <w:t xml:space="preserve"> and accompanying text.</w:t>
      </w:r>
    </w:p>
  </w:footnote>
  <w:footnote w:id="343">
    <w:p w14:paraId="7E9B5FD4" w14:textId="2A21FE1E" w:rsidR="00C06F71" w:rsidRDefault="00C06F71">
      <w:pPr>
        <w:pStyle w:val="FootnoteText"/>
      </w:pPr>
      <w:r>
        <w:rPr>
          <w:rStyle w:val="FootnoteReference"/>
        </w:rPr>
        <w:footnoteRef/>
      </w:r>
      <w:r>
        <w:t xml:space="preserve"> [</w:t>
      </w:r>
      <w:r w:rsidRPr="00C06F71">
        <w:rPr>
          <w:highlight w:val="yellow"/>
        </w:rPr>
        <w:t>Source on infant play</w:t>
      </w:r>
      <w:r>
        <w:t>]</w:t>
      </w:r>
    </w:p>
  </w:footnote>
  <w:footnote w:id="344">
    <w:p w14:paraId="5807B686" w14:textId="5DBEB025" w:rsidR="000362ED" w:rsidRPr="000362ED" w:rsidRDefault="000362ED">
      <w:pPr>
        <w:pStyle w:val="FootnoteText"/>
      </w:pPr>
      <w:r>
        <w:rPr>
          <w:rStyle w:val="FootnoteReference"/>
        </w:rPr>
        <w:footnoteRef/>
      </w:r>
      <w:r>
        <w:t xml:space="preserve"> </w:t>
      </w:r>
      <w:r>
        <w:rPr>
          <w:i/>
          <w:iCs/>
        </w:rPr>
        <w:t xml:space="preserve">See </w:t>
      </w:r>
      <w:proofErr w:type="gramStart"/>
      <w:r>
        <w:rPr>
          <w:i/>
          <w:iCs/>
        </w:rPr>
        <w:t>infra</w:t>
      </w:r>
      <w:r>
        <w:t xml:space="preserve"> Part III</w:t>
      </w:r>
      <w:proofErr w:type="gramEnd"/>
      <w:r>
        <w:t>.B.</w:t>
      </w:r>
    </w:p>
  </w:footnote>
  <w:footnote w:id="345">
    <w:p w14:paraId="6C550EF2" w14:textId="3E45D7AE" w:rsidR="00911CA1" w:rsidRPr="00F2154C" w:rsidRDefault="00911CA1">
      <w:pPr>
        <w:pStyle w:val="FootnoteText"/>
      </w:pPr>
      <w:r>
        <w:rPr>
          <w:rStyle w:val="FootnoteReference"/>
        </w:rPr>
        <w:footnoteRef/>
      </w:r>
      <w:r>
        <w:t xml:space="preserve"> </w:t>
      </w:r>
      <w:r w:rsidR="00F2154C">
        <w:rPr>
          <w:i/>
          <w:iCs/>
        </w:rPr>
        <w:t>See</w:t>
      </w:r>
      <w:r w:rsidR="00F2154C">
        <w:t xml:space="preserve"> Planned Parenthood of Cent. </w:t>
      </w:r>
      <w:r w:rsidR="0000165D">
        <w:t xml:space="preserve">Mo. v. Danforth, </w:t>
      </w:r>
      <w:r w:rsidR="00B018AB">
        <w:t>428 U.S. 52, 74–75 (collecting cases</w:t>
      </w:r>
      <w:r w:rsidR="00D1423C">
        <w:t xml:space="preserve"> to support the proposition that “[m]</w:t>
      </w:r>
      <w:proofErr w:type="spellStart"/>
      <w:r w:rsidR="00D1423C" w:rsidRPr="00D1423C">
        <w:t>inors</w:t>
      </w:r>
      <w:proofErr w:type="spellEnd"/>
      <w:r w:rsidR="00D1423C" w:rsidRPr="00D1423C">
        <w:t>, as well as adults, are protected by the Constitution and possess constitutional rights</w:t>
      </w:r>
      <w:r w:rsidR="00D1423C">
        <w:t>”</w:t>
      </w:r>
      <w:r w:rsidR="00B018AB">
        <w:t>).</w:t>
      </w:r>
    </w:p>
  </w:footnote>
  <w:footnote w:id="346">
    <w:p w14:paraId="7DA31DA4" w14:textId="65D19A28" w:rsidR="001E0853" w:rsidRDefault="001E0853">
      <w:pPr>
        <w:pStyle w:val="FootnoteText"/>
      </w:pPr>
      <w:r>
        <w:rPr>
          <w:rStyle w:val="FootnoteReference"/>
        </w:rPr>
        <w:footnoteRef/>
      </w:r>
      <w:r>
        <w:t xml:space="preserve"> </w:t>
      </w:r>
      <w:r w:rsidR="00A8234A">
        <w:rPr>
          <w:i/>
          <w:iCs/>
        </w:rPr>
        <w:t>See, e.g.</w:t>
      </w:r>
      <w:r w:rsidR="00A8234A">
        <w:t xml:space="preserve">, </w:t>
      </w:r>
      <w:r>
        <w:t>Tinker</w:t>
      </w:r>
      <w:r w:rsidR="00A8234A">
        <w:t xml:space="preserve"> v. Des Moines </w:t>
      </w:r>
      <w:r w:rsidR="009425B5">
        <w:t xml:space="preserve">Ind. </w:t>
      </w:r>
      <w:proofErr w:type="spellStart"/>
      <w:r w:rsidR="009425B5">
        <w:t>Cmty</w:t>
      </w:r>
      <w:proofErr w:type="spellEnd"/>
      <w:r w:rsidR="009425B5">
        <w:t xml:space="preserve">. Sch. Dist., 393 U.S. 503, </w:t>
      </w:r>
      <w:r w:rsidR="003C6882">
        <w:t>509 (1969) (holding that children</w:t>
      </w:r>
      <w:r w:rsidR="0052360C">
        <w:t xml:space="preserve">’s </w:t>
      </w:r>
      <w:r w:rsidR="003C6882">
        <w:t>right to engage in “pure speech” at school</w:t>
      </w:r>
      <w:r w:rsidR="0052360C">
        <w:t xml:space="preserve"> cannot be abridged </w:t>
      </w:r>
      <w:r w:rsidR="002F4854">
        <w:t xml:space="preserve">merely </w:t>
      </w:r>
      <w:r w:rsidR="0052360C">
        <w:t>“</w:t>
      </w:r>
      <w:r w:rsidR="002F4854" w:rsidRPr="002F4854">
        <w:t>to avoid the discomfort and unpleasantness that always accompany an unpopular viewpoint</w:t>
      </w:r>
      <w:r w:rsidR="002F4854">
        <w:t>”);</w:t>
      </w:r>
      <w:r w:rsidR="004F1BFC">
        <w:t xml:space="preserve"> W. Va. Bd. of Educ. v.</w:t>
      </w:r>
      <w:r>
        <w:t xml:space="preserve"> Barnette, </w:t>
      </w:r>
      <w:r w:rsidR="004F1BFC">
        <w:t xml:space="preserve">319 U.S. </w:t>
      </w:r>
      <w:r w:rsidR="007458D1">
        <w:t xml:space="preserve">624, </w:t>
      </w:r>
      <w:r w:rsidR="002525FA">
        <w:t>637–38</w:t>
      </w:r>
      <w:r w:rsidR="00D71BC4">
        <w:t>, 642</w:t>
      </w:r>
      <w:r w:rsidR="007458D1">
        <w:t xml:space="preserve"> (1943) </w:t>
      </w:r>
      <w:r w:rsidR="00D71BC4">
        <w:t xml:space="preserve">(holding that </w:t>
      </w:r>
      <w:r w:rsidR="008C5EE3">
        <w:t>children cannot be compelled to say the Pledge of Allegiance at school)</w:t>
      </w:r>
      <w:r w:rsidR="00230639">
        <w:t>.</w:t>
      </w:r>
    </w:p>
  </w:footnote>
  <w:footnote w:id="347">
    <w:p w14:paraId="0FBCF0F6" w14:textId="554F650C" w:rsidR="005B5D9B" w:rsidRPr="003035FA" w:rsidRDefault="00EB6815" w:rsidP="005B5D9B">
      <w:pPr>
        <w:pStyle w:val="FootnoteText"/>
      </w:pPr>
      <w:r>
        <w:rPr>
          <w:rStyle w:val="FootnoteReference"/>
        </w:rPr>
        <w:footnoteRef/>
      </w:r>
      <w:r>
        <w:t xml:space="preserve"> </w:t>
      </w:r>
      <w:r w:rsidR="00702B1F">
        <w:rPr>
          <w:i/>
          <w:iCs/>
        </w:rPr>
        <w:t>See especially</w:t>
      </w:r>
      <w:r w:rsidR="00702B1F">
        <w:t xml:space="preserve"> Parham v. J.R., 442 U.S. 584, 600–04, </w:t>
      </w:r>
      <w:r w:rsidR="00E30B88">
        <w:t xml:space="preserve">620–21 </w:t>
      </w:r>
      <w:r w:rsidR="001F2057">
        <w:t>(1979) (acknowledging that “</w:t>
      </w:r>
      <w:r w:rsidR="001F2057" w:rsidRPr="001F2057">
        <w:t>a child, in common with adults, has a substantial liberty interest in not being confined unnecessarily for medical treatment</w:t>
      </w:r>
      <w:r w:rsidR="001F2057">
        <w:t xml:space="preserve">” before holding that </w:t>
      </w:r>
      <w:r w:rsidR="00BC1B06">
        <w:t xml:space="preserve">no adversarial proceeding </w:t>
      </w:r>
      <w:r w:rsidR="0038017C">
        <w:t>is required for parents or the state to admit a child to a mental institution against the child’s wishes).</w:t>
      </w:r>
    </w:p>
  </w:footnote>
  <w:footnote w:id="348">
    <w:p w14:paraId="41637C80" w14:textId="6CA1D665" w:rsidR="00A53D42" w:rsidRDefault="00A53D42">
      <w:pPr>
        <w:pStyle w:val="FootnoteText"/>
      </w:pPr>
      <w:r>
        <w:rPr>
          <w:rStyle w:val="FootnoteReference"/>
        </w:rPr>
        <w:footnoteRef/>
      </w:r>
      <w:r>
        <w:t>443 U.S. 622, 651 (1979) (limiting states’ ability to restrict pregnant minors’ access to abortions, including by requiring parental consent or notification).</w:t>
      </w:r>
      <w:r w:rsidR="00D31017">
        <w:t xml:space="preserve"> </w:t>
      </w:r>
      <w:r>
        <w:t xml:space="preserve">The fate of the </w:t>
      </w:r>
      <w:r>
        <w:rPr>
          <w:i/>
          <w:iCs/>
        </w:rPr>
        <w:t>Bellotti</w:t>
      </w:r>
      <w:r>
        <w:t xml:space="preserve"> line is uncertain since the Court overturned the abortion right upon which it was based in </w:t>
      </w:r>
      <w:r>
        <w:rPr>
          <w:i/>
          <w:iCs/>
        </w:rPr>
        <w:t>Dobbs v. Jackson Whole Women’s Health</w:t>
      </w:r>
      <w:r>
        <w:t>, 597 U.S. 215, 231 (2022).</w:t>
      </w:r>
    </w:p>
  </w:footnote>
  <w:footnote w:id="349">
    <w:p w14:paraId="1BA6878A" w14:textId="7C706DF5" w:rsidR="00061F07" w:rsidRPr="003F5B1E" w:rsidRDefault="00061F07">
      <w:pPr>
        <w:pStyle w:val="FootnoteText"/>
      </w:pPr>
      <w:r>
        <w:rPr>
          <w:rStyle w:val="FootnoteReference"/>
        </w:rPr>
        <w:footnoteRef/>
      </w:r>
      <w:r>
        <w:t xml:space="preserve"> </w:t>
      </w:r>
      <w:r w:rsidR="003F5B1E">
        <w:rPr>
          <w:i/>
          <w:iCs/>
        </w:rPr>
        <w:t>E.g.</w:t>
      </w:r>
      <w:r w:rsidR="003F5B1E">
        <w:t xml:space="preserve">, </w:t>
      </w:r>
      <w:r w:rsidR="003F5B1E">
        <w:rPr>
          <w:i/>
          <w:iCs/>
        </w:rPr>
        <w:t>Tyranny</w:t>
      </w:r>
      <w:r w:rsidR="003F5B1E">
        <w:t xml:space="preserve">, </w:t>
      </w:r>
      <w:r w:rsidR="003F5B1E" w:rsidRPr="006076AB">
        <w:rPr>
          <w:smallCaps/>
        </w:rPr>
        <w:t>Dictionary.Cambridge.</w:t>
      </w:r>
      <w:r w:rsidR="006076AB" w:rsidRPr="006076AB">
        <w:rPr>
          <w:smallCaps/>
        </w:rPr>
        <w:t>org</w:t>
      </w:r>
      <w:r w:rsidR="006076AB">
        <w:t>,</w:t>
      </w:r>
      <w:r w:rsidR="006076AB">
        <w:tab/>
        <w:t xml:space="preserve"> </w:t>
      </w:r>
      <w:hyperlink r:id="rId28" w:history="1">
        <w:r w:rsidR="006076AB" w:rsidRPr="00D339EA">
          <w:rPr>
            <w:rStyle w:val="Hyperlink"/>
          </w:rPr>
          <w:t>https://dictionary.cambridge.org/us/dictionary/english/tyranny</w:t>
        </w:r>
      </w:hyperlink>
      <w:r w:rsidR="006076AB">
        <w:t xml:space="preserve"> [</w:t>
      </w:r>
      <w:r w:rsidR="002463D2" w:rsidRPr="002463D2">
        <w:t>https://perma.cc/82LX-45J3</w:t>
      </w:r>
      <w:r w:rsidR="00D80CE9">
        <w:t>].</w:t>
      </w:r>
    </w:p>
  </w:footnote>
  <w:footnote w:id="350">
    <w:p w14:paraId="73D4DE7C" w14:textId="7E930FF5" w:rsidR="002D2F91" w:rsidRPr="002D2F91" w:rsidRDefault="002D2F91">
      <w:pPr>
        <w:pStyle w:val="FootnoteText"/>
      </w:pPr>
      <w:r>
        <w:rPr>
          <w:rStyle w:val="FootnoteReference"/>
        </w:rPr>
        <w:footnoteRef/>
      </w:r>
      <w:r>
        <w:t xml:space="preserve"> </w:t>
      </w:r>
      <w:r>
        <w:rPr>
          <w:i/>
          <w:iCs/>
        </w:rPr>
        <w:t>See</w:t>
      </w:r>
      <w:r>
        <w:t xml:space="preserve"> Appell, </w:t>
      </w:r>
      <w:r>
        <w:rPr>
          <w:i/>
          <w:iCs/>
        </w:rPr>
        <w:t>supra</w:t>
      </w:r>
      <w:r>
        <w:t xml:space="preserve"> note </w:t>
      </w:r>
      <w:r>
        <w:fldChar w:fldCharType="begin"/>
      </w:r>
      <w:r>
        <w:instrText xml:space="preserve"> NOTEREF _Ref184806241 \h </w:instrText>
      </w:r>
      <w:r>
        <w:fldChar w:fldCharType="separate"/>
      </w:r>
      <w:r>
        <w:t>27</w:t>
      </w:r>
      <w:r>
        <w:fldChar w:fldCharType="end"/>
      </w:r>
      <w:r>
        <w:t xml:space="preserve">, at </w:t>
      </w:r>
      <w:r w:rsidR="001E1A7E">
        <w:t>716–17</w:t>
      </w:r>
      <w:r w:rsidR="00737229">
        <w:t xml:space="preserve">; Vivian E. Hamilton, </w:t>
      </w:r>
      <w:r w:rsidR="00737229">
        <w:rPr>
          <w:i/>
          <w:iCs/>
        </w:rPr>
        <w:t>Adulthood in Law and Culture</w:t>
      </w:r>
      <w:r w:rsidR="00737229">
        <w:t xml:space="preserve">, 91 </w:t>
      </w:r>
      <w:r w:rsidR="00737229" w:rsidRPr="00737229">
        <w:rPr>
          <w:smallCaps/>
        </w:rPr>
        <w:t>Tul. L. Rev.</w:t>
      </w:r>
      <w:r w:rsidR="00737229">
        <w:t xml:space="preserve"> 55, 61–62 (2016)</w:t>
      </w:r>
      <w:r w:rsidR="001E1A7E">
        <w:t>.</w:t>
      </w:r>
    </w:p>
  </w:footnote>
  <w:footnote w:id="351">
    <w:p w14:paraId="49238286" w14:textId="7AF44049" w:rsidR="001C619C" w:rsidRPr="00476255" w:rsidRDefault="001C619C">
      <w:pPr>
        <w:pStyle w:val="FootnoteText"/>
      </w:pPr>
      <w:r>
        <w:rPr>
          <w:rStyle w:val="FootnoteReference"/>
        </w:rPr>
        <w:footnoteRef/>
      </w:r>
      <w:r>
        <w:t xml:space="preserve"> </w:t>
      </w:r>
      <w:r w:rsidR="00385161">
        <w:t xml:space="preserve">Minor v. </w:t>
      </w:r>
      <w:proofErr w:type="spellStart"/>
      <w:r w:rsidR="00385161">
        <w:t>Happersett</w:t>
      </w:r>
      <w:proofErr w:type="spellEnd"/>
      <w:r w:rsidR="00385161">
        <w:t xml:space="preserve">, </w:t>
      </w:r>
      <w:r w:rsidR="00544F0A">
        <w:t xml:space="preserve">88 U.S. 162, </w:t>
      </w:r>
      <w:r w:rsidR="00141222">
        <w:t xml:space="preserve">177–78 (1875) (holding that </w:t>
      </w:r>
      <w:r w:rsidR="0020587E">
        <w:t>forbidding women from voting</w:t>
      </w:r>
      <w:r w:rsidR="00476255">
        <w:t xml:space="preserve"> does not violate the Fourteenth Amendment), </w:t>
      </w:r>
      <w:r w:rsidR="00476255">
        <w:rPr>
          <w:i/>
          <w:iCs/>
        </w:rPr>
        <w:t>superseded by</w:t>
      </w:r>
      <w:r w:rsidR="00476255">
        <w:t xml:space="preserve"> U.S. Const. Amend. XIX</w:t>
      </w:r>
      <w:r w:rsidR="00C92DCA">
        <w:t xml:space="preserve"> </w:t>
      </w:r>
      <w:r w:rsidR="00174832">
        <w:t xml:space="preserve">(1920) </w:t>
      </w:r>
      <w:r w:rsidR="00C92DCA">
        <w:t xml:space="preserve">(forbidding discrimination based on sex in granting the right to vote). </w:t>
      </w:r>
    </w:p>
  </w:footnote>
  <w:footnote w:id="352">
    <w:p w14:paraId="0519ACD0" w14:textId="5D8C2DDB" w:rsidR="001C619C" w:rsidRPr="006709C8" w:rsidRDefault="001C619C">
      <w:pPr>
        <w:pStyle w:val="FootnoteText"/>
      </w:pPr>
      <w:r>
        <w:rPr>
          <w:rStyle w:val="FootnoteReference"/>
        </w:rPr>
        <w:footnoteRef/>
      </w:r>
      <w:r>
        <w:t xml:space="preserve"> </w:t>
      </w:r>
      <w:r w:rsidR="00A21484">
        <w:t xml:space="preserve">Bradwell v. Illinois, 83 U.S. 130, </w:t>
      </w:r>
      <w:r w:rsidR="00C261BA">
        <w:t>138–39 (</w:t>
      </w:r>
      <w:r w:rsidR="00C23D9F">
        <w:t xml:space="preserve">1872) (holding that </w:t>
      </w:r>
      <w:r w:rsidR="0020587E">
        <w:t>forbidding women from practicing law does not violate the Fourteenth Amendment)</w:t>
      </w:r>
      <w:r w:rsidR="006709C8">
        <w:t xml:space="preserve">, </w:t>
      </w:r>
      <w:r w:rsidR="0038387B">
        <w:rPr>
          <w:i/>
          <w:iCs/>
        </w:rPr>
        <w:t>abrogated</w:t>
      </w:r>
      <w:r w:rsidR="006709C8">
        <w:rPr>
          <w:i/>
          <w:iCs/>
        </w:rPr>
        <w:t xml:space="preserve"> by</w:t>
      </w:r>
      <w:r w:rsidR="006709C8">
        <w:t xml:space="preserve"> </w:t>
      </w:r>
      <w:r w:rsidR="0038387B">
        <w:t xml:space="preserve">Reed v. Reed, 404 U.S. 71, </w:t>
      </w:r>
      <w:r w:rsidR="004D5367">
        <w:t xml:space="preserve">75–76 (1971) (holding that </w:t>
      </w:r>
      <w:r w:rsidR="0023745E">
        <w:t xml:space="preserve">sex-based </w:t>
      </w:r>
      <w:r w:rsidR="00873CC9">
        <w:t xml:space="preserve">classifications </w:t>
      </w:r>
      <w:r w:rsidR="004D5367">
        <w:t>implicate the Equal Protection Clause).</w:t>
      </w:r>
    </w:p>
  </w:footnote>
  <w:footnote w:id="353">
    <w:p w14:paraId="1537B4D8" w14:textId="4CCC9FD3" w:rsidR="001C619C" w:rsidRPr="00112E19" w:rsidRDefault="001C619C" w:rsidP="00D55F4B">
      <w:pPr>
        <w:pStyle w:val="FootnoteText"/>
      </w:pPr>
      <w:r>
        <w:rPr>
          <w:rStyle w:val="FootnoteReference"/>
        </w:rPr>
        <w:footnoteRef/>
      </w:r>
      <w:r>
        <w:t xml:space="preserve"> </w:t>
      </w:r>
      <w:r>
        <w:rPr>
          <w:i/>
          <w:iCs/>
        </w:rPr>
        <w:t>See</w:t>
      </w:r>
      <w:r w:rsidRPr="00112E19">
        <w:t xml:space="preserve"> </w:t>
      </w:r>
      <w:r>
        <w:t xml:space="preserve">Sayers, </w:t>
      </w:r>
      <w:r>
        <w:rPr>
          <w:i/>
          <w:iCs/>
        </w:rPr>
        <w:t>supra</w:t>
      </w:r>
      <w:r>
        <w:t xml:space="preserve"> note </w:t>
      </w:r>
      <w:r w:rsidR="00112E19">
        <w:fldChar w:fldCharType="begin"/>
      </w:r>
      <w:r w:rsidR="00112E19">
        <w:instrText xml:space="preserve"> NOTEREF _Ref184807671 \h </w:instrText>
      </w:r>
      <w:r w:rsidR="00112E19">
        <w:fldChar w:fldCharType="separate"/>
      </w:r>
      <w:r w:rsidR="00112E19">
        <w:t>52</w:t>
      </w:r>
      <w:r w:rsidR="00112E19">
        <w:fldChar w:fldCharType="end"/>
      </w:r>
      <w:r w:rsidR="00112E19">
        <w:t xml:space="preserve">, at </w:t>
      </w:r>
      <w:r w:rsidR="00F214FF">
        <w:t>168–71</w:t>
      </w:r>
      <w:r w:rsidR="00112E19">
        <w:t xml:space="preserve">; </w:t>
      </w:r>
      <w:r w:rsidR="00112E19" w:rsidRPr="00ED1240">
        <w:rPr>
          <w:smallCaps/>
        </w:rPr>
        <w:t>MacKinnon</w:t>
      </w:r>
      <w:r w:rsidR="00112E19">
        <w:t xml:space="preserve">, </w:t>
      </w:r>
      <w:r w:rsidR="00112E19">
        <w:rPr>
          <w:i/>
          <w:iCs/>
        </w:rPr>
        <w:t>supra</w:t>
      </w:r>
      <w:r w:rsidR="00112E19">
        <w:t xml:space="preserve"> note </w:t>
      </w:r>
      <w:r w:rsidR="00112E19">
        <w:fldChar w:fldCharType="begin"/>
      </w:r>
      <w:r w:rsidR="00112E19">
        <w:instrText xml:space="preserve"> NOTEREF _Ref185421893 \h </w:instrText>
      </w:r>
      <w:r w:rsidR="00112E19">
        <w:fldChar w:fldCharType="separate"/>
      </w:r>
      <w:r w:rsidR="00112E19">
        <w:t>17</w:t>
      </w:r>
      <w:r w:rsidR="00112E19">
        <w:fldChar w:fldCharType="end"/>
      </w:r>
      <w:r w:rsidR="00112E19">
        <w:t xml:space="preserve">, at </w:t>
      </w:r>
      <w:r w:rsidR="00251FFA">
        <w:t>40</w:t>
      </w:r>
      <w:r w:rsidR="00D55F4B">
        <w:t xml:space="preserve"> (“On the first day that matters, dominance was achieved, probably by force. By the second day, division along the same lines was firmly, if imperfectly, in place. On the third day if not sooner, differences were demarcated, together with social systems to exaggerate them in perception and in fact, </w:t>
      </w:r>
      <w:r w:rsidR="00D55F4B" w:rsidRPr="00D55F4B">
        <w:rPr>
          <w:i/>
          <w:iCs/>
        </w:rPr>
        <w:t>because</w:t>
      </w:r>
      <w:r w:rsidR="00D55F4B">
        <w:t xml:space="preserve"> the systematically differential delivery of benefits and deprivations required making no mistake about who is who. Comparatively speaking, man has been resting ever since</w:t>
      </w:r>
      <w:r w:rsidR="00112E19">
        <w:t>.</w:t>
      </w:r>
      <w:r w:rsidR="00D55F4B">
        <w:t>” (emphasis original)).</w:t>
      </w:r>
    </w:p>
  </w:footnote>
  <w:footnote w:id="354">
    <w:p w14:paraId="12D1293B" w14:textId="56F0F388" w:rsidR="009A5DFD" w:rsidRDefault="009A5DFD">
      <w:pPr>
        <w:pStyle w:val="FootnoteText"/>
      </w:pPr>
      <w:r>
        <w:rPr>
          <w:rStyle w:val="FootnoteReference"/>
        </w:rPr>
        <w:footnoteRef/>
      </w:r>
      <w:r>
        <w:t xml:space="preserve"> </w:t>
      </w:r>
      <w:r>
        <w:rPr>
          <w:i/>
          <w:iCs/>
        </w:rPr>
        <w:t>See</w:t>
      </w:r>
      <w:r>
        <w:t xml:space="preserve"> Scott v. </w:t>
      </w:r>
      <w:r w:rsidR="00CA6DBE">
        <w:t xml:space="preserve">Sandford, 60 U.S. 393, 407 (1857) (infamously noting that Black Americans “had not rights which the white man was bound to respect” under the U.S. Constitution), </w:t>
      </w:r>
      <w:r w:rsidR="00CA6DBE">
        <w:rPr>
          <w:i/>
          <w:iCs/>
        </w:rPr>
        <w:t>superseded by</w:t>
      </w:r>
      <w:r w:rsidR="00CA6DBE">
        <w:t xml:space="preserve"> U.S. </w:t>
      </w:r>
      <w:r w:rsidR="009368F8">
        <w:t>Amend. XIV</w:t>
      </w:r>
      <w:r w:rsidR="00174832">
        <w:t xml:space="preserve"> (1868)</w:t>
      </w:r>
      <w:r w:rsidR="00E21178">
        <w:t xml:space="preserve"> (granting U.S. citizenship to all people born on U.S. soil)</w:t>
      </w:r>
      <w:r w:rsidR="009368F8">
        <w:t>.</w:t>
      </w:r>
    </w:p>
    <w:p w14:paraId="1CD47879" w14:textId="41718AE6" w:rsidR="007227BF" w:rsidRPr="00E76362" w:rsidRDefault="007227BF" w:rsidP="007227BF">
      <w:pPr>
        <w:pStyle w:val="FootnoteText"/>
        <w:ind w:firstLine="720"/>
      </w:pPr>
      <w:r>
        <w:t xml:space="preserve">Like gender, </w:t>
      </w:r>
      <w:r>
        <w:rPr>
          <w:i/>
          <w:iCs/>
        </w:rPr>
        <w:t>see supra</w:t>
      </w:r>
      <w:r>
        <w:t xml:space="preserve"> notes </w:t>
      </w:r>
      <w:r w:rsidR="00513146">
        <w:fldChar w:fldCharType="begin"/>
      </w:r>
      <w:r w:rsidR="00513146">
        <w:instrText xml:space="preserve"> NOTEREF _Ref184288923 \h </w:instrText>
      </w:r>
      <w:r w:rsidR="00513146">
        <w:fldChar w:fldCharType="separate"/>
      </w:r>
      <w:r w:rsidR="00513146">
        <w:t>50</w:t>
      </w:r>
      <w:r w:rsidR="00513146">
        <w:fldChar w:fldCharType="end"/>
      </w:r>
      <w:r w:rsidR="00513146">
        <w:t>–</w:t>
      </w:r>
      <w:r w:rsidR="00513146">
        <w:fldChar w:fldCharType="begin"/>
      </w:r>
      <w:r w:rsidR="00513146">
        <w:instrText xml:space="preserve"> NOTEREF _Ref184807671 \h </w:instrText>
      </w:r>
      <w:r w:rsidR="00513146">
        <w:fldChar w:fldCharType="separate"/>
      </w:r>
      <w:r w:rsidR="00513146">
        <w:t>52</w:t>
      </w:r>
      <w:r w:rsidR="00513146">
        <w:fldChar w:fldCharType="end"/>
      </w:r>
      <w:r w:rsidR="00513146">
        <w:t xml:space="preserve"> and accompanying text, </w:t>
      </w:r>
      <w:r w:rsidR="00E76362">
        <w:t>race is a social construct</w:t>
      </w:r>
      <w:r w:rsidR="00726697">
        <w:t xml:space="preserve"> rather than a biological reality</w:t>
      </w:r>
      <w:r w:rsidR="00E76362">
        <w:t xml:space="preserve">. </w:t>
      </w:r>
      <w:r w:rsidR="00E76362">
        <w:rPr>
          <w:i/>
          <w:iCs/>
        </w:rPr>
        <w:t>See</w:t>
      </w:r>
      <w:r w:rsidR="006C4369">
        <w:t xml:space="preserve"> </w:t>
      </w:r>
      <w:r w:rsidR="00DC100F" w:rsidRPr="00B400E1">
        <w:rPr>
          <w:smallCaps/>
        </w:rPr>
        <w:t>Joseph Graves &amp; Alan Goodman, Racism, Not Race: Answers to Frequently Asked Questions</w:t>
      </w:r>
      <w:r w:rsidR="00DC100F">
        <w:t xml:space="preserve"> 57–58 (2022)</w:t>
      </w:r>
      <w:r w:rsidR="00E76362">
        <w:t xml:space="preserve"> </w:t>
      </w:r>
      <w:r w:rsidR="00DC100F">
        <w:t>(</w:t>
      </w:r>
      <w:r w:rsidR="00B400E1">
        <w:t>“</w:t>
      </w:r>
      <w:r w:rsidR="00B400E1" w:rsidRPr="00B400E1">
        <w:t xml:space="preserve">The social definitions of race utterly fail to describe the underlying biological variation found in human beings </w:t>
      </w:r>
      <w:proofErr w:type="gramStart"/>
      <w:r w:rsidR="00B400E1" w:rsidRPr="00B400E1">
        <w:t>. . . .</w:t>
      </w:r>
      <w:proofErr w:type="gramEnd"/>
      <w:r w:rsidR="00B400E1" w:rsidRPr="00B400E1">
        <w:t xml:space="preserve"> Variation is nonracial. It is almost always continuous, without clear breaks, and it is </w:t>
      </w:r>
      <w:proofErr w:type="spellStart"/>
      <w:r w:rsidR="00B400E1" w:rsidRPr="00B400E1">
        <w:t>nonconcordant</w:t>
      </w:r>
      <w:proofErr w:type="spellEnd"/>
      <w:r w:rsidR="00B400E1" w:rsidRPr="00B400E1">
        <w:t>. Finally, variation within a continent, social race, or local group is much greater than variation among them.</w:t>
      </w:r>
      <w:r w:rsidR="00B400E1">
        <w:t>”).</w:t>
      </w:r>
      <w:r w:rsidR="00F87424">
        <w:t xml:space="preserve"> </w:t>
      </w:r>
      <w:r w:rsidR="002C4E33">
        <w:t>Racis</w:t>
      </w:r>
      <w:r w:rsidR="00385513">
        <w:t xml:space="preserve">m, by contrast, </w:t>
      </w:r>
      <w:r w:rsidR="007E4D12">
        <w:t xml:space="preserve">“is systematic discrimination by a powerful individual or institution against individuals based on their perceived membership in a </w:t>
      </w:r>
      <w:r w:rsidR="000E7659">
        <w:t xml:space="preserve">socially defined racial group.” </w:t>
      </w:r>
      <w:r w:rsidR="000E7659">
        <w:rPr>
          <w:i/>
          <w:iCs/>
        </w:rPr>
        <w:t>Id.</w:t>
      </w:r>
      <w:r w:rsidR="000E7659">
        <w:t xml:space="preserve"> at 18.</w:t>
      </w:r>
      <w:r w:rsidR="005E64FB">
        <w:t xml:space="preserve"> </w:t>
      </w:r>
      <w:r w:rsidR="000E7659">
        <w:t>Thus,</w:t>
      </w:r>
      <w:r w:rsidR="00C81AD7">
        <w:t xml:space="preserve"> </w:t>
      </w:r>
      <w:r w:rsidR="00D80AB0">
        <w:t>“</w:t>
      </w:r>
      <w:r w:rsidR="00F56A9A" w:rsidRPr="002C4E33">
        <w:t>racism</w:t>
      </w:r>
      <w:r w:rsidR="00F56A9A">
        <w:t xml:space="preserve">, unlike race, is not a fiction, a superstition, or a hoax. It is a crime against humanity.” </w:t>
      </w:r>
      <w:r w:rsidR="001E7BA2" w:rsidRPr="001E7BA2">
        <w:rPr>
          <w:smallCaps/>
        </w:rPr>
        <w:t xml:space="preserve">Barbara Fields &amp; Karen Fields, </w:t>
      </w:r>
      <w:proofErr w:type="spellStart"/>
      <w:r w:rsidR="001E7BA2" w:rsidRPr="001E7BA2">
        <w:rPr>
          <w:smallCaps/>
        </w:rPr>
        <w:t>Racecraft</w:t>
      </w:r>
      <w:proofErr w:type="spellEnd"/>
      <w:r w:rsidR="001E7BA2" w:rsidRPr="001E7BA2">
        <w:rPr>
          <w:smallCaps/>
        </w:rPr>
        <w:t>: The Soul of Inequality in American Life</w:t>
      </w:r>
      <w:r w:rsidR="001E7BA2">
        <w:t xml:space="preserve"> 99–103 (2012).</w:t>
      </w:r>
    </w:p>
  </w:footnote>
  <w:footnote w:id="355">
    <w:p w14:paraId="10591932" w14:textId="2F43B838" w:rsidR="00337B3B" w:rsidRPr="00D968F0" w:rsidRDefault="00337B3B">
      <w:pPr>
        <w:pStyle w:val="FootnoteText"/>
      </w:pPr>
      <w:r>
        <w:rPr>
          <w:rStyle w:val="FootnoteReference"/>
        </w:rPr>
        <w:footnoteRef/>
      </w:r>
      <w:r>
        <w:t xml:space="preserve"> </w:t>
      </w:r>
      <w:r>
        <w:rPr>
          <w:i/>
          <w:iCs/>
        </w:rPr>
        <w:t>See</w:t>
      </w:r>
      <w:r>
        <w:t xml:space="preserve"> Melissa Murray</w:t>
      </w:r>
      <w:r w:rsidR="00952A47">
        <w:t xml:space="preserve">, </w:t>
      </w:r>
      <w:r w:rsidR="00952A47">
        <w:rPr>
          <w:i/>
          <w:iCs/>
        </w:rPr>
        <w:t>Stare Decisis and Remedy</w:t>
      </w:r>
      <w:r w:rsidR="00952A47">
        <w:t xml:space="preserve">, 73 </w:t>
      </w:r>
      <w:r w:rsidR="00952A47" w:rsidRPr="00D968F0">
        <w:rPr>
          <w:smallCaps/>
        </w:rPr>
        <w:t>Duke L.J.</w:t>
      </w:r>
      <w:r w:rsidR="00952A47">
        <w:t xml:space="preserve"> 1500, </w:t>
      </w:r>
      <w:r w:rsidR="00DE5EA5">
        <w:t>1520–22 (</w:t>
      </w:r>
      <w:r w:rsidR="00D968F0">
        <w:t xml:space="preserve">2024); Appell, </w:t>
      </w:r>
      <w:r w:rsidR="00D968F0">
        <w:rPr>
          <w:i/>
          <w:iCs/>
        </w:rPr>
        <w:t>supra</w:t>
      </w:r>
      <w:r w:rsidR="00D968F0">
        <w:t xml:space="preserve"> note </w:t>
      </w:r>
      <w:r w:rsidR="00D968F0">
        <w:fldChar w:fldCharType="begin"/>
      </w:r>
      <w:r w:rsidR="00D968F0">
        <w:instrText xml:space="preserve"> NOTEREF _Ref184806241 \h </w:instrText>
      </w:r>
      <w:r w:rsidR="00D968F0">
        <w:fldChar w:fldCharType="separate"/>
      </w:r>
      <w:r w:rsidR="00D968F0">
        <w:t>27</w:t>
      </w:r>
      <w:r w:rsidR="00D968F0">
        <w:fldChar w:fldCharType="end"/>
      </w:r>
      <w:r w:rsidR="00D968F0">
        <w:t xml:space="preserve">, at </w:t>
      </w:r>
      <w:r w:rsidR="00D01C0F">
        <w:t>716–17.</w:t>
      </w:r>
    </w:p>
  </w:footnote>
  <w:footnote w:id="356">
    <w:p w14:paraId="7505B6A2" w14:textId="2569F821" w:rsidR="002C6509" w:rsidRPr="00941795" w:rsidRDefault="004B0CCC" w:rsidP="00FC5B5C">
      <w:pPr>
        <w:pStyle w:val="FootnoteText"/>
      </w:pPr>
      <w:r>
        <w:rPr>
          <w:rStyle w:val="FootnoteReference"/>
        </w:rPr>
        <w:footnoteRef/>
      </w:r>
      <w:r>
        <w:t xml:space="preserve"> </w:t>
      </w:r>
      <w:r>
        <w:rPr>
          <w:i/>
          <w:iCs/>
        </w:rPr>
        <w:t>E.g.</w:t>
      </w:r>
      <w:r>
        <w:t>, Stu</w:t>
      </w:r>
      <w:r w:rsidR="001F58E8">
        <w:t xml:space="preserve">dents for Fair Admissions, Inc. v. Harvard Coll., 600 U.S. 181, </w:t>
      </w:r>
      <w:r w:rsidR="005F2B8A">
        <w:t>206–208 (2023)</w:t>
      </w:r>
      <w:r w:rsidR="00FC5B5C">
        <w:t xml:space="preserve"> (hereinafter “</w:t>
      </w:r>
      <w:r w:rsidR="00FC5B5C">
        <w:rPr>
          <w:i/>
          <w:iCs/>
        </w:rPr>
        <w:t>SFFA</w:t>
      </w:r>
      <w:r w:rsidR="00FC5B5C">
        <w:t>”)</w:t>
      </w:r>
      <w:r w:rsidR="005F2B8A">
        <w:t xml:space="preserve">. </w:t>
      </w:r>
      <w:r w:rsidR="00FC5B5C">
        <w:t xml:space="preserve">I have </w:t>
      </w:r>
      <w:r w:rsidR="008C4836">
        <w:t xml:space="preserve">elsewhere </w:t>
      </w:r>
      <w:r w:rsidR="00FC5B5C">
        <w:t xml:space="preserve">criticized the Court’s myopic focus on </w:t>
      </w:r>
      <w:r w:rsidR="00D00CA7">
        <w:t xml:space="preserve">racial classification </w:t>
      </w:r>
      <w:r w:rsidR="00941795">
        <w:t xml:space="preserve">rather than racial subordination </w:t>
      </w:r>
      <w:r w:rsidR="00D00CA7">
        <w:t xml:space="preserve">as the core equal protection injury. </w:t>
      </w:r>
      <w:r w:rsidR="00D00CA7">
        <w:rPr>
          <w:i/>
          <w:iCs/>
        </w:rPr>
        <w:t>See</w:t>
      </w:r>
      <w:r w:rsidR="00D00CA7">
        <w:t xml:space="preserve"> Clemons, </w:t>
      </w:r>
      <w:r w:rsidR="00D00CA7">
        <w:rPr>
          <w:i/>
          <w:iCs/>
        </w:rPr>
        <w:t>supra</w:t>
      </w:r>
      <w:r w:rsidR="00D00CA7">
        <w:t xml:space="preserve"> note </w:t>
      </w:r>
      <w:r w:rsidR="00D741B5">
        <w:fldChar w:fldCharType="begin"/>
      </w:r>
      <w:r w:rsidR="00D741B5">
        <w:instrText xml:space="preserve"> NOTEREF _Ref178849787 \h </w:instrText>
      </w:r>
      <w:r w:rsidR="00D741B5">
        <w:fldChar w:fldCharType="separate"/>
      </w:r>
      <w:r w:rsidR="00D741B5">
        <w:t>76</w:t>
      </w:r>
      <w:r w:rsidR="00D741B5">
        <w:fldChar w:fldCharType="end"/>
      </w:r>
      <w:r w:rsidR="00D741B5">
        <w:t xml:space="preserve">, at </w:t>
      </w:r>
      <w:r w:rsidR="009E286D">
        <w:t>1133–</w:t>
      </w:r>
      <w:r w:rsidR="00456894">
        <w:t xml:space="preserve">40. </w:t>
      </w:r>
      <w:r w:rsidR="0015240F">
        <w:t xml:space="preserve">My </w:t>
      </w:r>
      <w:r w:rsidR="002F081B">
        <w:t>critique</w:t>
      </w:r>
      <w:r w:rsidR="0015240F">
        <w:t xml:space="preserve"> of the legal category of childhood </w:t>
      </w:r>
      <w:r w:rsidR="002F081B">
        <w:t>in this Part</w:t>
      </w:r>
      <w:r w:rsidR="0015240F">
        <w:t xml:space="preserve"> </w:t>
      </w:r>
      <w:r w:rsidR="00D11FAA">
        <w:t>is consistent with that criticism</w:t>
      </w:r>
      <w:r w:rsidR="00941795">
        <w:t xml:space="preserve">; my ultimate point here is that </w:t>
      </w:r>
      <w:r w:rsidR="00A83083">
        <w:t>the classification of childhood facilitates</w:t>
      </w:r>
      <w:r w:rsidR="00941795">
        <w:t xml:space="preserve"> the subordination of children.</w:t>
      </w:r>
      <w:r w:rsidR="00D11FAA">
        <w:t xml:space="preserve"> </w:t>
      </w:r>
      <w:r w:rsidR="00941795">
        <w:rPr>
          <w:i/>
          <w:iCs/>
        </w:rPr>
        <w:t>See id.</w:t>
      </w:r>
      <w:r w:rsidR="00941795">
        <w:t xml:space="preserve"> </w:t>
      </w:r>
      <w:r w:rsidR="00502B04">
        <w:t xml:space="preserve">at 1139 n.100; </w:t>
      </w:r>
      <w:r w:rsidR="00C02596">
        <w:t>11</w:t>
      </w:r>
      <w:r w:rsidR="006F4F89">
        <w:t>46.</w:t>
      </w:r>
    </w:p>
  </w:footnote>
  <w:footnote w:id="357">
    <w:p w14:paraId="0596A441" w14:textId="156213B5" w:rsidR="003F0EEF" w:rsidRPr="003F0EEF" w:rsidRDefault="003F0EEF">
      <w:pPr>
        <w:pStyle w:val="FootnoteText"/>
      </w:pPr>
      <w:r>
        <w:rPr>
          <w:rStyle w:val="FootnoteReference"/>
        </w:rPr>
        <w:footnoteRef/>
      </w:r>
      <w:r>
        <w:t xml:space="preserve"> Appell, </w:t>
      </w:r>
      <w:r>
        <w:rPr>
          <w:i/>
          <w:iCs/>
        </w:rPr>
        <w:t>supra</w:t>
      </w:r>
      <w:r>
        <w:t xml:space="preserve"> note </w:t>
      </w:r>
      <w:r>
        <w:fldChar w:fldCharType="begin"/>
      </w:r>
      <w:r>
        <w:instrText xml:space="preserve"> NOTEREF _Ref184806241 \h </w:instrText>
      </w:r>
      <w:r>
        <w:fldChar w:fldCharType="separate"/>
      </w:r>
      <w:r>
        <w:t>27</w:t>
      </w:r>
      <w:r>
        <w:fldChar w:fldCharType="end"/>
      </w:r>
      <w:r>
        <w:t>, at 716–19</w:t>
      </w:r>
      <w:r w:rsidR="0094160C">
        <w:t xml:space="preserve">; </w:t>
      </w:r>
      <w:r w:rsidR="00582486">
        <w:t xml:space="preserve">Emily Buss, </w:t>
      </w:r>
      <w:r w:rsidR="00582486">
        <w:rPr>
          <w:i/>
          <w:iCs/>
        </w:rPr>
        <w:t>Allocating Developmental Control Among Parent, Child, and State</w:t>
      </w:r>
      <w:r w:rsidR="00582486">
        <w:t xml:space="preserve">, </w:t>
      </w:r>
      <w:r w:rsidR="007A7F1F">
        <w:t xml:space="preserve">2004 </w:t>
      </w:r>
      <w:r w:rsidR="007A7F1F" w:rsidRPr="007A7F1F">
        <w:rPr>
          <w:smallCaps/>
        </w:rPr>
        <w:t>U. Chi. Legal F.</w:t>
      </w:r>
      <w:r w:rsidR="007A7F1F">
        <w:t xml:space="preserve"> 27, 29 (“The competition for developmental control of a child is classically framed as a competition between parent and state.”)</w:t>
      </w:r>
      <w:r w:rsidR="00C00A31">
        <w:t>.</w:t>
      </w:r>
      <w:r w:rsidR="007719C2">
        <w:t xml:space="preserve"> </w:t>
      </w:r>
    </w:p>
  </w:footnote>
  <w:footnote w:id="358">
    <w:p w14:paraId="2129D2CF" w14:textId="66858D77" w:rsidR="004E28CF" w:rsidRPr="004E28CF" w:rsidRDefault="004E28CF">
      <w:pPr>
        <w:pStyle w:val="FootnoteText"/>
      </w:pPr>
      <w:r>
        <w:rPr>
          <w:rStyle w:val="FootnoteReference"/>
        </w:rPr>
        <w:footnoteRef/>
      </w:r>
      <w:r>
        <w:t xml:space="preserve"> </w:t>
      </w:r>
      <w:r w:rsidR="00582486">
        <w:t xml:space="preserve">Appell, </w:t>
      </w:r>
      <w:r w:rsidR="00582486">
        <w:rPr>
          <w:i/>
          <w:iCs/>
        </w:rPr>
        <w:t xml:space="preserve">supra </w:t>
      </w:r>
      <w:r w:rsidR="00582486">
        <w:t xml:space="preserve">note </w:t>
      </w:r>
      <w:r w:rsidR="00582486">
        <w:fldChar w:fldCharType="begin"/>
      </w:r>
      <w:r w:rsidR="00582486">
        <w:instrText xml:space="preserve"> NOTEREF _Ref184806241 \h </w:instrText>
      </w:r>
      <w:r w:rsidR="00582486">
        <w:fldChar w:fldCharType="separate"/>
      </w:r>
      <w:r w:rsidR="00582486">
        <w:t>27</w:t>
      </w:r>
      <w:r w:rsidR="00582486">
        <w:fldChar w:fldCharType="end"/>
      </w:r>
      <w:r w:rsidR="00582486">
        <w:t xml:space="preserve">, </w:t>
      </w:r>
      <w:r>
        <w:t>at 7</w:t>
      </w:r>
      <w:r w:rsidR="00774507">
        <w:t>29</w:t>
      </w:r>
      <w:r>
        <w:t>–</w:t>
      </w:r>
      <w:r w:rsidR="00DD222B">
        <w:t xml:space="preserve">32. Anne Dailey and Laura Rosenbury </w:t>
      </w:r>
      <w:r w:rsidR="009844C7">
        <w:t xml:space="preserve">apply the label “the </w:t>
      </w:r>
      <w:proofErr w:type="gramStart"/>
      <w:r w:rsidR="009844C7">
        <w:t>authorities</w:t>
      </w:r>
      <w:proofErr w:type="gramEnd"/>
      <w:r w:rsidR="009844C7">
        <w:t xml:space="preserve"> framework” to </w:t>
      </w:r>
      <w:r w:rsidR="00245D93">
        <w:t>“[t]he existing regime of laws relating to children</w:t>
      </w:r>
      <w:r w:rsidR="009844C7">
        <w:t xml:space="preserve"> [that] hinges on the fundamental question of adult control over children and their development.” Anne C. Dailey &amp; Laura </w:t>
      </w:r>
      <w:r w:rsidR="00EF1391">
        <w:t xml:space="preserve">A. Rosenberry, </w:t>
      </w:r>
      <w:r w:rsidR="00EF1391">
        <w:rPr>
          <w:i/>
          <w:iCs/>
        </w:rPr>
        <w:t>The New Law of the Child</w:t>
      </w:r>
      <w:r w:rsidR="00EF1391">
        <w:t xml:space="preserve">, 127 </w:t>
      </w:r>
      <w:r w:rsidR="00EF1391" w:rsidRPr="00EF1391">
        <w:rPr>
          <w:smallCaps/>
        </w:rPr>
        <w:t>Yale L.J.</w:t>
      </w:r>
      <w:r w:rsidR="00EF1391">
        <w:t xml:space="preserve"> 1448, 1451 (2018).</w:t>
      </w:r>
    </w:p>
  </w:footnote>
  <w:footnote w:id="359">
    <w:p w14:paraId="61A6F1D5" w14:textId="307864CD" w:rsidR="00C85463" w:rsidRPr="00451DDD" w:rsidRDefault="00C85463">
      <w:pPr>
        <w:pStyle w:val="FootnoteText"/>
      </w:pPr>
      <w:r>
        <w:rPr>
          <w:rStyle w:val="FootnoteReference"/>
        </w:rPr>
        <w:footnoteRef/>
      </w:r>
      <w:r>
        <w:t xml:space="preserve"> </w:t>
      </w:r>
      <w:r>
        <w:rPr>
          <w:i/>
          <w:iCs/>
        </w:rPr>
        <w:t>See</w:t>
      </w:r>
      <w:r>
        <w:t xml:space="preserve"> </w:t>
      </w:r>
      <w:r w:rsidR="00CE0F8B">
        <w:rPr>
          <w:i/>
          <w:iCs/>
        </w:rPr>
        <w:t>id.</w:t>
      </w:r>
      <w:r w:rsidR="00CE0F8B">
        <w:t xml:space="preserve"> </w:t>
      </w:r>
      <w:r w:rsidR="00CE0F8B">
        <w:rPr>
          <w:i/>
          <w:iCs/>
        </w:rPr>
        <w:t>Cf.</w:t>
      </w:r>
      <w:r w:rsidR="00CE0F8B">
        <w:t xml:space="preserve"> </w:t>
      </w:r>
      <w:r w:rsidR="00451DDD">
        <w:t xml:space="preserve">Rebecca Hanrahan &amp; Louise Antony, </w:t>
      </w:r>
      <w:r w:rsidR="00451DDD">
        <w:rPr>
          <w:i/>
          <w:iCs/>
        </w:rPr>
        <w:t>Because I Said So: Toward a Feminist Theory of Authority</w:t>
      </w:r>
      <w:r w:rsidR="00451DDD">
        <w:t xml:space="preserve">, 20 </w:t>
      </w:r>
      <w:r w:rsidR="00B67B63" w:rsidRPr="001B0961">
        <w:rPr>
          <w:smallCaps/>
        </w:rPr>
        <w:t>Hypatia</w:t>
      </w:r>
      <w:r w:rsidR="00B67B63">
        <w:t xml:space="preserve"> 59, </w:t>
      </w:r>
      <w:r w:rsidR="001B0961">
        <w:t>67–68</w:t>
      </w:r>
      <w:r w:rsidR="00B67B63">
        <w:t xml:space="preserve"> (2005)</w:t>
      </w:r>
      <w:r w:rsidR="001B0961">
        <w:t xml:space="preserve"> (“</w:t>
      </w:r>
      <w:r w:rsidR="009D3007">
        <w:t>[P]</w:t>
      </w:r>
      <w:proofErr w:type="spellStart"/>
      <w:r w:rsidR="009D3007">
        <w:t>arents</w:t>
      </w:r>
      <w:proofErr w:type="spellEnd"/>
      <w:r w:rsidR="009D3007">
        <w:t xml:space="preserve"> themselves </w:t>
      </w:r>
      <w:proofErr w:type="gramStart"/>
      <w:r w:rsidR="009D3007">
        <w:t>have to</w:t>
      </w:r>
      <w:proofErr w:type="gramEnd"/>
      <w:r w:rsidR="009D3007">
        <w:t xml:space="preserve"> demand that they be reason enough for their children; it is often legitimate for a parent to say, ‘Because I said so.’”).</w:t>
      </w:r>
    </w:p>
  </w:footnote>
  <w:footnote w:id="360">
    <w:p w14:paraId="36F5F6AB" w14:textId="764DDD6D" w:rsidR="00B449EB" w:rsidRPr="00762D0B" w:rsidRDefault="00B449EB">
      <w:pPr>
        <w:pStyle w:val="FootnoteText"/>
      </w:pPr>
      <w:r>
        <w:rPr>
          <w:rStyle w:val="FootnoteReference"/>
        </w:rPr>
        <w:footnoteRef/>
      </w:r>
      <w:r>
        <w:t xml:space="preserve"> </w:t>
      </w:r>
      <w:r w:rsidR="005B1B2C">
        <w:t>A</w:t>
      </w:r>
      <w:r w:rsidR="00066A99">
        <w:t xml:space="preserve">ll fifty states permit parents </w:t>
      </w:r>
      <w:r w:rsidR="00A62B97">
        <w:t>to employ corporal punishment against their children so long as doing so does not</w:t>
      </w:r>
      <w:r w:rsidR="00BD0C0D">
        <w:t xml:space="preserve"> physically injure the child</w:t>
      </w:r>
      <w:r w:rsidR="00B15661">
        <w:t>.</w:t>
      </w:r>
      <w:r w:rsidR="005F6F24">
        <w:t xml:space="preserve"> </w:t>
      </w:r>
      <w:r w:rsidR="005F6F24">
        <w:rPr>
          <w:i/>
          <w:iCs/>
        </w:rPr>
        <w:t>See</w:t>
      </w:r>
      <w:r w:rsidR="005F6F24">
        <w:t xml:space="preserve"> Julie Ma et al., </w:t>
      </w:r>
      <w:r w:rsidR="005F6F24">
        <w:rPr>
          <w:i/>
          <w:iCs/>
        </w:rPr>
        <w:t>Adverse Childhood Experiences and Spanking Have Similar Associations with Early Behavior Problems</w:t>
      </w:r>
      <w:r w:rsidR="005F6F24">
        <w:t xml:space="preserve">, </w:t>
      </w:r>
      <w:r w:rsidR="00FC4BB4">
        <w:t xml:space="preserve">235 </w:t>
      </w:r>
      <w:r w:rsidR="00FC4BB4" w:rsidRPr="00E9735E">
        <w:rPr>
          <w:smallCaps/>
        </w:rPr>
        <w:t>J. Ped</w:t>
      </w:r>
      <w:r w:rsidR="005E4407" w:rsidRPr="00E9735E">
        <w:rPr>
          <w:smallCaps/>
        </w:rPr>
        <w:t>iatrics</w:t>
      </w:r>
      <w:r w:rsidR="005E4407">
        <w:t xml:space="preserve"> 170, </w:t>
      </w:r>
      <w:r w:rsidR="00E9735E">
        <w:t>170 (2021)</w:t>
      </w:r>
      <w:r w:rsidR="00066A99">
        <w:t xml:space="preserve">. </w:t>
      </w:r>
      <w:r w:rsidR="006D668A">
        <w:t xml:space="preserve">Eighteen states permit public school officials </w:t>
      </w:r>
      <w:r w:rsidR="00F21A91">
        <w:t xml:space="preserve">to employ corporal punishment against students, and all but two states permit private school officials to do so. Mandy A. Allison et al., </w:t>
      </w:r>
      <w:r w:rsidR="00F21A91">
        <w:rPr>
          <w:i/>
          <w:iCs/>
        </w:rPr>
        <w:t>Corporal Punishment in Schools</w:t>
      </w:r>
      <w:r w:rsidR="00F21A91">
        <w:t xml:space="preserve">, </w:t>
      </w:r>
      <w:r w:rsidR="004A5198">
        <w:t xml:space="preserve">152 </w:t>
      </w:r>
      <w:r w:rsidR="004A5198" w:rsidRPr="00DC1CB9">
        <w:rPr>
          <w:smallCaps/>
        </w:rPr>
        <w:t>Pediatrics</w:t>
      </w:r>
      <w:r w:rsidR="004A5198">
        <w:t xml:space="preserve"> 1, </w:t>
      </w:r>
      <w:r w:rsidR="000248F0">
        <w:t>2</w:t>
      </w:r>
      <w:r w:rsidR="00DC1CB9">
        <w:t xml:space="preserve"> &amp; tbl.1</w:t>
      </w:r>
      <w:r w:rsidR="000248F0">
        <w:t xml:space="preserve"> </w:t>
      </w:r>
      <w:r w:rsidR="00DC1CB9">
        <w:t>(2023)</w:t>
      </w:r>
      <w:r w:rsidR="00760D7D">
        <w:t xml:space="preserve">; </w:t>
      </w:r>
      <w:r w:rsidR="00760D7D">
        <w:rPr>
          <w:i/>
          <w:iCs/>
        </w:rPr>
        <w:t>see also</w:t>
      </w:r>
      <w:r w:rsidR="00760D7D">
        <w:t xml:space="preserve"> Ingraham v. Wright, </w:t>
      </w:r>
      <w:r w:rsidR="002653AF">
        <w:t>430 U.S. 651, 683 (1977) (holding that children have no constitutional right against corporal punishment in public schools)</w:t>
      </w:r>
      <w:r w:rsidR="00DC1CB9">
        <w:t>.</w:t>
      </w:r>
      <w:r w:rsidR="007A39A4">
        <w:t xml:space="preserve"> More than half </w:t>
      </w:r>
      <w:r w:rsidR="00762D0B">
        <w:t xml:space="preserve">of American children have been spanked by the age of three. Ma et al., </w:t>
      </w:r>
      <w:r w:rsidR="00762D0B">
        <w:rPr>
          <w:i/>
          <w:iCs/>
        </w:rPr>
        <w:t>supra</w:t>
      </w:r>
      <w:r w:rsidR="00762D0B">
        <w:t>, at 170.</w:t>
      </w:r>
    </w:p>
  </w:footnote>
  <w:footnote w:id="361">
    <w:p w14:paraId="7E9FD4F9" w14:textId="2F6EC7E0" w:rsidR="002D71C7" w:rsidRPr="0076455A" w:rsidRDefault="002D71C7">
      <w:pPr>
        <w:pStyle w:val="FootnoteText"/>
      </w:pPr>
      <w:r>
        <w:rPr>
          <w:rStyle w:val="FootnoteReference"/>
        </w:rPr>
        <w:footnoteRef/>
      </w:r>
      <w:r>
        <w:t xml:space="preserve"> </w:t>
      </w:r>
      <w:r w:rsidR="0076455A">
        <w:rPr>
          <w:i/>
          <w:iCs/>
        </w:rPr>
        <w:t>See</w:t>
      </w:r>
      <w:r w:rsidR="0076455A">
        <w:t xml:space="preserve"> Dailey &amp; Rosenbury, </w:t>
      </w:r>
      <w:r w:rsidR="0076455A">
        <w:rPr>
          <w:i/>
          <w:iCs/>
        </w:rPr>
        <w:t>supra</w:t>
      </w:r>
      <w:r w:rsidR="0076455A">
        <w:t xml:space="preserve"> note </w:t>
      </w:r>
      <w:r w:rsidR="0076455A">
        <w:fldChar w:fldCharType="begin"/>
      </w:r>
      <w:r w:rsidR="0076455A">
        <w:instrText xml:space="preserve"> NOTEREF _Ref185502149 \h </w:instrText>
      </w:r>
      <w:r w:rsidR="0076455A">
        <w:fldChar w:fldCharType="separate"/>
      </w:r>
      <w:r w:rsidR="0076455A">
        <w:t>351</w:t>
      </w:r>
      <w:r w:rsidR="0076455A">
        <w:fldChar w:fldCharType="end"/>
      </w:r>
      <w:r w:rsidR="0076455A">
        <w:t xml:space="preserve">, at 1459–60; Appell, </w:t>
      </w:r>
      <w:r w:rsidR="0076455A">
        <w:rPr>
          <w:i/>
          <w:iCs/>
        </w:rPr>
        <w:t>supra</w:t>
      </w:r>
      <w:r w:rsidR="0076455A">
        <w:t xml:space="preserve"> note </w:t>
      </w:r>
      <w:r w:rsidR="0076455A">
        <w:fldChar w:fldCharType="begin"/>
      </w:r>
      <w:r w:rsidR="0076455A">
        <w:instrText xml:space="preserve"> NOTEREF _Ref184806241 \h </w:instrText>
      </w:r>
      <w:r w:rsidR="0076455A">
        <w:fldChar w:fldCharType="separate"/>
      </w:r>
      <w:r w:rsidR="0076455A">
        <w:t>27</w:t>
      </w:r>
      <w:r w:rsidR="0076455A">
        <w:fldChar w:fldCharType="end"/>
      </w:r>
      <w:r w:rsidR="0076455A">
        <w:t xml:space="preserve">, at </w:t>
      </w:r>
      <w:r w:rsidR="00AF572A">
        <w:t>716–17</w:t>
      </w:r>
      <w:r w:rsidR="00AC7651">
        <w:t xml:space="preserve">; Hamilton, </w:t>
      </w:r>
      <w:r w:rsidR="00AC7651">
        <w:rPr>
          <w:i/>
          <w:iCs/>
        </w:rPr>
        <w:t>supra</w:t>
      </w:r>
      <w:r w:rsidR="00AC7651">
        <w:t xml:space="preserve"> note </w:t>
      </w:r>
      <w:r w:rsidR="00AC7651">
        <w:fldChar w:fldCharType="begin"/>
      </w:r>
      <w:r w:rsidR="00AC7651">
        <w:instrText xml:space="preserve"> NOTEREF _Ref185505680 \h </w:instrText>
      </w:r>
      <w:r w:rsidR="00AC7651">
        <w:fldChar w:fldCharType="separate"/>
      </w:r>
      <w:r w:rsidR="00AC7651">
        <w:t>343</w:t>
      </w:r>
      <w:r w:rsidR="00AC7651">
        <w:fldChar w:fldCharType="end"/>
      </w:r>
      <w:r w:rsidR="00AC7651">
        <w:t>, at 70</w:t>
      </w:r>
      <w:r w:rsidR="00AF572A">
        <w:t>.</w:t>
      </w:r>
    </w:p>
  </w:footnote>
  <w:footnote w:id="362">
    <w:p w14:paraId="1EB60B50" w14:textId="712563CA" w:rsidR="00D278E7" w:rsidRPr="00D278E7" w:rsidRDefault="00D278E7">
      <w:pPr>
        <w:pStyle w:val="FootnoteText"/>
      </w:pPr>
      <w:r>
        <w:rPr>
          <w:rStyle w:val="FootnoteReference"/>
        </w:rPr>
        <w:footnoteRef/>
      </w:r>
      <w:r>
        <w:t xml:space="preserve"> [</w:t>
      </w:r>
      <w:r w:rsidRPr="009038A8">
        <w:rPr>
          <w:highlight w:val="yellow"/>
        </w:rPr>
        <w:t xml:space="preserve">Cite to Schama’s </w:t>
      </w:r>
      <w:r w:rsidRPr="009038A8">
        <w:rPr>
          <w:i/>
          <w:iCs/>
          <w:highlight w:val="yellow"/>
        </w:rPr>
        <w:t>Citizens</w:t>
      </w:r>
      <w:r>
        <w:t>]</w:t>
      </w:r>
    </w:p>
  </w:footnote>
  <w:footnote w:id="363">
    <w:p w14:paraId="1CACC0F7" w14:textId="7E75A902" w:rsidR="009038A8" w:rsidRDefault="009038A8">
      <w:pPr>
        <w:pStyle w:val="FootnoteText"/>
      </w:pPr>
      <w:r>
        <w:rPr>
          <w:rStyle w:val="FootnoteReference"/>
        </w:rPr>
        <w:footnoteRef/>
      </w:r>
      <w:r>
        <w:t xml:space="preserve"> [</w:t>
      </w:r>
      <w:r w:rsidRPr="009038A8">
        <w:rPr>
          <w:highlight w:val="yellow"/>
        </w:rPr>
        <w:t>Historical source</w:t>
      </w:r>
      <w:r>
        <w:t>]</w:t>
      </w:r>
    </w:p>
  </w:footnote>
  <w:footnote w:id="364">
    <w:p w14:paraId="2A58F4B0" w14:textId="1A3E8701" w:rsidR="00EE07FC" w:rsidRPr="00A20B2E" w:rsidRDefault="007C13DB" w:rsidP="00EF1B9C">
      <w:pPr>
        <w:pStyle w:val="FootnoteText"/>
      </w:pPr>
      <w:r>
        <w:rPr>
          <w:rStyle w:val="FootnoteReference"/>
        </w:rPr>
        <w:footnoteRef/>
      </w:r>
      <w:r>
        <w:t xml:space="preserve"> </w:t>
      </w:r>
      <w:r>
        <w:rPr>
          <w:i/>
          <w:iCs/>
        </w:rPr>
        <w:t>See id.</w:t>
      </w:r>
      <w:r>
        <w:t xml:space="preserve"> at </w:t>
      </w:r>
      <w:r w:rsidR="0017642A">
        <w:t>1463 (“Far from being left alone to make their own choices, children are directed by their parents and the state into relationships, activities, educational instruction, and ways of life that are not of their own choosing.”)</w:t>
      </w:r>
      <w:r w:rsidR="00076B2E">
        <w:t>.</w:t>
      </w:r>
    </w:p>
  </w:footnote>
  <w:footnote w:id="365">
    <w:p w14:paraId="5B02D8C1" w14:textId="6E283522" w:rsidR="00290374" w:rsidRDefault="00290374">
      <w:pPr>
        <w:pStyle w:val="FootnoteText"/>
      </w:pPr>
      <w:r>
        <w:rPr>
          <w:rStyle w:val="FootnoteReference"/>
        </w:rPr>
        <w:footnoteRef/>
      </w:r>
      <w:r>
        <w:t xml:space="preserve"> Hamilton, </w:t>
      </w:r>
      <w:r>
        <w:rPr>
          <w:i/>
          <w:iCs/>
        </w:rPr>
        <w:t>supra</w:t>
      </w:r>
      <w:r>
        <w:t xml:space="preserve"> note </w:t>
      </w:r>
      <w:r>
        <w:fldChar w:fldCharType="begin"/>
      </w:r>
      <w:r>
        <w:instrText xml:space="preserve"> NOTEREF _Ref185505680 \h </w:instrText>
      </w:r>
      <w:r>
        <w:fldChar w:fldCharType="separate"/>
      </w:r>
      <w:r>
        <w:t>343</w:t>
      </w:r>
      <w:r>
        <w:fldChar w:fldCharType="end"/>
      </w:r>
      <w:r>
        <w:t>, at 68–</w:t>
      </w:r>
      <w:r w:rsidR="00D0451C">
        <w:t>69 (listing “Freedom from Parental Authority”</w:t>
      </w:r>
      <w:r w:rsidR="00966511">
        <w:t xml:space="preserve"> as one of the primary </w:t>
      </w:r>
      <w:r w:rsidR="00EF07B9">
        <w:t xml:space="preserve">legal </w:t>
      </w:r>
      <w:r w:rsidR="00966511">
        <w:t>effects of reaching the age of majority).</w:t>
      </w:r>
    </w:p>
  </w:footnote>
  <w:footnote w:id="366">
    <w:p w14:paraId="2F097F86" w14:textId="7187524E" w:rsidR="0057622B" w:rsidRPr="0057622B" w:rsidRDefault="0057622B">
      <w:pPr>
        <w:pStyle w:val="FootnoteText"/>
      </w:pPr>
      <w:r>
        <w:rPr>
          <w:rStyle w:val="FootnoteReference"/>
        </w:rPr>
        <w:footnoteRef/>
      </w:r>
      <w:r>
        <w:t xml:space="preserve"> </w:t>
      </w:r>
      <w:r w:rsidR="005C6E00">
        <w:rPr>
          <w:i/>
          <w:iCs/>
        </w:rPr>
        <w:t>Id.</w:t>
      </w:r>
      <w:r>
        <w:t xml:space="preserve"> at </w:t>
      </w:r>
      <w:r w:rsidR="006A4AEE">
        <w:t>65 (</w:t>
      </w:r>
      <w:r w:rsidR="0029161B">
        <w:t>“Forty-four states have adopted eighteen as the presumptive age of legal majority. Six have set their ages of majority higher, with five states setting it at nineteen and one at twenty-one.”).</w:t>
      </w:r>
      <w:r w:rsidR="006A4AEE">
        <w:t xml:space="preserve"> </w:t>
      </w:r>
    </w:p>
  </w:footnote>
  <w:footnote w:id="367">
    <w:p w14:paraId="716BED4F" w14:textId="4C94C2C1" w:rsidR="00C73337" w:rsidRPr="00C73337" w:rsidRDefault="00C73337">
      <w:pPr>
        <w:pStyle w:val="FootnoteText"/>
      </w:pPr>
      <w:r>
        <w:rPr>
          <w:rStyle w:val="FootnoteReference"/>
        </w:rPr>
        <w:footnoteRef/>
      </w:r>
      <w:r>
        <w:t xml:space="preserve"> </w:t>
      </w:r>
      <w:r>
        <w:rPr>
          <w:i/>
          <w:iCs/>
        </w:rPr>
        <w:t>See id</w:t>
      </w:r>
      <w:r>
        <w:t>. at 89 (“In sum, adolescents’ basic cognitive abilities mature by age sixteen and give them the capacity to learn, process information, reason, and make rational decisions.”).</w:t>
      </w:r>
    </w:p>
  </w:footnote>
  <w:footnote w:id="368">
    <w:p w14:paraId="395A4CED" w14:textId="5EBF0405" w:rsidR="007C4AB0" w:rsidRPr="007C4AB0" w:rsidRDefault="007C4AB0">
      <w:pPr>
        <w:pStyle w:val="FootnoteText"/>
      </w:pPr>
      <w:r>
        <w:rPr>
          <w:rStyle w:val="FootnoteReference"/>
        </w:rPr>
        <w:footnoteRef/>
      </w:r>
      <w:r>
        <w:t xml:space="preserve"> </w:t>
      </w:r>
      <w:r>
        <w:rPr>
          <w:i/>
          <w:iCs/>
        </w:rPr>
        <w:t>See id.</w:t>
      </w:r>
      <w:r>
        <w:t xml:space="preserve"> at </w:t>
      </w:r>
      <w:r w:rsidR="00D4397C">
        <w:t>68–70</w:t>
      </w:r>
      <w:r w:rsidR="00C73337">
        <w:t>.</w:t>
      </w:r>
    </w:p>
  </w:footnote>
  <w:footnote w:id="369">
    <w:p w14:paraId="16D680AD" w14:textId="33460479" w:rsidR="00E94216" w:rsidRPr="00E94216" w:rsidRDefault="00E94216">
      <w:pPr>
        <w:pStyle w:val="FootnoteText"/>
      </w:pPr>
      <w:r>
        <w:rPr>
          <w:rStyle w:val="FootnoteReference"/>
        </w:rPr>
        <w:footnoteRef/>
      </w:r>
      <w:r>
        <w:t xml:space="preserve"> </w:t>
      </w:r>
      <w:r>
        <w:rPr>
          <w:i/>
          <w:iCs/>
        </w:rPr>
        <w:t>See supra</w:t>
      </w:r>
      <w:r>
        <w:t xml:space="preserve"> note </w:t>
      </w:r>
      <w:r>
        <w:fldChar w:fldCharType="begin"/>
      </w:r>
      <w:r>
        <w:instrText xml:space="preserve"> NOTEREF _Ref185512665 \h </w:instrText>
      </w:r>
      <w:r>
        <w:fldChar w:fldCharType="separate"/>
      </w:r>
      <w:r>
        <w:t>353</w:t>
      </w:r>
      <w:r>
        <w:fldChar w:fldCharType="end"/>
      </w:r>
      <w:r>
        <w:t>.</w:t>
      </w:r>
      <w:r w:rsidR="00EF1B9C">
        <w:t xml:space="preserve"> Exercising totalitarian control over another person’s choices is difficult, of course. </w:t>
      </w:r>
      <w:r w:rsidR="00EF1B9C">
        <w:rPr>
          <w:i/>
          <w:iCs/>
        </w:rPr>
        <w:t>See</w:t>
      </w:r>
      <w:r w:rsidR="00EF1B9C">
        <w:t xml:space="preserve"> Clemons, </w:t>
      </w:r>
      <w:r w:rsidR="00EF1B9C">
        <w:rPr>
          <w:i/>
          <w:iCs/>
        </w:rPr>
        <w:t>supra</w:t>
      </w:r>
      <w:r w:rsidR="00EF1B9C">
        <w:t xml:space="preserve"> note </w:t>
      </w:r>
      <w:r w:rsidR="00EF1B9C">
        <w:fldChar w:fldCharType="begin"/>
      </w:r>
      <w:r w:rsidR="00EF1B9C">
        <w:instrText xml:space="preserve"> NOTEREF _Ref178849787 \h </w:instrText>
      </w:r>
      <w:r w:rsidR="00EF1B9C">
        <w:fldChar w:fldCharType="separate"/>
      </w:r>
      <w:r w:rsidR="00EF1B9C">
        <w:t>76</w:t>
      </w:r>
      <w:r w:rsidR="00EF1B9C">
        <w:fldChar w:fldCharType="end"/>
      </w:r>
      <w:r w:rsidR="00EF1B9C">
        <w:t xml:space="preserve">, at 1150, 1154 &amp; n.199. Like all humans, children can and often do find creative ways to exercise agency in even the most oppressive relationships, and </w:t>
      </w:r>
      <w:r w:rsidR="004F4C6B">
        <w:t>children’s</w:t>
      </w:r>
      <w:r w:rsidR="00EF1B9C">
        <w:t xml:space="preserve"> ability to resist parental authority naturally increases with age. </w:t>
      </w:r>
      <w:r w:rsidR="00EF1B9C">
        <w:rPr>
          <w:i/>
          <w:iCs/>
        </w:rPr>
        <w:t>See</w:t>
      </w:r>
      <w:r w:rsidR="00EF1B9C">
        <w:t xml:space="preserve"> Appell, </w:t>
      </w:r>
      <w:r w:rsidR="00EF1B9C">
        <w:rPr>
          <w:i/>
          <w:iCs/>
        </w:rPr>
        <w:t>supra</w:t>
      </w:r>
      <w:r w:rsidR="00EF1B9C">
        <w:t xml:space="preserve"> note </w:t>
      </w:r>
      <w:r w:rsidR="00EF1B9C">
        <w:fldChar w:fldCharType="begin"/>
      </w:r>
      <w:r w:rsidR="00EF1B9C">
        <w:instrText xml:space="preserve"> NOTEREF _Ref184806241 \h </w:instrText>
      </w:r>
      <w:r w:rsidR="00EF1B9C">
        <w:fldChar w:fldCharType="separate"/>
      </w:r>
      <w:r w:rsidR="00EF1B9C">
        <w:t>27</w:t>
      </w:r>
      <w:r w:rsidR="00EF1B9C">
        <w:fldChar w:fldCharType="end"/>
      </w:r>
      <w:r w:rsidR="00EF1B9C">
        <w:t>, at 730</w:t>
      </w:r>
      <w:r w:rsidR="00A06826">
        <w:t xml:space="preserve">; Barbara Bennett Woodhouse, </w:t>
      </w:r>
      <w:r w:rsidR="00A06826">
        <w:rPr>
          <w:i/>
          <w:iCs/>
        </w:rPr>
        <w:t>The Dark Side of Family Privacy</w:t>
      </w:r>
      <w:r w:rsidR="00A06826">
        <w:t xml:space="preserve">, 67 </w:t>
      </w:r>
      <w:r w:rsidR="00A06826" w:rsidRPr="008D080A">
        <w:rPr>
          <w:smallCaps/>
        </w:rPr>
        <w:t>Geo. Wash. L. Rev.</w:t>
      </w:r>
      <w:r w:rsidR="00A06826">
        <w:t xml:space="preserve"> </w:t>
      </w:r>
      <w:r w:rsidR="00923CE6">
        <w:t>1247, 1258 (1999) (“Voicelessness and powerlessness do not accurately characterize</w:t>
      </w:r>
      <w:r w:rsidR="008D080A">
        <w:t xml:space="preserve"> relationships between tiny children and their caregivers, as the parent of any screaming infant well knows.”)</w:t>
      </w:r>
      <w:r w:rsidR="00EF1B9C">
        <w:t xml:space="preserve">. That does not change the fact that, with very few exceptions, the law endorses adults’ attempts to control children. </w:t>
      </w:r>
      <w:r w:rsidR="00EF1B9C">
        <w:rPr>
          <w:i/>
          <w:iCs/>
        </w:rPr>
        <w:t>Id.</w:t>
      </w:r>
      <w:r w:rsidR="00EF1B9C">
        <w:t xml:space="preserve">; Dailey &amp; Rosebury, </w:t>
      </w:r>
      <w:r w:rsidR="00EF1B9C">
        <w:rPr>
          <w:i/>
          <w:iCs/>
        </w:rPr>
        <w:t>supra</w:t>
      </w:r>
      <w:r w:rsidR="00EF1B9C">
        <w:t xml:space="preserve"> note </w:t>
      </w:r>
      <w:r w:rsidR="00EF1B9C">
        <w:fldChar w:fldCharType="begin"/>
      </w:r>
      <w:r w:rsidR="00EF1B9C">
        <w:instrText xml:space="preserve"> NOTEREF _Ref185502149 \h </w:instrText>
      </w:r>
      <w:r w:rsidR="00EF1B9C">
        <w:fldChar w:fldCharType="separate"/>
      </w:r>
      <w:r w:rsidR="00EF1B9C">
        <w:t>351</w:t>
      </w:r>
      <w:r w:rsidR="00EF1B9C">
        <w:fldChar w:fldCharType="end"/>
      </w:r>
      <w:r w:rsidR="00EF1B9C">
        <w:t xml:space="preserve">, at 1459–60 (“[I]f parents minimally fulfill their duties, the state protects their relationships with their children and their childrearing choices </w:t>
      </w:r>
      <w:proofErr w:type="gramStart"/>
      <w:r w:rsidR="00EF1B9C">
        <w:t>. . . .</w:t>
      </w:r>
      <w:proofErr w:type="gramEnd"/>
      <w:r w:rsidR="00EF1B9C">
        <w:t xml:space="preserve"> Children are no longer considered property, but they remain under the direction and control of parents in the first instance.”).</w:t>
      </w:r>
    </w:p>
  </w:footnote>
  <w:footnote w:id="370">
    <w:p w14:paraId="16CC3B95" w14:textId="083D410B" w:rsidR="006D33D1" w:rsidRPr="006D33D1" w:rsidRDefault="006D33D1">
      <w:pPr>
        <w:pStyle w:val="FootnoteText"/>
      </w:pPr>
      <w:r>
        <w:rPr>
          <w:rStyle w:val="FootnoteReference"/>
        </w:rPr>
        <w:footnoteRef/>
      </w:r>
      <w:r>
        <w:t xml:space="preserve"> </w:t>
      </w:r>
      <w:r>
        <w:rPr>
          <w:i/>
          <w:iCs/>
        </w:rPr>
        <w:t>See</w:t>
      </w:r>
      <w:r>
        <w:t xml:space="preserve"> </w:t>
      </w:r>
      <w:r>
        <w:rPr>
          <w:i/>
          <w:iCs/>
        </w:rPr>
        <w:t>Battery</w:t>
      </w:r>
      <w:r>
        <w:t xml:space="preserve">, </w:t>
      </w:r>
      <w:r w:rsidRPr="00C83B86">
        <w:rPr>
          <w:smallCaps/>
        </w:rPr>
        <w:t>Legal Information Institute</w:t>
      </w:r>
      <w:r>
        <w:t>,</w:t>
      </w:r>
      <w:r w:rsidR="00021D31">
        <w:tab/>
      </w:r>
      <w:r>
        <w:t xml:space="preserve"> </w:t>
      </w:r>
      <w:hyperlink r:id="rId29" w:history="1">
        <w:r w:rsidR="002A75FA" w:rsidRPr="000605C0">
          <w:rPr>
            <w:rStyle w:val="Hyperlink"/>
          </w:rPr>
          <w:t>https://www.law.cornell.edu/wex/battery</w:t>
        </w:r>
      </w:hyperlink>
      <w:r w:rsidR="002A75FA">
        <w:t xml:space="preserve"> [</w:t>
      </w:r>
      <w:r w:rsidR="002A75FA" w:rsidRPr="002A75FA">
        <w:t>https://perma.cc/B3XR-4FLL</w:t>
      </w:r>
      <w:r w:rsidR="002A75FA">
        <w:t>].</w:t>
      </w:r>
    </w:p>
  </w:footnote>
  <w:footnote w:id="371">
    <w:p w14:paraId="5DEEBE21" w14:textId="128B7837" w:rsidR="00F51042" w:rsidRPr="009728B1" w:rsidRDefault="00F51042">
      <w:pPr>
        <w:pStyle w:val="FootnoteText"/>
      </w:pPr>
      <w:r>
        <w:rPr>
          <w:rStyle w:val="FootnoteReference"/>
        </w:rPr>
        <w:footnoteRef/>
      </w:r>
      <w:r>
        <w:t xml:space="preserve"> </w:t>
      </w:r>
      <w:r w:rsidR="000966E6">
        <w:t xml:space="preserve">Barbara </w:t>
      </w:r>
      <w:r w:rsidR="00691741">
        <w:t xml:space="preserve">Bennett Woodhouse, </w:t>
      </w:r>
      <w:r w:rsidR="00691741">
        <w:rPr>
          <w:i/>
          <w:iCs/>
        </w:rPr>
        <w:t xml:space="preserve">“Who Owns the Child?”: </w:t>
      </w:r>
      <w:r w:rsidR="00691741">
        <w:t>Meyer</w:t>
      </w:r>
      <w:r w:rsidR="00691741" w:rsidRPr="005475BD">
        <w:rPr>
          <w:i/>
          <w:iCs/>
        </w:rPr>
        <w:t xml:space="preserve"> and</w:t>
      </w:r>
      <w:r w:rsidR="00691741">
        <w:t xml:space="preserve"> Pierce </w:t>
      </w:r>
      <w:r w:rsidR="00691741">
        <w:rPr>
          <w:i/>
          <w:iCs/>
        </w:rPr>
        <w:t>and the Child as Property</w:t>
      </w:r>
      <w:r w:rsidR="00691741">
        <w:t xml:space="preserve">, </w:t>
      </w:r>
      <w:r w:rsidR="0093034F">
        <w:t xml:space="preserve">33 </w:t>
      </w:r>
      <w:r w:rsidR="0093034F" w:rsidRPr="0093034F">
        <w:rPr>
          <w:smallCaps/>
        </w:rPr>
        <w:t>Wm. &amp; Mary L. Rev.</w:t>
      </w:r>
      <w:r w:rsidR="0093034F">
        <w:t xml:space="preserve"> 995,</w:t>
      </w:r>
      <w:r w:rsidR="00691741">
        <w:rPr>
          <w:i/>
          <w:iCs/>
        </w:rPr>
        <w:t xml:space="preserve"> </w:t>
      </w:r>
      <w:r w:rsidR="000966E6" w:rsidRPr="00691741">
        <w:t>10</w:t>
      </w:r>
      <w:r w:rsidR="008B2B53" w:rsidRPr="00691741">
        <w:t>41</w:t>
      </w:r>
      <w:r w:rsidR="00691741">
        <w:t>–50</w:t>
      </w:r>
      <w:r w:rsidR="0093034F">
        <w:t xml:space="preserve"> (1992)</w:t>
      </w:r>
      <w:r w:rsidR="00DC1EF2">
        <w:t xml:space="preserve"> (tracing the history of </w:t>
      </w:r>
      <w:r w:rsidR="003613BD">
        <w:t>defining</w:t>
      </w:r>
      <w:r w:rsidR="00604A13">
        <w:t xml:space="preserve"> </w:t>
      </w:r>
      <w:r w:rsidR="001A4205">
        <w:t>children</w:t>
      </w:r>
      <w:r w:rsidR="00604A13">
        <w:t xml:space="preserve"> </w:t>
      </w:r>
      <w:r w:rsidR="001A4205">
        <w:t>as</w:t>
      </w:r>
      <w:r w:rsidR="00604A13">
        <w:t xml:space="preserve"> </w:t>
      </w:r>
      <w:r w:rsidR="001A4205">
        <w:t xml:space="preserve">property through </w:t>
      </w:r>
      <w:r w:rsidR="001A4205">
        <w:rPr>
          <w:i/>
          <w:iCs/>
        </w:rPr>
        <w:t>Meyer v. Nebraska</w:t>
      </w:r>
      <w:r w:rsidR="001A4205">
        <w:t xml:space="preserve">, 262 U.S. 390 (1923), and </w:t>
      </w:r>
      <w:r w:rsidR="001A4205">
        <w:rPr>
          <w:i/>
          <w:iCs/>
        </w:rPr>
        <w:t>Pierce v. Society of Sisters</w:t>
      </w:r>
      <w:r w:rsidR="001A4205">
        <w:t xml:space="preserve">, </w:t>
      </w:r>
      <w:r w:rsidR="00685173">
        <w:t>268 U.S. 510 (1925))</w:t>
      </w:r>
      <w:r w:rsidR="00691741">
        <w:t xml:space="preserve">; </w:t>
      </w:r>
      <w:r w:rsidR="00041540">
        <w:t>Dailey &amp; Rosenbur</w:t>
      </w:r>
      <w:r w:rsidR="0099372A">
        <w:t>y</w:t>
      </w:r>
      <w:r w:rsidR="00041540">
        <w:t xml:space="preserve">, </w:t>
      </w:r>
      <w:r w:rsidR="00041540">
        <w:rPr>
          <w:i/>
          <w:iCs/>
        </w:rPr>
        <w:t xml:space="preserve">supra </w:t>
      </w:r>
      <w:r w:rsidR="0099372A">
        <w:t xml:space="preserve">note </w:t>
      </w:r>
      <w:r w:rsidR="0099372A">
        <w:fldChar w:fldCharType="begin"/>
      </w:r>
      <w:r w:rsidR="0099372A">
        <w:instrText xml:space="preserve"> NOTEREF _Ref185502149 \h </w:instrText>
      </w:r>
      <w:r w:rsidR="0099372A">
        <w:fldChar w:fldCharType="separate"/>
      </w:r>
      <w:r w:rsidR="0099372A">
        <w:t>351</w:t>
      </w:r>
      <w:r w:rsidR="0099372A">
        <w:fldChar w:fldCharType="end"/>
      </w:r>
      <w:r w:rsidR="0099372A">
        <w:t xml:space="preserve">, at 1457–58; </w:t>
      </w:r>
      <w:r w:rsidR="009728B1">
        <w:t xml:space="preserve">Appell, </w:t>
      </w:r>
      <w:r w:rsidR="009728B1">
        <w:rPr>
          <w:i/>
          <w:iCs/>
        </w:rPr>
        <w:t>supra</w:t>
      </w:r>
      <w:r w:rsidR="009728B1">
        <w:t xml:space="preserve"> note </w:t>
      </w:r>
      <w:r w:rsidR="009728B1">
        <w:fldChar w:fldCharType="begin"/>
      </w:r>
      <w:r w:rsidR="009728B1">
        <w:instrText xml:space="preserve"> NOTEREF _Ref184806241 \h </w:instrText>
      </w:r>
      <w:r w:rsidR="009728B1">
        <w:fldChar w:fldCharType="separate"/>
      </w:r>
      <w:r w:rsidR="009728B1">
        <w:t>27</w:t>
      </w:r>
      <w:r w:rsidR="009728B1">
        <w:fldChar w:fldCharType="end"/>
      </w:r>
      <w:r w:rsidR="009728B1">
        <w:t>, at 724–25</w:t>
      </w:r>
      <w:r w:rsidR="00E0298C">
        <w:t xml:space="preserve"> &amp; n.27.</w:t>
      </w:r>
    </w:p>
  </w:footnote>
  <w:footnote w:id="372">
    <w:p w14:paraId="11014B6A" w14:textId="0B88EE4B" w:rsidR="00184352" w:rsidRPr="00184352" w:rsidRDefault="00184352">
      <w:pPr>
        <w:pStyle w:val="FootnoteText"/>
      </w:pPr>
      <w:r>
        <w:rPr>
          <w:rStyle w:val="FootnoteReference"/>
        </w:rPr>
        <w:footnoteRef/>
      </w:r>
      <w:r>
        <w:t xml:space="preserve"> </w:t>
      </w:r>
      <w:r>
        <w:rPr>
          <w:i/>
          <w:iCs/>
        </w:rPr>
        <w:t>See</w:t>
      </w:r>
      <w:r>
        <w:t xml:space="preserve"> U.S. Const. Amend. XIII (outlawing </w:t>
      </w:r>
      <w:r w:rsidR="00930B31">
        <w:t>“slavery” and “involuntary servitude, except as punishment for crime whereof the party shall have been duly convicted”).</w:t>
      </w:r>
    </w:p>
  </w:footnote>
  <w:footnote w:id="373">
    <w:p w14:paraId="77C6CB25" w14:textId="7AF133F5" w:rsidR="00CD68C8" w:rsidRPr="007D27B7" w:rsidRDefault="00CD68C8">
      <w:pPr>
        <w:pStyle w:val="FootnoteText"/>
      </w:pPr>
      <w:r>
        <w:rPr>
          <w:rStyle w:val="FootnoteReference"/>
        </w:rPr>
        <w:footnoteRef/>
      </w:r>
      <w:r>
        <w:t xml:space="preserve"> </w:t>
      </w:r>
      <w:r w:rsidR="007D27B7">
        <w:rPr>
          <w:i/>
          <w:iCs/>
        </w:rPr>
        <w:t>See</w:t>
      </w:r>
      <w:r w:rsidR="007D27B7">
        <w:t xml:space="preserve"> Woodhouse, </w:t>
      </w:r>
      <w:r w:rsidR="007D27B7">
        <w:rPr>
          <w:i/>
          <w:iCs/>
        </w:rPr>
        <w:t>supra</w:t>
      </w:r>
      <w:r w:rsidR="007D27B7">
        <w:t xml:space="preserve"> note </w:t>
      </w:r>
      <w:r w:rsidR="000B267D">
        <w:fldChar w:fldCharType="begin"/>
      </w:r>
      <w:r w:rsidR="000B267D">
        <w:instrText xml:space="preserve"> NOTEREF _Ref185515456 \h </w:instrText>
      </w:r>
      <w:r w:rsidR="000B267D">
        <w:fldChar w:fldCharType="separate"/>
      </w:r>
      <w:r w:rsidR="000B267D">
        <w:t>364</w:t>
      </w:r>
      <w:r w:rsidR="000B267D">
        <w:fldChar w:fldCharType="end"/>
      </w:r>
      <w:r w:rsidR="000B267D">
        <w:t xml:space="preserve">, at </w:t>
      </w:r>
      <w:r w:rsidR="007D27B7">
        <w:t>1041 &amp; n.</w:t>
      </w:r>
      <w:r w:rsidR="000B267D">
        <w:t>206</w:t>
      </w:r>
      <w:r w:rsidR="00AA3D56">
        <w:t xml:space="preserve">; </w:t>
      </w:r>
      <w:r w:rsidR="00AA3D56">
        <w:rPr>
          <w:i/>
          <w:iCs/>
        </w:rPr>
        <w:t xml:space="preserve">see also generally </w:t>
      </w:r>
      <w:r w:rsidR="00AA3D56" w:rsidRPr="00A11054">
        <w:rPr>
          <w:smallCaps/>
        </w:rPr>
        <w:t xml:space="preserve">Douglas </w:t>
      </w:r>
      <w:r w:rsidR="00326A30" w:rsidRPr="00A11054">
        <w:rPr>
          <w:smallCaps/>
        </w:rPr>
        <w:t xml:space="preserve">A. </w:t>
      </w:r>
      <w:r w:rsidR="00AA3D56" w:rsidRPr="00A11054">
        <w:rPr>
          <w:smallCaps/>
        </w:rPr>
        <w:t xml:space="preserve">Blackmon, </w:t>
      </w:r>
      <w:r w:rsidR="00326A30" w:rsidRPr="00A11054">
        <w:rPr>
          <w:smallCaps/>
        </w:rPr>
        <w:t>Slavery by Another Name: The Re-Enslavement of Black Americans from the Civil War to World War II</w:t>
      </w:r>
      <w:r w:rsidR="00326A30">
        <w:t xml:space="preserve"> (</w:t>
      </w:r>
      <w:r w:rsidR="00A11054">
        <w:t>2008).</w:t>
      </w:r>
    </w:p>
  </w:footnote>
  <w:footnote w:id="374">
    <w:p w14:paraId="76B6C4EE" w14:textId="0D692CA9" w:rsidR="007D27B7" w:rsidRDefault="007D27B7">
      <w:pPr>
        <w:pStyle w:val="FootnoteText"/>
      </w:pPr>
      <w:r>
        <w:rPr>
          <w:rStyle w:val="FootnoteReference"/>
        </w:rPr>
        <w:footnoteRef/>
      </w:r>
      <w:r>
        <w:t xml:space="preserve"> </w:t>
      </w:r>
      <w:r w:rsidR="0041216B">
        <w:t xml:space="preserve">Woodhouse, </w:t>
      </w:r>
      <w:r w:rsidR="0041216B">
        <w:rPr>
          <w:i/>
          <w:iCs/>
        </w:rPr>
        <w:t>supra</w:t>
      </w:r>
      <w:r w:rsidR="0041216B">
        <w:t xml:space="preserve"> note </w:t>
      </w:r>
      <w:r w:rsidR="0041216B">
        <w:fldChar w:fldCharType="begin"/>
      </w:r>
      <w:r w:rsidR="0041216B">
        <w:instrText xml:space="preserve"> NOTEREF _Ref185515456 \h </w:instrText>
      </w:r>
      <w:r w:rsidR="0041216B">
        <w:fldChar w:fldCharType="separate"/>
      </w:r>
      <w:r w:rsidR="0041216B">
        <w:t>364</w:t>
      </w:r>
      <w:r w:rsidR="0041216B">
        <w:fldChar w:fldCharType="end"/>
      </w:r>
      <w:r w:rsidR="0041216B">
        <w:t xml:space="preserve">, at </w:t>
      </w:r>
      <w:r w:rsidR="0085220E">
        <w:t>1047–50</w:t>
      </w:r>
      <w:r w:rsidR="00603BC9">
        <w:t xml:space="preserve"> (noting that under the developing “best interests of the child” model, “[j]</w:t>
      </w:r>
      <w:proofErr w:type="spellStart"/>
      <w:r w:rsidR="00603BC9">
        <w:t>udges</w:t>
      </w:r>
      <w:proofErr w:type="spellEnd"/>
      <w:r w:rsidR="00603BC9">
        <w:t xml:space="preserve"> and litig</w:t>
      </w:r>
      <w:r w:rsidR="00F72B43">
        <w:t xml:space="preserve">ants still often reasoned in the language of ownership and possession” of children); Dailey &amp; Rosenbury, </w:t>
      </w:r>
      <w:r w:rsidR="00F72B43">
        <w:rPr>
          <w:i/>
          <w:iCs/>
        </w:rPr>
        <w:t>supra</w:t>
      </w:r>
      <w:r w:rsidR="00F72B43">
        <w:t xml:space="preserve"> note </w:t>
      </w:r>
      <w:r w:rsidR="00F72B43">
        <w:fldChar w:fldCharType="begin"/>
      </w:r>
      <w:r w:rsidR="00F72B43">
        <w:instrText xml:space="preserve"> NOTEREF _Ref185502149 \h </w:instrText>
      </w:r>
      <w:r w:rsidR="00F72B43">
        <w:fldChar w:fldCharType="separate"/>
      </w:r>
      <w:r w:rsidR="00F72B43">
        <w:t>351</w:t>
      </w:r>
      <w:r w:rsidR="00F72B43">
        <w:fldChar w:fldCharType="end"/>
      </w:r>
      <w:r w:rsidR="00F72B43">
        <w:t xml:space="preserve">, at </w:t>
      </w:r>
      <w:r w:rsidR="003B5518">
        <w:t>1459–60 (noting that despite the abandonment of the children-as-property regime, “the law nevertheless retains a strong commitment to parental rights”).</w:t>
      </w:r>
    </w:p>
    <w:p w14:paraId="21504FE3" w14:textId="5AB6D5D7" w:rsidR="00CB608B" w:rsidRPr="0041216B" w:rsidRDefault="003246FD" w:rsidP="00CB608B">
      <w:pPr>
        <w:pStyle w:val="FootnoteText"/>
        <w:ind w:firstLine="720"/>
      </w:pPr>
      <w:r>
        <w:t xml:space="preserve">The evolution of the justification for children’s subordination </w:t>
      </w:r>
      <w:r w:rsidR="00EA0789">
        <w:t xml:space="preserve">is an example of what Reva Siegel has </w:t>
      </w:r>
      <w:r w:rsidR="00BC02BF">
        <w:t>described as</w:t>
      </w:r>
      <w:r w:rsidR="00AE1475">
        <w:t xml:space="preserve"> “preservation-through-transformation”: “The ways in which the legal system enforces social stratification are various and evolve over time. Efforts to reform a status regime bring about changes in its rule structure and justificatory rhetoric . . . In short, status-enforcing state action evolves in form as it is contested.” Reva Siegel, </w:t>
      </w:r>
      <w:r w:rsidR="00AE1475">
        <w:rPr>
          <w:i/>
          <w:iCs/>
        </w:rPr>
        <w:t>Why Equal Protection No Longer Protects: The Evolving Forms of Status-Enforcing State Action</w:t>
      </w:r>
      <w:r w:rsidR="00AE1475">
        <w:t xml:space="preserve">, </w:t>
      </w:r>
      <w:r w:rsidR="00E5499A">
        <w:t xml:space="preserve">49 </w:t>
      </w:r>
      <w:r w:rsidR="00E5499A" w:rsidRPr="00CF3C91">
        <w:rPr>
          <w:smallCaps/>
        </w:rPr>
        <w:t>Stan. L. Rev.</w:t>
      </w:r>
      <w:r w:rsidR="00E5499A">
        <w:t xml:space="preserve"> 1111, 1113 (1997). </w:t>
      </w:r>
      <w:r w:rsidR="00E5499A">
        <w:rPr>
          <w:i/>
          <w:iCs/>
        </w:rPr>
        <w:t>Cf.</w:t>
      </w:r>
      <w:r w:rsidR="00E5499A">
        <w:t xml:space="preserve"> </w:t>
      </w:r>
      <w:r w:rsidR="00E5499A" w:rsidRPr="008D07F9">
        <w:rPr>
          <w:smallCaps/>
        </w:rPr>
        <w:t>Fields &amp; Fields</w:t>
      </w:r>
      <w:r w:rsidR="00E5499A">
        <w:t xml:space="preserve">, </w:t>
      </w:r>
      <w:r w:rsidR="00E5499A">
        <w:rPr>
          <w:i/>
          <w:iCs/>
        </w:rPr>
        <w:t>supra</w:t>
      </w:r>
      <w:r w:rsidR="00E5499A">
        <w:t xml:space="preserve"> note </w:t>
      </w:r>
      <w:r w:rsidR="002B750C">
        <w:fldChar w:fldCharType="begin"/>
      </w:r>
      <w:r w:rsidR="002B750C">
        <w:instrText xml:space="preserve"> NOTEREF _Ref185516155 \h </w:instrText>
      </w:r>
      <w:r w:rsidR="002B750C">
        <w:fldChar w:fldCharType="separate"/>
      </w:r>
      <w:r w:rsidR="002B750C">
        <w:t>347</w:t>
      </w:r>
      <w:r w:rsidR="002B750C">
        <w:fldChar w:fldCharType="end"/>
      </w:r>
      <w:r w:rsidR="002B750C">
        <w:t xml:space="preserve">, at </w:t>
      </w:r>
      <w:r w:rsidR="00911CE9">
        <w:t>222</w:t>
      </w:r>
      <w:r w:rsidR="00A244B1">
        <w:t>–24 (comparing “</w:t>
      </w:r>
      <w:proofErr w:type="spellStart"/>
      <w:r w:rsidR="00A244B1">
        <w:t>racecraft</w:t>
      </w:r>
      <w:proofErr w:type="spellEnd"/>
      <w:r w:rsidR="00A244B1">
        <w:t xml:space="preserve">” to witchcraft </w:t>
      </w:r>
      <w:r w:rsidR="00F348DA">
        <w:t>as a moral explanation for social realities such that the objective truth</w:t>
      </w:r>
      <w:r w:rsidR="00257E7E">
        <w:t xml:space="preserve"> of the explanation may be disproven or </w:t>
      </w:r>
      <w:r w:rsidR="00C6395F">
        <w:t>shifted</w:t>
      </w:r>
      <w:r w:rsidR="00257E7E">
        <w:t xml:space="preserve"> without disturbing its justificatory power).</w:t>
      </w:r>
    </w:p>
  </w:footnote>
  <w:footnote w:id="375">
    <w:p w14:paraId="597861FA" w14:textId="668930D9" w:rsidR="002B61BA" w:rsidRPr="002B61BA" w:rsidRDefault="002B61BA">
      <w:pPr>
        <w:pStyle w:val="FootnoteText"/>
      </w:pPr>
      <w:r>
        <w:rPr>
          <w:rStyle w:val="FootnoteReference"/>
        </w:rPr>
        <w:footnoteRef/>
      </w:r>
      <w:r>
        <w:t xml:space="preserve"> Appell, </w:t>
      </w:r>
      <w:r>
        <w:rPr>
          <w:i/>
          <w:iCs/>
        </w:rPr>
        <w:t>supra</w:t>
      </w:r>
      <w:r>
        <w:t xml:space="preserve"> note </w:t>
      </w:r>
      <w:r>
        <w:fldChar w:fldCharType="begin"/>
      </w:r>
      <w:r>
        <w:instrText xml:space="preserve"> NOTEREF _Ref184806241 \h </w:instrText>
      </w:r>
      <w:r>
        <w:fldChar w:fldCharType="separate"/>
      </w:r>
      <w:r>
        <w:t>27</w:t>
      </w:r>
      <w:r>
        <w:fldChar w:fldCharType="end"/>
      </w:r>
      <w:r>
        <w:t>, at 721.</w:t>
      </w:r>
    </w:p>
  </w:footnote>
  <w:footnote w:id="376">
    <w:p w14:paraId="6F3D2465" w14:textId="77777777" w:rsidR="009D2A08" w:rsidRPr="00140F47" w:rsidRDefault="009D2A08" w:rsidP="009D2A08">
      <w:pPr>
        <w:pStyle w:val="FootnoteText"/>
      </w:pPr>
      <w:r>
        <w:rPr>
          <w:rStyle w:val="FootnoteReference"/>
        </w:rPr>
        <w:footnoteRef/>
      </w:r>
      <w:r>
        <w:t xml:space="preserve"> </w:t>
      </w:r>
      <w:r>
        <w:rPr>
          <w:i/>
          <w:iCs/>
        </w:rPr>
        <w:t>See</w:t>
      </w:r>
      <w:r>
        <w:t xml:space="preserve"> </w:t>
      </w:r>
      <w:r>
        <w:rPr>
          <w:i/>
          <w:iCs/>
        </w:rPr>
        <w:t>id.</w:t>
      </w:r>
      <w:r>
        <w:t xml:space="preserve"> at 733–35; Dailey &amp; Rosenbury, </w:t>
      </w:r>
      <w:r>
        <w:rPr>
          <w:i/>
          <w:iCs/>
        </w:rPr>
        <w:t>supra</w:t>
      </w:r>
      <w:r>
        <w:t xml:space="preserve"> note </w:t>
      </w:r>
      <w:r>
        <w:fldChar w:fldCharType="begin"/>
      </w:r>
      <w:r>
        <w:instrText xml:space="preserve"> NOTEREF _Ref185502149 \h </w:instrText>
      </w:r>
      <w:r>
        <w:fldChar w:fldCharType="separate"/>
      </w:r>
      <w:r>
        <w:t>351</w:t>
      </w:r>
      <w:r>
        <w:fldChar w:fldCharType="end"/>
      </w:r>
      <w:r>
        <w:t xml:space="preserve">, at 1459–60 (“Contemporary judges, policymakers, and scholars therefore generally embrace parental rights as the starting point for protecting children’s interests.”); Woodhouse, </w:t>
      </w:r>
      <w:r>
        <w:rPr>
          <w:i/>
          <w:iCs/>
        </w:rPr>
        <w:t>supra</w:t>
      </w:r>
      <w:r>
        <w:t xml:space="preserve"> note </w:t>
      </w:r>
      <w:r>
        <w:fldChar w:fldCharType="begin"/>
      </w:r>
      <w:r>
        <w:instrText xml:space="preserve"> NOTEREF _Ref185515456 \h </w:instrText>
      </w:r>
      <w:r>
        <w:fldChar w:fldCharType="separate"/>
      </w:r>
      <w:r>
        <w:t>364</w:t>
      </w:r>
      <w:r>
        <w:fldChar w:fldCharType="end"/>
      </w:r>
      <w:r>
        <w:t>, at 1047–50.</w:t>
      </w:r>
    </w:p>
  </w:footnote>
  <w:footnote w:id="377">
    <w:p w14:paraId="2246EA54" w14:textId="6D6652D8" w:rsidR="003820AA" w:rsidRPr="00D240FF" w:rsidRDefault="003820AA">
      <w:pPr>
        <w:pStyle w:val="FootnoteText"/>
      </w:pPr>
      <w:r>
        <w:rPr>
          <w:rStyle w:val="FootnoteReference"/>
        </w:rPr>
        <w:footnoteRef/>
      </w:r>
      <w:r>
        <w:t xml:space="preserve"> </w:t>
      </w:r>
      <w:r>
        <w:rPr>
          <w:i/>
          <w:iCs/>
        </w:rPr>
        <w:t>See</w:t>
      </w:r>
      <w:r>
        <w:t xml:space="preserve"> </w:t>
      </w:r>
      <w:r w:rsidR="00993C1A">
        <w:rPr>
          <w:i/>
          <w:iCs/>
        </w:rPr>
        <w:t>supra</w:t>
      </w:r>
      <w:r w:rsidR="00993C1A">
        <w:t xml:space="preserve"> note </w:t>
      </w:r>
      <w:r w:rsidR="00993C1A">
        <w:fldChar w:fldCharType="begin"/>
      </w:r>
      <w:r w:rsidR="00993C1A">
        <w:instrText xml:space="preserve"> NOTEREF _Ref185586851 \h </w:instrText>
      </w:r>
      <w:r w:rsidR="00993C1A">
        <w:fldChar w:fldCharType="separate"/>
      </w:r>
      <w:r w:rsidR="00993C1A">
        <w:t>367</w:t>
      </w:r>
      <w:r w:rsidR="00993C1A">
        <w:fldChar w:fldCharType="end"/>
      </w:r>
      <w:r w:rsidR="00993C1A">
        <w:t>.</w:t>
      </w:r>
    </w:p>
  </w:footnote>
  <w:footnote w:id="378">
    <w:p w14:paraId="09AF6D30" w14:textId="0C76FD3A" w:rsidR="00191ED3" w:rsidRDefault="00191ED3">
      <w:pPr>
        <w:pStyle w:val="FootnoteText"/>
      </w:pPr>
      <w:r>
        <w:rPr>
          <w:rStyle w:val="FootnoteReference"/>
        </w:rPr>
        <w:footnoteRef/>
      </w:r>
      <w:r>
        <w:t xml:space="preserve"> The rhetoric of paternalism and people-as-property has frequently overlapped in Euro-American history. </w:t>
      </w:r>
      <w:r>
        <w:rPr>
          <w:i/>
          <w:iCs/>
        </w:rPr>
        <w:t>See, e.g.</w:t>
      </w:r>
      <w:r>
        <w:t xml:space="preserve">, </w:t>
      </w:r>
      <w:r w:rsidRPr="00750C51">
        <w:rPr>
          <w:smallCaps/>
        </w:rPr>
        <w:t>Ira Berlin, Many Thousands Gone: The First Two Centuries of Slavery in North America</w:t>
      </w:r>
      <w:r>
        <w:t xml:space="preserve"> 3–4 (noting the favorite metaphor of white owners of Black enslaved people to be that of a benevolent father toward his incompetent children); </w:t>
      </w:r>
      <w:r w:rsidRPr="00900393">
        <w:rPr>
          <w:smallCaps/>
        </w:rPr>
        <w:t>Simone de Beauvoir, The Second Sex</w:t>
      </w:r>
      <w:r>
        <w:t xml:space="preserve"> 266–68 (Constance Borde &amp; Sheila </w:t>
      </w:r>
      <w:proofErr w:type="spellStart"/>
      <w:r>
        <w:t>Malovany</w:t>
      </w:r>
      <w:proofErr w:type="spellEnd"/>
      <w:r>
        <w:t>-Chevalier trans., Vintage Books 1st ed. 2011) (1949) (describing paternalism as one of the myths that subordinates women)</w:t>
      </w:r>
      <w:r w:rsidR="009B63D9">
        <w:t xml:space="preserve">; </w:t>
      </w:r>
      <w:r w:rsidR="009B63D9">
        <w:rPr>
          <w:i/>
          <w:iCs/>
        </w:rPr>
        <w:t>see also</w:t>
      </w:r>
      <w:r w:rsidR="009B63D9">
        <w:t xml:space="preserve"> Appell, </w:t>
      </w:r>
      <w:r w:rsidR="009B63D9">
        <w:rPr>
          <w:i/>
          <w:iCs/>
        </w:rPr>
        <w:t>supra</w:t>
      </w:r>
      <w:r w:rsidR="009B63D9">
        <w:t xml:space="preserve"> note </w:t>
      </w:r>
      <w:r w:rsidR="009B63D9">
        <w:fldChar w:fldCharType="begin"/>
      </w:r>
      <w:r w:rsidR="009B63D9">
        <w:instrText xml:space="preserve"> NOTEREF _Ref184806241 \h </w:instrText>
      </w:r>
      <w:r w:rsidR="009B63D9">
        <w:fldChar w:fldCharType="separate"/>
      </w:r>
      <w:r w:rsidR="009B63D9">
        <w:t>27</w:t>
      </w:r>
      <w:r w:rsidR="009B63D9">
        <w:fldChar w:fldCharType="end"/>
      </w:r>
      <w:r w:rsidR="009B63D9">
        <w:t xml:space="preserve">, at </w:t>
      </w:r>
      <w:r w:rsidR="00E74AF0">
        <w:t>722–23 (comparing the legal status of children to the doctrine of coverture for women)</w:t>
      </w:r>
      <w:r>
        <w:t>.</w:t>
      </w:r>
    </w:p>
  </w:footnote>
  <w:footnote w:id="379">
    <w:p w14:paraId="6F01FDB1" w14:textId="0872C451" w:rsidR="00471614" w:rsidRPr="00471614" w:rsidRDefault="00471614">
      <w:pPr>
        <w:pStyle w:val="FootnoteText"/>
      </w:pPr>
      <w:r>
        <w:rPr>
          <w:rStyle w:val="FootnoteReference"/>
        </w:rPr>
        <w:footnoteRef/>
      </w:r>
      <w:r>
        <w:t xml:space="preserve"> </w:t>
      </w:r>
      <w:r>
        <w:rPr>
          <w:i/>
          <w:iCs/>
        </w:rPr>
        <w:t>See</w:t>
      </w:r>
      <w:r>
        <w:t xml:space="preserve"> </w:t>
      </w:r>
      <w:r w:rsidRPr="00053435">
        <w:rPr>
          <w:smallCaps/>
        </w:rPr>
        <w:t xml:space="preserve">Catharine MacKinnon, </w:t>
      </w:r>
      <w:r w:rsidR="00053435" w:rsidRPr="00053435">
        <w:rPr>
          <w:smallCaps/>
        </w:rPr>
        <w:t>Toward a Feminist Theory of the State</w:t>
      </w:r>
      <w:r w:rsidR="00053435">
        <w:t xml:space="preserve"> 219 (1989).</w:t>
      </w:r>
    </w:p>
  </w:footnote>
  <w:footnote w:id="380">
    <w:p w14:paraId="080E1A57" w14:textId="128CE859" w:rsidR="00C12607" w:rsidRPr="006C7A5C" w:rsidRDefault="00C12607">
      <w:pPr>
        <w:pStyle w:val="FootnoteText"/>
      </w:pPr>
      <w:r>
        <w:rPr>
          <w:rStyle w:val="FootnoteReference"/>
        </w:rPr>
        <w:footnoteRef/>
      </w:r>
      <w:r>
        <w:t xml:space="preserve"> </w:t>
      </w:r>
      <w:r w:rsidR="00734F1B">
        <w:rPr>
          <w:i/>
          <w:iCs/>
        </w:rPr>
        <w:t>Cf.</w:t>
      </w:r>
      <w:r w:rsidR="002D723C">
        <w:t xml:space="preserve"> </w:t>
      </w:r>
      <w:r w:rsidR="006C7A5C">
        <w:t xml:space="preserve">Reva Siegel, </w:t>
      </w:r>
      <w:r w:rsidR="006C7A5C">
        <w:rPr>
          <w:i/>
          <w:iCs/>
        </w:rPr>
        <w:t>Reasoning from the Body: A Historical Perspective on Abortion Regulation and Questions of Equal Protection</w:t>
      </w:r>
      <w:r w:rsidR="006C7A5C">
        <w:t xml:space="preserve">, 44 </w:t>
      </w:r>
      <w:r w:rsidR="006C7A5C" w:rsidRPr="001513DD">
        <w:rPr>
          <w:smallCaps/>
        </w:rPr>
        <w:t>Stan. L. Rev.</w:t>
      </w:r>
      <w:r w:rsidR="006C7A5C">
        <w:t xml:space="preserve"> 261, </w:t>
      </w:r>
      <w:r w:rsidR="009B08F6">
        <w:t>267 (1992) (critiquing “physiological naturalism”</w:t>
      </w:r>
      <w:r w:rsidR="001513DD">
        <w:t xml:space="preserve"> because</w:t>
      </w:r>
      <w:r w:rsidR="009B08F6">
        <w:t xml:space="preserve"> “human reproduction is not simply a physiological process; like eating and dying, it is a social process, occurring in and governed by culture”).</w:t>
      </w:r>
    </w:p>
  </w:footnote>
  <w:footnote w:id="381">
    <w:p w14:paraId="14117B58" w14:textId="41A6B803" w:rsidR="004119E2" w:rsidRPr="005774A8" w:rsidRDefault="004119E2">
      <w:pPr>
        <w:pStyle w:val="FootnoteText"/>
      </w:pPr>
      <w:r>
        <w:rPr>
          <w:rStyle w:val="FootnoteReference"/>
        </w:rPr>
        <w:footnoteRef/>
      </w:r>
      <w:r>
        <w:t xml:space="preserve"> </w:t>
      </w:r>
      <w:r>
        <w:rPr>
          <w:i/>
          <w:iCs/>
        </w:rPr>
        <w:t>See</w:t>
      </w:r>
      <w:r>
        <w:t xml:space="preserve"> </w:t>
      </w:r>
      <w:r w:rsidRPr="00D82E3B">
        <w:rPr>
          <w:smallCaps/>
        </w:rPr>
        <w:t xml:space="preserve">Allison </w:t>
      </w:r>
      <w:r w:rsidR="005774A8" w:rsidRPr="00D82E3B">
        <w:rPr>
          <w:smallCaps/>
        </w:rPr>
        <w:t>James &amp; Adrian L. James, Constructing Childhood: Theory, Policy, and Social Practice</w:t>
      </w:r>
      <w:r w:rsidR="005774A8">
        <w:t xml:space="preserve"> </w:t>
      </w:r>
      <w:r w:rsidR="00D82E3B">
        <w:t>18 (2004).</w:t>
      </w:r>
    </w:p>
  </w:footnote>
  <w:footnote w:id="382">
    <w:p w14:paraId="3FE2EFA1" w14:textId="54ED6FB2" w:rsidR="00626B29" w:rsidRPr="00CF6983" w:rsidRDefault="00626B29">
      <w:pPr>
        <w:pStyle w:val="FootnoteText"/>
      </w:pPr>
      <w:r>
        <w:rPr>
          <w:rStyle w:val="FootnoteReference"/>
        </w:rPr>
        <w:footnoteRef/>
      </w:r>
      <w:r>
        <w:t xml:space="preserve"> </w:t>
      </w:r>
      <w:r>
        <w:rPr>
          <w:i/>
          <w:iCs/>
        </w:rPr>
        <w:t>See</w:t>
      </w:r>
      <w:r>
        <w:t xml:space="preserve"> Appell, </w:t>
      </w:r>
      <w:r>
        <w:rPr>
          <w:i/>
          <w:iCs/>
        </w:rPr>
        <w:t>supra</w:t>
      </w:r>
      <w:r>
        <w:t xml:space="preserve"> note </w:t>
      </w:r>
      <w:r>
        <w:fldChar w:fldCharType="begin"/>
      </w:r>
      <w:r>
        <w:instrText xml:space="preserve"> NOTEREF _Ref184806241 \h </w:instrText>
      </w:r>
      <w:r>
        <w:fldChar w:fldCharType="separate"/>
      </w:r>
      <w:r>
        <w:t>27</w:t>
      </w:r>
      <w:r>
        <w:fldChar w:fldCharType="end"/>
      </w:r>
      <w:r>
        <w:t xml:space="preserve">, at </w:t>
      </w:r>
      <w:r w:rsidR="00CF6983">
        <w:t>718 (“[C]</w:t>
      </w:r>
      <w:proofErr w:type="spellStart"/>
      <w:r w:rsidR="00CF6983">
        <w:t>hildren’s</w:t>
      </w:r>
      <w:proofErr w:type="spellEnd"/>
      <w:r w:rsidR="00CF6983">
        <w:t xml:space="preserve"> vulnerability is not located in the child, but instead in the political and legal systems that create vulnerability.”). </w:t>
      </w:r>
    </w:p>
  </w:footnote>
  <w:footnote w:id="383">
    <w:p w14:paraId="55D99A77" w14:textId="33E2D71B" w:rsidR="00644CD8" w:rsidRPr="00E95100" w:rsidRDefault="00644CD8">
      <w:pPr>
        <w:pStyle w:val="FootnoteText"/>
      </w:pPr>
      <w:r>
        <w:rPr>
          <w:rStyle w:val="FootnoteReference"/>
        </w:rPr>
        <w:footnoteRef/>
      </w:r>
      <w:r>
        <w:t xml:space="preserve"> </w:t>
      </w:r>
      <w:r w:rsidR="00E95100">
        <w:rPr>
          <w:i/>
          <w:iCs/>
        </w:rPr>
        <w:t>Id.</w:t>
      </w:r>
      <w:r w:rsidR="00E95100">
        <w:t xml:space="preserve"> </w:t>
      </w:r>
      <w:r w:rsidR="00E95100">
        <w:rPr>
          <w:i/>
          <w:iCs/>
        </w:rPr>
        <w:t>Cf.</w:t>
      </w:r>
      <w:r w:rsidR="00E95100">
        <w:t xml:space="preserve"> </w:t>
      </w:r>
      <w:r w:rsidR="00E95100" w:rsidRPr="00CB7190">
        <w:rPr>
          <w:smallCaps/>
        </w:rPr>
        <w:t>MacKinnon</w:t>
      </w:r>
      <w:r w:rsidR="00E95100">
        <w:t xml:space="preserve">, </w:t>
      </w:r>
      <w:r w:rsidR="00E95100">
        <w:rPr>
          <w:i/>
          <w:iCs/>
        </w:rPr>
        <w:t>supra</w:t>
      </w:r>
      <w:r w:rsidR="00E95100">
        <w:t xml:space="preserve"> note </w:t>
      </w:r>
      <w:r w:rsidR="00E95100">
        <w:fldChar w:fldCharType="begin"/>
      </w:r>
      <w:r w:rsidR="00E95100">
        <w:instrText xml:space="preserve"> NOTEREF _Ref185594936 \h </w:instrText>
      </w:r>
      <w:r w:rsidR="00E95100">
        <w:fldChar w:fldCharType="separate"/>
      </w:r>
      <w:r w:rsidR="00E95100">
        <w:t>372</w:t>
      </w:r>
      <w:r w:rsidR="00E95100">
        <w:fldChar w:fldCharType="end"/>
      </w:r>
      <w:r w:rsidR="00E95100">
        <w:t>, at 224 (“Clearly, there are many differences between women and men. Systematically elevating one-half of a population and denigrating the other half would not likely produce a population in which everyone is the same.”).</w:t>
      </w:r>
    </w:p>
  </w:footnote>
  <w:footnote w:id="384">
    <w:p w14:paraId="74E1C862" w14:textId="08E3F33A" w:rsidR="001C3231" w:rsidRPr="00630B7B" w:rsidRDefault="001C3231">
      <w:pPr>
        <w:pStyle w:val="FootnoteText"/>
      </w:pPr>
      <w:r>
        <w:rPr>
          <w:rStyle w:val="FootnoteReference"/>
        </w:rPr>
        <w:footnoteRef/>
      </w:r>
      <w:r>
        <w:t xml:space="preserve"> </w:t>
      </w:r>
      <w:r w:rsidR="00630B7B" w:rsidRPr="00630B7B">
        <w:rPr>
          <w:smallCaps/>
        </w:rPr>
        <w:t>de Beauvoir</w:t>
      </w:r>
      <w:r w:rsidR="00630B7B">
        <w:t xml:space="preserve">, </w:t>
      </w:r>
      <w:r w:rsidR="00630B7B">
        <w:rPr>
          <w:i/>
          <w:iCs/>
        </w:rPr>
        <w:t>supra</w:t>
      </w:r>
      <w:r w:rsidR="00630B7B">
        <w:t xml:space="preserve"> note </w:t>
      </w:r>
      <w:r w:rsidR="00630B7B">
        <w:fldChar w:fldCharType="begin"/>
      </w:r>
      <w:r w:rsidR="00630B7B">
        <w:instrText xml:space="preserve"> NOTEREF _Ref185596175 \h </w:instrText>
      </w:r>
      <w:r w:rsidR="00630B7B">
        <w:fldChar w:fldCharType="separate"/>
      </w:r>
      <w:r w:rsidR="00630B7B">
        <w:t>371</w:t>
      </w:r>
      <w:r w:rsidR="00630B7B">
        <w:fldChar w:fldCharType="end"/>
      </w:r>
      <w:r w:rsidR="00630B7B">
        <w:t>, at 12.</w:t>
      </w:r>
    </w:p>
  </w:footnote>
  <w:footnote w:id="385">
    <w:p w14:paraId="420A67E7" w14:textId="55FD1BEE" w:rsidR="00300D1A" w:rsidRPr="00300D1A" w:rsidRDefault="00300D1A">
      <w:pPr>
        <w:pStyle w:val="FootnoteText"/>
      </w:pPr>
      <w:r>
        <w:rPr>
          <w:rStyle w:val="FootnoteReference"/>
        </w:rPr>
        <w:footnoteRef/>
      </w:r>
      <w:r>
        <w:t xml:space="preserve"> Appell, </w:t>
      </w:r>
      <w:r>
        <w:rPr>
          <w:i/>
          <w:iCs/>
        </w:rPr>
        <w:t>supra</w:t>
      </w:r>
      <w:r>
        <w:t xml:space="preserve"> note </w:t>
      </w:r>
      <w:r>
        <w:fldChar w:fldCharType="begin"/>
      </w:r>
      <w:r>
        <w:instrText xml:space="preserve"> NOTEREF _Ref184806241 \h </w:instrText>
      </w:r>
      <w:r>
        <w:fldChar w:fldCharType="separate"/>
      </w:r>
      <w:r>
        <w:t>27</w:t>
      </w:r>
      <w:r>
        <w:fldChar w:fldCharType="end"/>
      </w:r>
      <w:r>
        <w:t xml:space="preserve">, at </w:t>
      </w:r>
      <w:r w:rsidR="005A4889">
        <w:t xml:space="preserve">718 (“While acknowledging ‘natural’ differences between many children and most adults, I challenge the totalizing categorical distinction between adulthood and childhood, the extent </w:t>
      </w:r>
      <w:r w:rsidR="00621020">
        <w:t>of the limitation on children’s agency, and their segregation from public life.”)</w:t>
      </w:r>
      <w:r w:rsidR="00425830">
        <w:t>, 724 (“While the development thesis does have a natural referent—physical and cognitive vulnerability—the response to this vulnerability is not inevitable.”)</w:t>
      </w:r>
      <w:r w:rsidR="00D44F9B">
        <w:t xml:space="preserve">; </w:t>
      </w:r>
      <w:r w:rsidR="00D44F9B" w:rsidRPr="00CB7C19">
        <w:rPr>
          <w:smallCaps/>
        </w:rPr>
        <w:t>James &amp; James</w:t>
      </w:r>
      <w:r w:rsidR="00D44F9B">
        <w:t xml:space="preserve">, </w:t>
      </w:r>
      <w:r w:rsidR="00D44F9B">
        <w:rPr>
          <w:i/>
          <w:iCs/>
        </w:rPr>
        <w:t>supra</w:t>
      </w:r>
      <w:r w:rsidR="00D44F9B">
        <w:t xml:space="preserve"> note </w:t>
      </w:r>
      <w:r w:rsidR="00D44F9B">
        <w:fldChar w:fldCharType="begin"/>
      </w:r>
      <w:r w:rsidR="00D44F9B">
        <w:instrText xml:space="preserve"> NOTEREF _Ref185596642 \h </w:instrText>
      </w:r>
      <w:r w:rsidR="00D44F9B">
        <w:fldChar w:fldCharType="separate"/>
      </w:r>
      <w:r w:rsidR="00D44F9B">
        <w:t>374</w:t>
      </w:r>
      <w:r w:rsidR="00D44F9B">
        <w:fldChar w:fldCharType="end"/>
      </w:r>
      <w:r w:rsidR="00D44F9B">
        <w:t xml:space="preserve">, at </w:t>
      </w:r>
      <w:r w:rsidR="00C72109">
        <w:t>18 (</w:t>
      </w:r>
      <w:r w:rsidR="0097371A">
        <w:t xml:space="preserve">“[T]he ways in which these biological ‘facts’ [of children’s vulnerability] are interpreted in relation to ideas about children’s needs </w:t>
      </w:r>
      <w:r w:rsidR="0097371A">
        <w:rPr>
          <w:i/>
          <w:iCs/>
        </w:rPr>
        <w:t>do</w:t>
      </w:r>
      <w:r w:rsidR="0097371A">
        <w:t xml:space="preserve"> vary between cultures and account for</w:t>
      </w:r>
      <w:r w:rsidR="000B71EA">
        <w:t xml:space="preserve"> the wide variety in the kinds of social discriminations and legal differentiations made—or not made—between children and older people in any society</w:t>
      </w:r>
      <w:r w:rsidR="00621020">
        <w:t>.</w:t>
      </w:r>
      <w:r w:rsidR="000B71EA">
        <w:t>” (emphasis original)).</w:t>
      </w:r>
    </w:p>
  </w:footnote>
  <w:footnote w:id="386">
    <w:p w14:paraId="227A19A2" w14:textId="322A4CB0" w:rsidR="00806073" w:rsidRPr="00806073" w:rsidRDefault="00806073">
      <w:pPr>
        <w:pStyle w:val="FootnoteText"/>
      </w:pPr>
      <w:r>
        <w:rPr>
          <w:rStyle w:val="FootnoteReference"/>
        </w:rPr>
        <w:footnoteRef/>
      </w:r>
      <w:r>
        <w:t xml:space="preserve"> </w:t>
      </w:r>
      <w:r>
        <w:rPr>
          <w:i/>
          <w:iCs/>
        </w:rPr>
        <w:t xml:space="preserve">See </w:t>
      </w:r>
      <w:r>
        <w:t xml:space="preserve">Hamilton, </w:t>
      </w:r>
      <w:r>
        <w:rPr>
          <w:i/>
          <w:iCs/>
        </w:rPr>
        <w:t>supra</w:t>
      </w:r>
      <w:r>
        <w:t xml:space="preserve"> note </w:t>
      </w:r>
      <w:r>
        <w:fldChar w:fldCharType="begin"/>
      </w:r>
      <w:r>
        <w:instrText xml:space="preserve"> NOTEREF _Ref185505680 \h </w:instrText>
      </w:r>
      <w:r>
        <w:fldChar w:fldCharType="separate"/>
      </w:r>
      <w:r>
        <w:t>343</w:t>
      </w:r>
      <w:r>
        <w:fldChar w:fldCharType="end"/>
      </w:r>
      <w:r>
        <w:t xml:space="preserve">, at 89 </w:t>
      </w:r>
      <w:r w:rsidR="00ED2E20">
        <w:t>(“In sum, adolescents’ basic cognitive abilities mature by age sixteen and give them the capacity to learn, process information, reason, and make rational decisions.”)</w:t>
      </w:r>
      <w:r>
        <w:t>.</w:t>
      </w:r>
    </w:p>
  </w:footnote>
  <w:footnote w:id="387">
    <w:p w14:paraId="2F1EFC19" w14:textId="01151E2F" w:rsidR="004B236D" w:rsidRPr="004B236D" w:rsidRDefault="004B236D">
      <w:pPr>
        <w:pStyle w:val="FootnoteText"/>
      </w:pPr>
      <w:r>
        <w:rPr>
          <w:rStyle w:val="FootnoteReference"/>
        </w:rPr>
        <w:footnoteRef/>
      </w:r>
      <w:r>
        <w:t xml:space="preserve"> Appell, </w:t>
      </w:r>
      <w:r>
        <w:rPr>
          <w:i/>
          <w:iCs/>
        </w:rPr>
        <w:t>supra</w:t>
      </w:r>
      <w:r>
        <w:t xml:space="preserve"> note </w:t>
      </w:r>
      <w:r>
        <w:fldChar w:fldCharType="begin"/>
      </w:r>
      <w:r>
        <w:instrText xml:space="preserve"> NOTEREF _Ref184806241 \h </w:instrText>
      </w:r>
      <w:r>
        <w:fldChar w:fldCharType="separate"/>
      </w:r>
      <w:r>
        <w:t>27</w:t>
      </w:r>
      <w:r>
        <w:fldChar w:fldCharType="end"/>
      </w:r>
      <w:r>
        <w:t xml:space="preserve">, at </w:t>
      </w:r>
      <w:r w:rsidR="002823C7">
        <w:t xml:space="preserve">718 &amp; n.18 (noting that vulnerability is “a widespread phenomenon that is part of the human condition”), </w:t>
      </w:r>
      <w:r w:rsidR="00D47E45">
        <w:t>725–26.</w:t>
      </w:r>
    </w:p>
  </w:footnote>
  <w:footnote w:id="388">
    <w:p w14:paraId="67C101F5" w14:textId="0124CF28" w:rsidR="005128F8" w:rsidRDefault="005128F8">
      <w:pPr>
        <w:pStyle w:val="FootnoteText"/>
      </w:pPr>
      <w:r>
        <w:rPr>
          <w:rStyle w:val="FootnoteReference"/>
        </w:rPr>
        <w:footnoteRef/>
      </w:r>
      <w:r>
        <w:t xml:space="preserve"> A fact even the Supreme Court has acknowledged. </w:t>
      </w:r>
      <w:r>
        <w:rPr>
          <w:i/>
          <w:iCs/>
        </w:rPr>
        <w:t>See</w:t>
      </w:r>
      <w:r>
        <w:t xml:space="preserve"> Roper v. Simmons, 543 U.S. 551, 574 (2005) (“</w:t>
      </w:r>
      <w:r w:rsidRPr="00447719">
        <w:t>Drawing the line at 18 years of age is subject, of course, to the objections always raised against categorical rules. The qualities that distinguish juveniles from adults do not disappear when an individual turns 18. By the same token, some under 18 have already attained a level of maturity some adults will never reach. For the reasons we have discussed, however, a line must be drawn.</w:t>
      </w:r>
      <w:r>
        <w:t>”).</w:t>
      </w:r>
    </w:p>
  </w:footnote>
  <w:footnote w:id="389">
    <w:p w14:paraId="4729BB18" w14:textId="79D41C0A" w:rsidR="00486D0E" w:rsidRPr="00486D0E" w:rsidRDefault="00486D0E">
      <w:pPr>
        <w:pStyle w:val="FootnoteText"/>
      </w:pPr>
      <w:r>
        <w:rPr>
          <w:rStyle w:val="FootnoteReference"/>
        </w:rPr>
        <w:footnoteRef/>
      </w:r>
      <w:r>
        <w:t xml:space="preserve"> </w:t>
      </w:r>
      <w:r>
        <w:rPr>
          <w:i/>
          <w:iCs/>
        </w:rPr>
        <w:t>See</w:t>
      </w:r>
      <w:r>
        <w:t xml:space="preserve"> Appell, </w:t>
      </w:r>
      <w:r>
        <w:rPr>
          <w:i/>
          <w:iCs/>
        </w:rPr>
        <w:t>supra</w:t>
      </w:r>
      <w:r>
        <w:t xml:space="preserve"> note </w:t>
      </w:r>
      <w:r>
        <w:fldChar w:fldCharType="begin"/>
      </w:r>
      <w:r>
        <w:instrText xml:space="preserve"> NOTEREF _Ref184806241 \h </w:instrText>
      </w:r>
      <w:r>
        <w:fldChar w:fldCharType="separate"/>
      </w:r>
      <w:r>
        <w:t>27</w:t>
      </w:r>
      <w:r>
        <w:fldChar w:fldCharType="end"/>
      </w:r>
      <w:r>
        <w:t xml:space="preserve">, at </w:t>
      </w:r>
      <w:r w:rsidR="00A6677B">
        <w:t xml:space="preserve">726 (noting that </w:t>
      </w:r>
      <w:r w:rsidR="00AD14C7">
        <w:t>the age-of-majority regime “sacrifice[es] childhood to adulthood”).</w:t>
      </w:r>
    </w:p>
  </w:footnote>
  <w:footnote w:id="390">
    <w:p w14:paraId="334F4231" w14:textId="69C2415D" w:rsidR="00E00845" w:rsidRPr="000C4EBA" w:rsidRDefault="00E00845" w:rsidP="00E00845">
      <w:pPr>
        <w:pStyle w:val="FootnoteText"/>
      </w:pPr>
      <w:r>
        <w:rPr>
          <w:rStyle w:val="FootnoteReference"/>
        </w:rPr>
        <w:footnoteRef/>
      </w:r>
      <w:r>
        <w:t xml:space="preserve"> </w:t>
      </w:r>
      <w:r w:rsidR="00186E43">
        <w:t xml:space="preserve">Barbara Bennett </w:t>
      </w:r>
      <w:proofErr w:type="spellStart"/>
      <w:r w:rsidR="00186E43">
        <w:t>Woodhouse’s</w:t>
      </w:r>
      <w:proofErr w:type="spellEnd"/>
      <w:r w:rsidR="00186E43">
        <w:t xml:space="preserve"> book-length treatment </w:t>
      </w:r>
      <w:r w:rsidR="00F36021">
        <w:t xml:space="preserve">of </w:t>
      </w:r>
      <w:r w:rsidR="00C97121">
        <w:t xml:space="preserve">the </w:t>
      </w:r>
      <w:r w:rsidR="007C2896">
        <w:t>manifold</w:t>
      </w:r>
      <w:r w:rsidR="00C97121">
        <w:t xml:space="preserve"> ways that adults exploit their legal power over children is heartbreakingly definitive. </w:t>
      </w:r>
      <w:r w:rsidR="00C97121">
        <w:rPr>
          <w:i/>
          <w:iCs/>
        </w:rPr>
        <w:t>See</w:t>
      </w:r>
      <w:r w:rsidR="00C97121">
        <w:t xml:space="preserve"> </w:t>
      </w:r>
      <w:r w:rsidR="002317A0">
        <w:rPr>
          <w:i/>
          <w:iCs/>
        </w:rPr>
        <w:t xml:space="preserve">generally </w:t>
      </w:r>
      <w:r w:rsidR="000C4EBA" w:rsidRPr="00C94055">
        <w:rPr>
          <w:smallCaps/>
        </w:rPr>
        <w:t>Woodhouse</w:t>
      </w:r>
      <w:r w:rsidR="000C4EBA">
        <w:t xml:space="preserve">, </w:t>
      </w:r>
      <w:r w:rsidR="000C4EBA">
        <w:rPr>
          <w:i/>
          <w:iCs/>
        </w:rPr>
        <w:t>supra</w:t>
      </w:r>
      <w:r w:rsidR="000C4EBA">
        <w:t xml:space="preserve"> note </w:t>
      </w:r>
      <w:r w:rsidR="002317A0">
        <w:fldChar w:fldCharType="begin"/>
      </w:r>
      <w:r w:rsidR="002317A0">
        <w:instrText xml:space="preserve"> NOTEREF _Ref185673650 \h </w:instrText>
      </w:r>
      <w:r w:rsidR="002317A0">
        <w:fldChar w:fldCharType="separate"/>
      </w:r>
      <w:r w:rsidR="002317A0">
        <w:t>321</w:t>
      </w:r>
      <w:r w:rsidR="002317A0">
        <w:fldChar w:fldCharType="end"/>
      </w:r>
      <w:r w:rsidR="002317A0">
        <w:t>.</w:t>
      </w:r>
    </w:p>
  </w:footnote>
  <w:footnote w:id="391">
    <w:p w14:paraId="150A0367" w14:textId="2460DE8C" w:rsidR="00305AE9" w:rsidRPr="00305AE9" w:rsidRDefault="00305AE9">
      <w:pPr>
        <w:pStyle w:val="FootnoteText"/>
      </w:pPr>
      <w:r>
        <w:rPr>
          <w:rStyle w:val="FootnoteReference"/>
        </w:rPr>
        <w:footnoteRef/>
      </w:r>
      <w:r>
        <w:t xml:space="preserve"> </w:t>
      </w:r>
      <w:r>
        <w:rPr>
          <w:i/>
          <w:iCs/>
        </w:rPr>
        <w:t>See</w:t>
      </w:r>
      <w:r>
        <w:t xml:space="preserve"> Troxel v. Granville, 530 U.S. 57, </w:t>
      </w:r>
      <w:r w:rsidR="00F41C46">
        <w:t>68–69 (2000) (plurality opinion) (</w:t>
      </w:r>
      <w:r w:rsidR="00CB7207">
        <w:t>“</w:t>
      </w:r>
      <w:r w:rsidR="00CB7207" w:rsidRPr="00CB7207">
        <w:t>Accordingly, so long as a parent adequately cares for his or her children (i.e., is fit), there will normally be no reason for the State to inject itself into the private realm of the family to further question the ability of that parent to make the</w:t>
      </w:r>
      <w:r w:rsidR="00CB7207">
        <w:t xml:space="preserve"> </w:t>
      </w:r>
      <w:r w:rsidR="00CB7207" w:rsidRPr="00CB7207">
        <w:t>best decisions concerning the rearing of that parent's children.</w:t>
      </w:r>
      <w:r w:rsidR="00CB7207">
        <w:t>”)</w:t>
      </w:r>
      <w:r w:rsidR="005001C9">
        <w:t xml:space="preserve">; Reno v. Flores, </w:t>
      </w:r>
      <w:r w:rsidR="00F376D3">
        <w:t>507 U.S. 292, 303–04 (1993) (“</w:t>
      </w:r>
      <w:r w:rsidR="000D04C9">
        <w:t>‘</w:t>
      </w:r>
      <w:r w:rsidR="00D5186C" w:rsidRPr="00D5186C">
        <w:t>The best interests of the child,</w:t>
      </w:r>
      <w:r w:rsidR="000D04C9">
        <w:t>’</w:t>
      </w:r>
      <w:r w:rsidR="00D5186C" w:rsidRPr="00D5186C">
        <w:t xml:space="preserve"> a venerable phrase familiar from divorce proceedings, is a proper and feasible criterion for making the decision as to which of two parents will be accorded custody. But it is not traditionally the sole criterion—much less the sole </w:t>
      </w:r>
      <w:r w:rsidR="00D5186C" w:rsidRPr="00413C8D">
        <w:rPr>
          <w:i/>
          <w:iCs/>
        </w:rPr>
        <w:t>constitutional</w:t>
      </w:r>
      <w:r w:rsidR="00D5186C" w:rsidRPr="00D5186C">
        <w:t xml:space="preserve"> criterion—for other, less narrowly channeled judgments involving children, where their </w:t>
      </w:r>
      <w:proofErr w:type="gramStart"/>
      <w:r w:rsidR="00D5186C" w:rsidRPr="00D5186C">
        <w:t>interests</w:t>
      </w:r>
      <w:proofErr w:type="gramEnd"/>
      <w:r w:rsidR="00D5186C" w:rsidRPr="00D5186C">
        <w:t xml:space="preserve"> conflict in varying degrees with the interests of others. Even if it were shown, for example, that a particular couple desirous of adopting a child would best provide for the child's welfare, the child would nonetheless not be removed from the custody of its parents so long as they were providing for the child </w:t>
      </w:r>
      <w:r w:rsidR="00D5186C" w:rsidRPr="00D5186C">
        <w:rPr>
          <w:i/>
          <w:iCs/>
        </w:rPr>
        <w:t>adequately</w:t>
      </w:r>
      <w:r w:rsidR="00D5186C" w:rsidRPr="00D5186C">
        <w:t>.</w:t>
      </w:r>
      <w:r w:rsidR="00D5186C">
        <w:t>” (emphasis original))</w:t>
      </w:r>
      <w:r w:rsidR="00CB7207">
        <w:t>.</w:t>
      </w:r>
    </w:p>
  </w:footnote>
  <w:footnote w:id="392">
    <w:p w14:paraId="585D0514" w14:textId="591852AA" w:rsidR="00C27AB3" w:rsidRPr="0004556F" w:rsidRDefault="00C27AB3">
      <w:pPr>
        <w:pStyle w:val="FootnoteText"/>
      </w:pPr>
      <w:r>
        <w:rPr>
          <w:rStyle w:val="FootnoteReference"/>
        </w:rPr>
        <w:footnoteRef/>
      </w:r>
      <w:r>
        <w:t xml:space="preserve"> </w:t>
      </w:r>
      <w:r w:rsidR="002A66E6">
        <w:rPr>
          <w:i/>
          <w:iCs/>
        </w:rPr>
        <w:t>See</w:t>
      </w:r>
      <w:r w:rsidR="002A66E6">
        <w:t xml:space="preserve"> Woodhouse, </w:t>
      </w:r>
      <w:r w:rsidR="0004556F">
        <w:rPr>
          <w:i/>
          <w:iCs/>
        </w:rPr>
        <w:t>supra</w:t>
      </w:r>
      <w:r w:rsidR="0004556F">
        <w:t xml:space="preserve"> note </w:t>
      </w:r>
      <w:r w:rsidR="00F00DFF">
        <w:fldChar w:fldCharType="begin"/>
      </w:r>
      <w:r w:rsidR="00F00DFF">
        <w:instrText xml:space="preserve"> NOTEREF _Ref185673427 \h </w:instrText>
      </w:r>
      <w:r w:rsidR="00F00DFF">
        <w:fldChar w:fldCharType="separate"/>
      </w:r>
      <w:r w:rsidR="00F00DFF">
        <w:t>362</w:t>
      </w:r>
      <w:r w:rsidR="00F00DFF">
        <w:fldChar w:fldCharType="end"/>
      </w:r>
      <w:r w:rsidR="00F00DFF">
        <w:t>, at 1253–54.</w:t>
      </w:r>
    </w:p>
  </w:footnote>
  <w:footnote w:id="393">
    <w:p w14:paraId="54445EF9" w14:textId="0278095E" w:rsidR="000A17D8" w:rsidRPr="00512430" w:rsidRDefault="000A17D8">
      <w:pPr>
        <w:pStyle w:val="FootnoteText"/>
      </w:pPr>
      <w:r>
        <w:rPr>
          <w:rStyle w:val="FootnoteReference"/>
        </w:rPr>
        <w:footnoteRef/>
      </w:r>
      <w:r>
        <w:t xml:space="preserve"> </w:t>
      </w:r>
      <w:r>
        <w:rPr>
          <w:i/>
          <w:iCs/>
        </w:rPr>
        <w:t>But see</w:t>
      </w:r>
      <w:r w:rsidR="00512430">
        <w:t xml:space="preserve"> </w:t>
      </w:r>
      <w:proofErr w:type="spellStart"/>
      <w:r w:rsidR="00512430" w:rsidRPr="00550C78">
        <w:rPr>
          <w:smallCaps/>
        </w:rPr>
        <w:t>Nat’l</w:t>
      </w:r>
      <w:proofErr w:type="spellEnd"/>
      <w:r w:rsidR="00512430" w:rsidRPr="00550C78">
        <w:rPr>
          <w:smallCaps/>
        </w:rPr>
        <w:t xml:space="preserve"> Children’s All.</w:t>
      </w:r>
      <w:r w:rsidR="00512430">
        <w:t xml:space="preserve">, </w:t>
      </w:r>
      <w:r w:rsidR="00512430">
        <w:rPr>
          <w:i/>
          <w:iCs/>
        </w:rPr>
        <w:t>National Statistics on Child Abuse</w:t>
      </w:r>
      <w:r w:rsidR="00512430">
        <w:t xml:space="preserve">, </w:t>
      </w:r>
      <w:hyperlink r:id="rId30" w:history="1">
        <w:r w:rsidR="00512430" w:rsidRPr="00B269EF">
          <w:rPr>
            <w:rStyle w:val="Hyperlink"/>
          </w:rPr>
          <w:t>https://www.nationalchildrensalliance.org/media-room/national-statistics-on-child-abuse/</w:t>
        </w:r>
      </w:hyperlink>
      <w:r w:rsidR="00512430">
        <w:t xml:space="preserve"> [] (noting that </w:t>
      </w:r>
      <w:r w:rsidR="001C52F3">
        <w:t xml:space="preserve">roughly 25 </w:t>
      </w:r>
      <w:r w:rsidR="00CA18BA">
        <w:t xml:space="preserve">percent of girls and </w:t>
      </w:r>
      <w:r w:rsidR="001C52F3">
        <w:t xml:space="preserve">8 percent of boys in the United States </w:t>
      </w:r>
      <w:r w:rsidR="004310A5">
        <w:t xml:space="preserve">experience child abuse and that </w:t>
      </w:r>
      <w:r w:rsidR="00374630">
        <w:t xml:space="preserve">76 percent of abusers are </w:t>
      </w:r>
      <w:r w:rsidR="005B4E77">
        <w:t xml:space="preserve">their </w:t>
      </w:r>
      <w:r w:rsidR="00374630">
        <w:t>parents or legal guardians)</w:t>
      </w:r>
      <w:r w:rsidR="00550C78">
        <w:t xml:space="preserve"> [accessed Dec. 21, 2024 12:16 P.M.]</w:t>
      </w:r>
      <w:r w:rsidR="00374630">
        <w:t>.</w:t>
      </w:r>
      <w:r w:rsidR="004310A5">
        <w:t xml:space="preserve"> </w:t>
      </w:r>
    </w:p>
  </w:footnote>
  <w:footnote w:id="394">
    <w:p w14:paraId="48B7CAE2" w14:textId="317B87AB" w:rsidR="00550C78" w:rsidRPr="00550C78" w:rsidRDefault="00550C78">
      <w:pPr>
        <w:pStyle w:val="FootnoteText"/>
      </w:pPr>
      <w:r>
        <w:rPr>
          <w:rStyle w:val="FootnoteReference"/>
        </w:rPr>
        <w:footnoteRef/>
      </w:r>
      <w:r>
        <w:t xml:space="preserve"> </w:t>
      </w:r>
      <w:r>
        <w:rPr>
          <w:i/>
          <w:iCs/>
        </w:rPr>
        <w:t>See</w:t>
      </w:r>
      <w:r>
        <w:t xml:space="preserve"> Woodhouse, </w:t>
      </w:r>
      <w:r>
        <w:rPr>
          <w:i/>
          <w:iCs/>
        </w:rPr>
        <w:t>supra</w:t>
      </w:r>
      <w:r>
        <w:t xml:space="preserve"> </w:t>
      </w:r>
      <w:r w:rsidR="00457C23">
        <w:t xml:space="preserve">note </w:t>
      </w:r>
      <w:r w:rsidR="00457C23">
        <w:fldChar w:fldCharType="begin"/>
      </w:r>
      <w:r w:rsidR="00457C23">
        <w:instrText xml:space="preserve"> NOTEREF _Ref185673427 \h </w:instrText>
      </w:r>
      <w:r w:rsidR="00457C23">
        <w:fldChar w:fldCharType="separate"/>
      </w:r>
      <w:r w:rsidR="00457C23">
        <w:t>362</w:t>
      </w:r>
      <w:r w:rsidR="00457C23">
        <w:fldChar w:fldCharType="end"/>
      </w:r>
      <w:r w:rsidR="00457C23">
        <w:t>, at 1258 (“This status, as a dependent subject within an autonomous unit, was not good for women, even when the family realm was ‘governed’ by loving and devoted husbands. Why would we assume a similar conceptual status is good for children?”).</w:t>
      </w:r>
    </w:p>
  </w:footnote>
  <w:footnote w:id="395">
    <w:p w14:paraId="16198451" w14:textId="2A6FC36B" w:rsidR="004605FE" w:rsidRDefault="004605FE">
      <w:pPr>
        <w:pStyle w:val="FootnoteText"/>
      </w:pPr>
      <w:r>
        <w:rPr>
          <w:rStyle w:val="FootnoteReference"/>
        </w:rPr>
        <w:footnoteRef/>
      </w:r>
      <w:r>
        <w:t xml:space="preserve"> </w:t>
      </w:r>
      <w:r>
        <w:rPr>
          <w:i/>
          <w:iCs/>
        </w:rPr>
        <w:t>See</w:t>
      </w:r>
      <w:r>
        <w:t xml:space="preserve"> Appell, </w:t>
      </w:r>
      <w:r>
        <w:rPr>
          <w:i/>
          <w:iCs/>
        </w:rPr>
        <w:t>supra</w:t>
      </w:r>
      <w:r>
        <w:t xml:space="preserve"> note </w:t>
      </w:r>
      <w:r>
        <w:fldChar w:fldCharType="begin"/>
      </w:r>
      <w:r>
        <w:instrText xml:space="preserve"> NOTEREF _Ref184806241 \h </w:instrText>
      </w:r>
      <w:r>
        <w:fldChar w:fldCharType="separate"/>
      </w:r>
      <w:r>
        <w:t>27</w:t>
      </w:r>
      <w:r>
        <w:fldChar w:fldCharType="end"/>
      </w:r>
      <w:r>
        <w:t>, at 721.</w:t>
      </w:r>
      <w:r w:rsidR="00C80F8B">
        <w:t xml:space="preserve"> </w:t>
      </w:r>
      <w:r w:rsidR="009A0E68">
        <w:t>Hereditary m</w:t>
      </w:r>
      <w:r w:rsidR="00512E2A">
        <w:t xml:space="preserve">onarchy has also frequently been described as a lottery or dice roll, sometimes </w:t>
      </w:r>
      <w:r w:rsidR="007B5422">
        <w:t>handing the throne to geniuses and sometimes to</w:t>
      </w:r>
      <w:r w:rsidR="0003573A">
        <w:t xml:space="preserve"> ruinous</w:t>
      </w:r>
      <w:r w:rsidR="007B5422">
        <w:t xml:space="preserve"> idiots. </w:t>
      </w:r>
      <w:r w:rsidR="00A202ED">
        <w:t>[</w:t>
      </w:r>
      <w:r w:rsidR="00A202ED" w:rsidRPr="00A202ED">
        <w:rPr>
          <w:highlight w:val="yellow"/>
        </w:rPr>
        <w:t>Cite to Gibbon</w:t>
      </w:r>
      <w:r w:rsidR="00A202ED">
        <w:t>].</w:t>
      </w:r>
    </w:p>
    <w:p w14:paraId="40DD370F" w14:textId="2E4AF570" w:rsidR="00242F76" w:rsidRPr="00242F76" w:rsidRDefault="00242F76" w:rsidP="00242F76">
      <w:pPr>
        <w:pStyle w:val="FootnoteText"/>
        <w:ind w:firstLine="630"/>
      </w:pPr>
      <w:r>
        <w:t xml:space="preserve">This point also answers another common response to criticisms of the legal construction of childhood: that because everyone experiences it, it cannot be unequal. </w:t>
      </w:r>
      <w:r>
        <w:rPr>
          <w:i/>
          <w:iCs/>
        </w:rPr>
        <w:t>See</w:t>
      </w:r>
      <w:r>
        <w:t xml:space="preserve"> Appell, </w:t>
      </w:r>
      <w:r>
        <w:rPr>
          <w:i/>
          <w:iCs/>
        </w:rPr>
        <w:t>supra</w:t>
      </w:r>
      <w:r>
        <w:t xml:space="preserve"> note </w:t>
      </w:r>
      <w:r>
        <w:fldChar w:fldCharType="begin"/>
      </w:r>
      <w:r>
        <w:instrText xml:space="preserve"> NOTEREF _Ref184806241 \h </w:instrText>
      </w:r>
      <w:r>
        <w:fldChar w:fldCharType="separate"/>
      </w:r>
      <w:r>
        <w:t>27</w:t>
      </w:r>
      <w:r>
        <w:fldChar w:fldCharType="end"/>
      </w:r>
      <w:r w:rsidR="00997EA0">
        <w:t>, at 724–25.</w:t>
      </w:r>
    </w:p>
  </w:footnote>
  <w:footnote w:id="396">
    <w:p w14:paraId="6E4D5CC6" w14:textId="666CB1BC" w:rsidR="0018557A" w:rsidRPr="0018557A" w:rsidRDefault="0018557A">
      <w:pPr>
        <w:pStyle w:val="FootnoteText"/>
      </w:pPr>
      <w:r>
        <w:rPr>
          <w:rStyle w:val="FootnoteReference"/>
        </w:rPr>
        <w:footnoteRef/>
      </w:r>
      <w:r>
        <w:t xml:space="preserve"> </w:t>
      </w:r>
      <w:r>
        <w:rPr>
          <w:i/>
          <w:iCs/>
        </w:rPr>
        <w:t>See id.</w:t>
      </w:r>
      <w:r>
        <w:t xml:space="preserve"> (</w:t>
      </w:r>
      <w:r w:rsidR="00A65AFB">
        <w:t>citing the common justification that “children’s confinement is justified because . . . children eventually will be free”).</w:t>
      </w:r>
    </w:p>
  </w:footnote>
  <w:footnote w:id="397">
    <w:p w14:paraId="1E733DE7" w14:textId="294D7D4C" w:rsidR="00320C50" w:rsidRPr="00320C50" w:rsidRDefault="00320C50">
      <w:pPr>
        <w:pStyle w:val="FootnoteText"/>
      </w:pPr>
      <w:r>
        <w:rPr>
          <w:rStyle w:val="FootnoteReference"/>
        </w:rPr>
        <w:footnoteRef/>
      </w:r>
      <w:r>
        <w:t xml:space="preserve"> </w:t>
      </w:r>
      <w:r>
        <w:rPr>
          <w:i/>
          <w:iCs/>
        </w:rPr>
        <w:t>See, e.g.</w:t>
      </w:r>
      <w:r>
        <w:t xml:space="preserve">, </w:t>
      </w:r>
      <w:r w:rsidR="00FC0F5D">
        <w:t xml:space="preserve">Jason E. Goldstick et al., </w:t>
      </w:r>
      <w:r w:rsidR="00503EAE">
        <w:rPr>
          <w:i/>
          <w:iCs/>
        </w:rPr>
        <w:t>Current Causes of Death in Children and Adolescents in the United States</w:t>
      </w:r>
      <w:r w:rsidR="00503EAE">
        <w:t>,</w:t>
      </w:r>
      <w:r w:rsidR="00503EAE">
        <w:rPr>
          <w:i/>
          <w:iCs/>
        </w:rPr>
        <w:t xml:space="preserve"> </w:t>
      </w:r>
      <w:r w:rsidR="009218F2">
        <w:t xml:space="preserve">386 </w:t>
      </w:r>
      <w:r w:rsidR="009218F2" w:rsidRPr="009218F2">
        <w:rPr>
          <w:smallCaps/>
        </w:rPr>
        <w:t>N.E. J. Med.</w:t>
      </w:r>
      <w:r w:rsidR="009218F2">
        <w:t xml:space="preserve"> 1955, 1955 &amp; fig.1 (2022)</w:t>
      </w:r>
      <w:r w:rsidR="00E73746">
        <w:t xml:space="preserve"> (noting that 45,222 Americans under the age of nineteen died by firearm in 2020 alone)</w:t>
      </w:r>
      <w:r w:rsidR="009218F2">
        <w:t>.</w:t>
      </w:r>
    </w:p>
  </w:footnote>
  <w:footnote w:id="398">
    <w:p w14:paraId="15C57785" w14:textId="472D2B6D" w:rsidR="0026060D" w:rsidRPr="00D03673" w:rsidRDefault="0026060D">
      <w:pPr>
        <w:pStyle w:val="FootnoteText"/>
      </w:pPr>
      <w:r>
        <w:rPr>
          <w:rStyle w:val="FootnoteReference"/>
        </w:rPr>
        <w:footnoteRef/>
      </w:r>
      <w:r>
        <w:t xml:space="preserve"> </w:t>
      </w:r>
      <w:r w:rsidR="0051704C">
        <w:t xml:space="preserve">Acknowledgment of this fact </w:t>
      </w:r>
      <w:r w:rsidR="00E81B65">
        <w:t xml:space="preserve">is implicit in the frequent emphasis </w:t>
      </w:r>
      <w:r w:rsidR="0023685F">
        <w:t xml:space="preserve">on children’s “right to an open future.” </w:t>
      </w:r>
      <w:r w:rsidR="0023685F">
        <w:rPr>
          <w:i/>
          <w:iCs/>
        </w:rPr>
        <w:t>See</w:t>
      </w:r>
      <w:r w:rsidR="00872441">
        <w:t xml:space="preserve"> Joseph Millum, </w:t>
      </w:r>
      <w:r w:rsidR="00872441">
        <w:rPr>
          <w:i/>
          <w:iCs/>
        </w:rPr>
        <w:t>The Foundation of the Child’s Right to an Open Future</w:t>
      </w:r>
      <w:r w:rsidR="00872441">
        <w:t xml:space="preserve">, 45 </w:t>
      </w:r>
      <w:r w:rsidR="00872441" w:rsidRPr="00902F37">
        <w:rPr>
          <w:smallCaps/>
        </w:rPr>
        <w:t>J. Soc. Phil.</w:t>
      </w:r>
      <w:r w:rsidR="00872441">
        <w:t xml:space="preserve"> </w:t>
      </w:r>
      <w:r w:rsidR="00902F37">
        <w:t>522, 522 (2014).</w:t>
      </w:r>
      <w:r w:rsidR="00D03673">
        <w:t xml:space="preserve"> I completely agree with the existence of such a right, but I believe it can be best protected by giving children more of an open </w:t>
      </w:r>
      <w:r w:rsidR="00D03673">
        <w:rPr>
          <w:i/>
          <w:iCs/>
        </w:rPr>
        <w:t>present</w:t>
      </w:r>
      <w:r w:rsidR="00D03673">
        <w:t>.</w:t>
      </w:r>
    </w:p>
  </w:footnote>
  <w:footnote w:id="399">
    <w:p w14:paraId="1C380FBA" w14:textId="44552CFF" w:rsidR="00E1087F" w:rsidRDefault="00E1087F">
      <w:pPr>
        <w:pStyle w:val="FootnoteText"/>
      </w:pPr>
      <w:r>
        <w:rPr>
          <w:rStyle w:val="FootnoteReference"/>
        </w:rPr>
        <w:footnoteRef/>
      </w:r>
      <w:r>
        <w:t xml:space="preserve"> </w:t>
      </w:r>
      <w:r w:rsidR="00576DE6">
        <w:t xml:space="preserve">This subsection’s title </w:t>
      </w:r>
      <w:r w:rsidR="00D62688">
        <w:t>references</w:t>
      </w:r>
      <w:r w:rsidR="00576DE6">
        <w:t xml:space="preserve"> Adrienne Cecile Rich, </w:t>
      </w:r>
      <w:r w:rsidR="00576DE6">
        <w:rPr>
          <w:i/>
          <w:iCs/>
        </w:rPr>
        <w:t>Compulsory Heterosexuality and Lesbian Experience</w:t>
      </w:r>
      <w:r w:rsidR="00A869C0">
        <w:rPr>
          <w:i/>
          <w:iCs/>
        </w:rPr>
        <w:t xml:space="preserve"> (1980)</w:t>
      </w:r>
      <w:r w:rsidR="00576DE6">
        <w:t xml:space="preserve">, </w:t>
      </w:r>
      <w:r w:rsidR="00A869C0">
        <w:t xml:space="preserve">15 </w:t>
      </w:r>
      <w:r w:rsidR="00A869C0" w:rsidRPr="00A869C0">
        <w:rPr>
          <w:smallCaps/>
        </w:rPr>
        <w:t>J. Women’s Hist.</w:t>
      </w:r>
      <w:r w:rsidR="00A869C0">
        <w:t xml:space="preserve"> 11 (2003).</w:t>
      </w:r>
      <w:r w:rsidR="00576DE6">
        <w:t xml:space="preserve"> </w:t>
      </w:r>
    </w:p>
  </w:footnote>
  <w:footnote w:id="400">
    <w:p w14:paraId="181581CA" w14:textId="187ACF57" w:rsidR="00897540" w:rsidRPr="00897540" w:rsidRDefault="00897540">
      <w:pPr>
        <w:pStyle w:val="FootnoteText"/>
      </w:pPr>
      <w:r>
        <w:rPr>
          <w:rStyle w:val="FootnoteReference"/>
        </w:rPr>
        <w:footnoteRef/>
      </w:r>
      <w:r>
        <w:t xml:space="preserve"> </w:t>
      </w:r>
      <w:r>
        <w:rPr>
          <w:i/>
          <w:iCs/>
        </w:rPr>
        <w:t>See supra</w:t>
      </w:r>
      <w:r>
        <w:t xml:space="preserve"> note </w:t>
      </w:r>
      <w:r w:rsidR="006F078B">
        <w:fldChar w:fldCharType="begin"/>
      </w:r>
      <w:r w:rsidR="006F078B">
        <w:instrText xml:space="preserve"> NOTEREF _Ref184288923 \h </w:instrText>
      </w:r>
      <w:r w:rsidR="006F078B">
        <w:fldChar w:fldCharType="separate"/>
      </w:r>
      <w:r w:rsidR="006F078B">
        <w:t>50</w:t>
      </w:r>
      <w:r w:rsidR="006F078B">
        <w:fldChar w:fldCharType="end"/>
      </w:r>
      <w:r w:rsidR="006F078B">
        <w:t>–</w:t>
      </w:r>
      <w:r w:rsidR="006F078B">
        <w:fldChar w:fldCharType="begin"/>
      </w:r>
      <w:r w:rsidR="006F078B">
        <w:instrText xml:space="preserve"> NOTEREF _Ref184807671 \h </w:instrText>
      </w:r>
      <w:r w:rsidR="006F078B">
        <w:fldChar w:fldCharType="separate"/>
      </w:r>
      <w:r w:rsidR="006F078B">
        <w:t>52</w:t>
      </w:r>
      <w:r w:rsidR="006F078B">
        <w:fldChar w:fldCharType="end"/>
      </w:r>
      <w:r w:rsidR="006F078B">
        <w:t xml:space="preserve"> and accompanying text.</w:t>
      </w:r>
    </w:p>
  </w:footnote>
  <w:footnote w:id="401">
    <w:p w14:paraId="053C985F" w14:textId="34E50877" w:rsidR="00BB7CE3" w:rsidRPr="00BB7CE3" w:rsidRDefault="00BB7CE3">
      <w:pPr>
        <w:pStyle w:val="FootnoteText"/>
      </w:pPr>
      <w:r>
        <w:rPr>
          <w:rStyle w:val="FootnoteReference"/>
        </w:rPr>
        <w:footnoteRef/>
      </w:r>
      <w:r>
        <w:t xml:space="preserve"> </w:t>
      </w:r>
      <w:r>
        <w:rPr>
          <w:i/>
          <w:iCs/>
        </w:rPr>
        <w:t>See</w:t>
      </w:r>
      <w:r>
        <w:t xml:space="preserve"> Beverly I. Fagot &amp; Mary D. Leinbach, </w:t>
      </w:r>
      <w:r>
        <w:rPr>
          <w:i/>
          <w:iCs/>
        </w:rPr>
        <w:t>Gender-Role Development in Young Children: From Discrimination to Labeling</w:t>
      </w:r>
      <w:r>
        <w:t xml:space="preserve">, 13 </w:t>
      </w:r>
      <w:r w:rsidRPr="00051887">
        <w:rPr>
          <w:smallCaps/>
        </w:rPr>
        <w:t>Dev. Rev.</w:t>
      </w:r>
      <w:r>
        <w:t xml:space="preserve"> 205, 205–206 (1993).</w:t>
      </w:r>
    </w:p>
  </w:footnote>
  <w:footnote w:id="402">
    <w:p w14:paraId="630E2CD1" w14:textId="70576C94" w:rsidR="00660403" w:rsidRPr="002E099A" w:rsidRDefault="00660403" w:rsidP="00660403">
      <w:pPr>
        <w:pStyle w:val="FootnoteText"/>
      </w:pPr>
      <w:r>
        <w:rPr>
          <w:rStyle w:val="FootnoteReference"/>
        </w:rPr>
        <w:footnoteRef/>
      </w:r>
      <w:r>
        <w:t xml:space="preserve"> </w:t>
      </w:r>
      <w:proofErr w:type="gramStart"/>
      <w:r>
        <w:rPr>
          <w:i/>
          <w:iCs/>
        </w:rPr>
        <w:t>Id.</w:t>
      </w:r>
      <w:r>
        <w:t>;</w:t>
      </w:r>
      <w:proofErr w:type="gramEnd"/>
      <w:r>
        <w:t xml:space="preserve"> </w:t>
      </w:r>
      <w:proofErr w:type="spellStart"/>
      <w:r w:rsidRPr="00D26247">
        <w:rPr>
          <w:smallCaps/>
        </w:rPr>
        <w:t>Christia</w:t>
      </w:r>
      <w:proofErr w:type="spellEnd"/>
      <w:r w:rsidRPr="00D26247">
        <w:rPr>
          <w:smallCaps/>
        </w:rPr>
        <w:t xml:space="preserve"> Spears Brown et al., Gender in Childhood</w:t>
      </w:r>
      <w:r>
        <w:t xml:space="preserve"> 21–23 (2020) (noting that “[s]</w:t>
      </w:r>
      <w:proofErr w:type="spellStart"/>
      <w:r>
        <w:t>ome</w:t>
      </w:r>
      <w:proofErr w:type="spellEnd"/>
      <w:r>
        <w:t xml:space="preserve"> research suggests that, by three or four months, infants can distinguish between women’s and men’s faces”).</w:t>
      </w:r>
    </w:p>
  </w:footnote>
  <w:footnote w:id="403">
    <w:p w14:paraId="036E9C30" w14:textId="35AA0960" w:rsidR="00660403" w:rsidRPr="00660403" w:rsidRDefault="00660403">
      <w:pPr>
        <w:pStyle w:val="FootnoteText"/>
      </w:pPr>
      <w:r>
        <w:rPr>
          <w:rStyle w:val="FootnoteReference"/>
        </w:rPr>
        <w:footnoteRef/>
      </w:r>
      <w:r>
        <w:t xml:space="preserve"> Fagot &amp; Leinbach, </w:t>
      </w:r>
      <w:r>
        <w:rPr>
          <w:i/>
          <w:iCs/>
        </w:rPr>
        <w:t>supra</w:t>
      </w:r>
      <w:r>
        <w:t xml:space="preserve"> note </w:t>
      </w:r>
      <w:r>
        <w:fldChar w:fldCharType="begin"/>
      </w:r>
      <w:r>
        <w:instrText xml:space="preserve"> NOTEREF _Ref184908595 \h </w:instrText>
      </w:r>
      <w:r>
        <w:fldChar w:fldCharType="separate"/>
      </w:r>
      <w:r>
        <w:t>344</w:t>
      </w:r>
      <w:r>
        <w:fldChar w:fldCharType="end"/>
      </w:r>
      <w:r>
        <w:t>, at 206</w:t>
      </w:r>
      <w:r w:rsidR="001E19DB">
        <w:t>.</w:t>
      </w:r>
    </w:p>
  </w:footnote>
  <w:footnote w:id="404">
    <w:p w14:paraId="328D015E" w14:textId="2FAB8EAF" w:rsidR="000F1294" w:rsidRPr="000F1294" w:rsidRDefault="000F1294">
      <w:pPr>
        <w:pStyle w:val="FootnoteText"/>
      </w:pPr>
      <w:r>
        <w:rPr>
          <w:rStyle w:val="FootnoteReference"/>
        </w:rPr>
        <w:footnoteRef/>
      </w:r>
      <w:r>
        <w:t xml:space="preserve"> </w:t>
      </w:r>
      <w:r>
        <w:rPr>
          <w:i/>
          <w:iCs/>
        </w:rPr>
        <w:t>See supra</w:t>
      </w:r>
      <w:r>
        <w:t xml:space="preserve"> notes </w:t>
      </w:r>
      <w:r>
        <w:fldChar w:fldCharType="begin"/>
      </w:r>
      <w:r>
        <w:instrText xml:space="preserve"> NOTEREF _Ref184645027 \h </w:instrText>
      </w:r>
      <w:r>
        <w:fldChar w:fldCharType="separate"/>
      </w:r>
      <w:r>
        <w:t>330</w:t>
      </w:r>
      <w:r>
        <w:fldChar w:fldCharType="end"/>
      </w:r>
      <w:r>
        <w:t>–</w:t>
      </w:r>
      <w:r>
        <w:fldChar w:fldCharType="begin"/>
      </w:r>
      <w:r>
        <w:instrText xml:space="preserve"> NOTEREF _Ref184908895 \h </w:instrText>
      </w:r>
      <w:r>
        <w:fldChar w:fldCharType="separate"/>
      </w:r>
      <w:r>
        <w:t>334</w:t>
      </w:r>
      <w:r>
        <w:fldChar w:fldCharType="end"/>
      </w:r>
      <w:r>
        <w:t xml:space="preserve"> and accompanying text.</w:t>
      </w:r>
    </w:p>
  </w:footnote>
  <w:footnote w:id="405">
    <w:p w14:paraId="0C8ACC2F" w14:textId="2B7F6451" w:rsidR="00E53E5C" w:rsidRPr="002F7F9F" w:rsidRDefault="00E53E5C">
      <w:pPr>
        <w:pStyle w:val="FootnoteText"/>
      </w:pPr>
      <w:r>
        <w:rPr>
          <w:rStyle w:val="FootnoteReference"/>
        </w:rPr>
        <w:footnoteRef/>
      </w:r>
      <w:r>
        <w:t xml:space="preserve"> </w:t>
      </w:r>
      <w:r w:rsidR="002F7F9F">
        <w:rPr>
          <w:i/>
          <w:iCs/>
        </w:rPr>
        <w:t>See supra</w:t>
      </w:r>
      <w:r w:rsidR="002F7F9F">
        <w:t xml:space="preserve"> note </w:t>
      </w:r>
      <w:r w:rsidR="00DC3F2A">
        <w:fldChar w:fldCharType="begin"/>
      </w:r>
      <w:r w:rsidR="00DC3F2A">
        <w:instrText xml:space="preserve"> NOTEREF _Ref184288923 \h </w:instrText>
      </w:r>
      <w:r w:rsidR="00DC3F2A">
        <w:fldChar w:fldCharType="separate"/>
      </w:r>
      <w:r w:rsidR="00DC3F2A">
        <w:t>50</w:t>
      </w:r>
      <w:r w:rsidR="00DC3F2A">
        <w:fldChar w:fldCharType="end"/>
      </w:r>
      <w:r w:rsidR="00DC3F2A">
        <w:t>.</w:t>
      </w:r>
    </w:p>
  </w:footnote>
  <w:footnote w:id="406">
    <w:p w14:paraId="71593EF2" w14:textId="55BF83B9" w:rsidR="0017326D" w:rsidRPr="0017326D" w:rsidRDefault="0017326D">
      <w:pPr>
        <w:pStyle w:val="FootnoteText"/>
      </w:pPr>
      <w:r>
        <w:rPr>
          <w:rStyle w:val="FootnoteReference"/>
        </w:rPr>
        <w:footnoteRef/>
      </w:r>
      <w:r>
        <w:t xml:space="preserve"> </w:t>
      </w:r>
      <w:r>
        <w:rPr>
          <w:i/>
          <w:iCs/>
        </w:rPr>
        <w:t>See</w:t>
      </w:r>
      <w:r>
        <w:t xml:space="preserve"> Fagot &amp; Leinbach, </w:t>
      </w:r>
      <w:r>
        <w:rPr>
          <w:i/>
          <w:iCs/>
        </w:rPr>
        <w:t>supra</w:t>
      </w:r>
      <w:r>
        <w:t xml:space="preserve"> note </w:t>
      </w:r>
      <w:r>
        <w:fldChar w:fldCharType="begin"/>
      </w:r>
      <w:r>
        <w:instrText xml:space="preserve"> NOTEREF _Ref184908595 \h </w:instrText>
      </w:r>
      <w:r>
        <w:fldChar w:fldCharType="separate"/>
      </w:r>
      <w:r>
        <w:t>344</w:t>
      </w:r>
      <w:r>
        <w:fldChar w:fldCharType="end"/>
      </w:r>
      <w:r w:rsidR="001E19DB">
        <w:t>, at 206 (“Children are unified beings who experience the contingencies of a sex-typed world, who try to make sense of all they take in, who care very much about their identity as girl or boy, and who stive to get it right.”).</w:t>
      </w:r>
    </w:p>
  </w:footnote>
  <w:footnote w:id="407">
    <w:p w14:paraId="5EE6A1FF" w14:textId="3822F230" w:rsidR="00727F47" w:rsidRPr="00727F47" w:rsidRDefault="00727F47">
      <w:pPr>
        <w:pStyle w:val="FootnoteText"/>
      </w:pPr>
      <w:r>
        <w:rPr>
          <w:rStyle w:val="FootnoteReference"/>
        </w:rPr>
        <w:footnoteRef/>
      </w:r>
      <w:r>
        <w:t xml:space="preserve"> </w:t>
      </w:r>
      <w:r>
        <w:rPr>
          <w:i/>
          <w:iCs/>
        </w:rPr>
        <w:t>Id.</w:t>
      </w:r>
      <w:r>
        <w:t xml:space="preserve"> at </w:t>
      </w:r>
      <w:r w:rsidR="00395D4C">
        <w:t>205.</w:t>
      </w:r>
    </w:p>
  </w:footnote>
  <w:footnote w:id="408">
    <w:p w14:paraId="77FE3BC4" w14:textId="77777777" w:rsidR="004B0BC9" w:rsidRPr="00E8673F" w:rsidRDefault="004B0BC9" w:rsidP="004B0BC9">
      <w:pPr>
        <w:pStyle w:val="FootnoteText"/>
      </w:pPr>
      <w:r>
        <w:rPr>
          <w:rStyle w:val="FootnoteReference"/>
        </w:rPr>
        <w:footnoteRef/>
      </w:r>
      <w:r>
        <w:t xml:space="preserve"> </w:t>
      </w:r>
      <w:r>
        <w:rPr>
          <w:i/>
          <w:iCs/>
        </w:rPr>
        <w:t>See</w:t>
      </w:r>
      <w:r>
        <w:t xml:space="preserve"> Martin &amp; Ruble, </w:t>
      </w:r>
      <w:r>
        <w:rPr>
          <w:i/>
          <w:iCs/>
        </w:rPr>
        <w:t>supra</w:t>
      </w:r>
      <w:r>
        <w:t xml:space="preserve"> note </w:t>
      </w:r>
      <w:r>
        <w:fldChar w:fldCharType="begin"/>
      </w:r>
      <w:r>
        <w:instrText xml:space="preserve"> NOTEREF _Ref184982998 \h </w:instrText>
      </w:r>
      <w:r>
        <w:fldChar w:fldCharType="separate"/>
      </w:r>
      <w:r>
        <w:t>342</w:t>
      </w:r>
      <w:r>
        <w:fldChar w:fldCharType="end"/>
      </w:r>
      <w:r>
        <w:t xml:space="preserve">, at 68; Kristina M. </w:t>
      </w:r>
      <w:proofErr w:type="spellStart"/>
      <w:r>
        <w:t>Zosuls</w:t>
      </w:r>
      <w:proofErr w:type="spellEnd"/>
      <w:r>
        <w:t xml:space="preserve"> &amp; Diane N. Ruble, </w:t>
      </w:r>
      <w:r>
        <w:rPr>
          <w:i/>
          <w:iCs/>
        </w:rPr>
        <w:t>Gender-Typed Toy Preferences Among Infants and Toddlers</w:t>
      </w:r>
      <w:r>
        <w:t xml:space="preserve">, in </w:t>
      </w:r>
      <w:r w:rsidRPr="00F40D6C">
        <w:rPr>
          <w:smallCaps/>
        </w:rPr>
        <w:t>Gender Typing of Children’s Toys: How Early Play Experiences Impact Development</w:t>
      </w:r>
      <w:r>
        <w:t xml:space="preserve"> (Erica S. Weisgram &amp; Lisa M. Dinella, eds.) 49–72, 49 (2018) (noting that “it is difficult to identify another behavioral characteristic, other than clothing choices, that more clearly differentiates boys and girls than do toy preferences” (internal citations omitted)).</w:t>
      </w:r>
    </w:p>
  </w:footnote>
  <w:footnote w:id="409">
    <w:p w14:paraId="40D2277F" w14:textId="4D8E8BFD" w:rsidR="00E059A0" w:rsidRPr="00E40C63" w:rsidRDefault="00E059A0" w:rsidP="00E059A0">
      <w:pPr>
        <w:pStyle w:val="FootnoteText"/>
      </w:pPr>
      <w:r>
        <w:rPr>
          <w:rStyle w:val="FootnoteReference"/>
        </w:rPr>
        <w:footnoteRef/>
      </w:r>
      <w:r>
        <w:t xml:space="preserve"> </w:t>
      </w:r>
      <w:r>
        <w:rPr>
          <w:i/>
          <w:iCs/>
        </w:rPr>
        <w:t>See</w:t>
      </w:r>
      <w:r>
        <w:t xml:space="preserve"> Martin &amp; Ruble, </w:t>
      </w:r>
      <w:r>
        <w:rPr>
          <w:i/>
          <w:iCs/>
        </w:rPr>
        <w:t>supra</w:t>
      </w:r>
      <w:r>
        <w:t xml:space="preserve"> note </w:t>
      </w:r>
      <w:r>
        <w:fldChar w:fldCharType="begin"/>
      </w:r>
      <w:r>
        <w:instrText xml:space="preserve"> NOTEREF _Ref184982998 \h </w:instrText>
      </w:r>
      <w:r>
        <w:fldChar w:fldCharType="separate"/>
      </w:r>
      <w:r>
        <w:t>342</w:t>
      </w:r>
      <w:r>
        <w:fldChar w:fldCharType="end"/>
      </w:r>
      <w:r>
        <w:t>, at 67–68 (quoting one example in which, having watched his father and a male friend order pizza while his mother ordered lasagna, pronounced that “Men eat pizza and women don’t”)</w:t>
      </w:r>
      <w:r w:rsidR="0029484E">
        <w:t xml:space="preserve">; </w:t>
      </w:r>
      <w:r w:rsidR="00D22DEA">
        <w:t xml:space="preserve">Diane N. Ruble et al., </w:t>
      </w:r>
      <w:r w:rsidR="00D22DEA">
        <w:rPr>
          <w:i/>
          <w:iCs/>
        </w:rPr>
        <w:t>The Role of Gender Constancy in Early Gender Development</w:t>
      </w:r>
      <w:r w:rsidR="00D22DEA">
        <w:t xml:space="preserve">, 78 </w:t>
      </w:r>
      <w:r w:rsidR="00D22DEA" w:rsidRPr="00C24B34">
        <w:rPr>
          <w:smallCaps/>
        </w:rPr>
        <w:t>Child Dev.</w:t>
      </w:r>
      <w:r w:rsidR="00D22DEA">
        <w:t xml:space="preserve"> 1121,</w:t>
      </w:r>
      <w:r w:rsidR="00D22DEA">
        <w:rPr>
          <w:i/>
          <w:iCs/>
        </w:rPr>
        <w:t xml:space="preserve"> </w:t>
      </w:r>
      <w:r w:rsidR="00D22DEA">
        <w:t>1132 (2007)</w:t>
      </w:r>
      <w:r>
        <w:t>.</w:t>
      </w:r>
    </w:p>
  </w:footnote>
  <w:footnote w:id="410">
    <w:p w14:paraId="07F59AA4" w14:textId="332252C4" w:rsidR="007F289E" w:rsidRPr="007F289E" w:rsidRDefault="007F289E">
      <w:pPr>
        <w:pStyle w:val="FootnoteText"/>
      </w:pPr>
      <w:r>
        <w:rPr>
          <w:rStyle w:val="FootnoteReference"/>
        </w:rPr>
        <w:footnoteRef/>
      </w:r>
      <w:r>
        <w:t xml:space="preserve"> </w:t>
      </w:r>
      <w:r>
        <w:rPr>
          <w:i/>
          <w:iCs/>
        </w:rPr>
        <w:t>See</w:t>
      </w:r>
      <w:r>
        <w:t xml:space="preserve"> Beverly I. Fagot &amp; Mary D. Leinbach, </w:t>
      </w:r>
      <w:r>
        <w:rPr>
          <w:i/>
          <w:iCs/>
        </w:rPr>
        <w:t>The Young Child’s Gender Schema: Environmental Input, Internal Organization</w:t>
      </w:r>
      <w:r>
        <w:t xml:space="preserve">, </w:t>
      </w:r>
      <w:r w:rsidR="009F3719">
        <w:t xml:space="preserve">60 </w:t>
      </w:r>
      <w:r w:rsidR="009F3719" w:rsidRPr="00BF5E12">
        <w:rPr>
          <w:smallCaps/>
        </w:rPr>
        <w:t>Child Dev.</w:t>
      </w:r>
      <w:r w:rsidR="009F3719">
        <w:t xml:space="preserve"> 663, 674 (1989) (“</w:t>
      </w:r>
      <w:r w:rsidR="00284FA8">
        <w:t xml:space="preserve">[T]he child’s comprehension [of gender roles] </w:t>
      </w:r>
      <w:r w:rsidR="00284FA8">
        <w:rPr>
          <w:i/>
          <w:iCs/>
        </w:rPr>
        <w:t>as a whole</w:t>
      </w:r>
      <w:r w:rsidR="00284FA8">
        <w:t xml:space="preserve"> is significantly influenced </w:t>
      </w:r>
      <w:r w:rsidR="00521BB8">
        <w:t>by the parents’ affective, rather than informational, input regarding gender.</w:t>
      </w:r>
      <w:r w:rsidR="00C0633C">
        <w:t>”</w:t>
      </w:r>
      <w:r w:rsidR="00521BB8">
        <w:t xml:space="preserve"> (emphasis original)</w:t>
      </w:r>
      <w:r w:rsidR="00C0633C">
        <w:t>).</w:t>
      </w:r>
      <w:r>
        <w:t xml:space="preserve"> </w:t>
      </w:r>
    </w:p>
  </w:footnote>
  <w:footnote w:id="411">
    <w:p w14:paraId="6DE3136C" w14:textId="12DF4AE7" w:rsidR="00533AAA" w:rsidRPr="00284551" w:rsidRDefault="00533AAA">
      <w:pPr>
        <w:pStyle w:val="FootnoteText"/>
      </w:pPr>
      <w:r>
        <w:rPr>
          <w:rStyle w:val="FootnoteReference"/>
        </w:rPr>
        <w:footnoteRef/>
      </w:r>
      <w:r>
        <w:t xml:space="preserve"> </w:t>
      </w:r>
      <w:r w:rsidR="007E522A">
        <w:rPr>
          <w:i/>
          <w:iCs/>
        </w:rPr>
        <w:t>See</w:t>
      </w:r>
      <w:r w:rsidR="00DD7295">
        <w:t xml:space="preserve"> Carol Lynn Martin et al., </w:t>
      </w:r>
      <w:r w:rsidR="00DD7295">
        <w:rPr>
          <w:i/>
          <w:iCs/>
        </w:rPr>
        <w:t>Children’s Gender-Based Reasoning About Toys</w:t>
      </w:r>
      <w:r w:rsidR="00DD7295">
        <w:t xml:space="preserve">, 66 </w:t>
      </w:r>
      <w:r w:rsidR="00DD7295" w:rsidRPr="00284551">
        <w:rPr>
          <w:smallCaps/>
        </w:rPr>
        <w:t>Child Dev.</w:t>
      </w:r>
      <w:r w:rsidR="00DD7295">
        <w:t xml:space="preserve"> </w:t>
      </w:r>
      <w:r w:rsidR="00FD41FE">
        <w:t xml:space="preserve">1453, </w:t>
      </w:r>
      <w:r w:rsidR="00D42B0D">
        <w:t>1465</w:t>
      </w:r>
      <w:r w:rsidR="00387895">
        <w:t xml:space="preserve"> (</w:t>
      </w:r>
      <w:r w:rsidR="00284551">
        <w:t>1995) (</w:t>
      </w:r>
      <w:r w:rsidR="00D42B0D">
        <w:t xml:space="preserve">demonstrating a “hot potato” effect in which children quickly discarded toys they previously found attractive </w:t>
      </w:r>
      <w:r w:rsidR="00FF54AD">
        <w:t>upon learning that the toy was associated with the “other” gender).</w:t>
      </w:r>
    </w:p>
  </w:footnote>
  <w:footnote w:id="412">
    <w:p w14:paraId="0703DF4F" w14:textId="7BC0A3A6" w:rsidR="007E522A" w:rsidRPr="006B7ED8" w:rsidRDefault="007E522A">
      <w:pPr>
        <w:pStyle w:val="FootnoteText"/>
      </w:pPr>
      <w:r>
        <w:rPr>
          <w:rStyle w:val="FootnoteReference"/>
        </w:rPr>
        <w:footnoteRef/>
      </w:r>
      <w:r>
        <w:t xml:space="preserve"> </w:t>
      </w:r>
      <w:r w:rsidR="006B7ED8">
        <w:rPr>
          <w:i/>
          <w:iCs/>
        </w:rPr>
        <w:t>Id.</w:t>
      </w:r>
      <w:r w:rsidR="006B7ED8">
        <w:t xml:space="preserve"> at 1454–55 &amp; fig.1</w:t>
      </w:r>
      <w:r w:rsidR="00875C0C">
        <w:t xml:space="preserve">; Eva </w:t>
      </w:r>
      <w:proofErr w:type="spellStart"/>
      <w:r w:rsidR="00875C0C">
        <w:rPr>
          <w:rFonts w:ascii="Times New Roman" w:hAnsi="Times New Roman"/>
        </w:rPr>
        <w:t>Ä</w:t>
      </w:r>
      <w:r w:rsidR="00875C0C">
        <w:t>ngg</w:t>
      </w:r>
      <w:r w:rsidR="00875C0C">
        <w:rPr>
          <w:rFonts w:ascii="Times New Roman" w:hAnsi="Times New Roman"/>
        </w:rPr>
        <w:t>å</w:t>
      </w:r>
      <w:r w:rsidR="00875C0C">
        <w:t>rd</w:t>
      </w:r>
      <w:proofErr w:type="spellEnd"/>
      <w:r w:rsidR="00875C0C">
        <w:t xml:space="preserve">, </w:t>
      </w:r>
      <w:r w:rsidR="00875C0C">
        <w:rPr>
          <w:i/>
          <w:iCs/>
        </w:rPr>
        <w:t>Children’s Gendered and Non-Gendered Play in Natural Spaces</w:t>
      </w:r>
      <w:r w:rsidR="00875C0C">
        <w:t xml:space="preserve">, 21 </w:t>
      </w:r>
      <w:r w:rsidR="00875C0C" w:rsidRPr="006E4B77">
        <w:rPr>
          <w:smallCaps/>
        </w:rPr>
        <w:t xml:space="preserve">Child., Youth, &amp; </w:t>
      </w:r>
      <w:proofErr w:type="spellStart"/>
      <w:r w:rsidR="00875C0C" w:rsidRPr="006E4B77">
        <w:rPr>
          <w:smallCaps/>
        </w:rPr>
        <w:t>Env’ts</w:t>
      </w:r>
      <w:proofErr w:type="spellEnd"/>
      <w:r w:rsidR="00875C0C">
        <w:t xml:space="preserve"> 5, 27 (2011);</w:t>
      </w:r>
      <w:r w:rsidR="00875C0C">
        <w:rPr>
          <w:i/>
          <w:iCs/>
        </w:rPr>
        <w:t xml:space="preserve"> </w:t>
      </w:r>
      <w:proofErr w:type="spellStart"/>
      <w:r w:rsidR="00875C0C">
        <w:t>Eunsook</w:t>
      </w:r>
      <w:proofErr w:type="spellEnd"/>
      <w:r w:rsidR="00875C0C">
        <w:t xml:space="preserve"> Hyun &amp; Dong Haw Choi, </w:t>
      </w:r>
      <w:r w:rsidR="00875C0C">
        <w:rPr>
          <w:i/>
          <w:iCs/>
        </w:rPr>
        <w:t>Examination of Young Children’s Gender-Doing and Gender-Bending in Their Play Dynamics: A Cross-Cultural Exploration</w:t>
      </w:r>
      <w:r w:rsidR="00875C0C">
        <w:t xml:space="preserve">, 36 </w:t>
      </w:r>
      <w:r w:rsidR="00875C0C" w:rsidRPr="002865F9">
        <w:rPr>
          <w:smallCaps/>
        </w:rPr>
        <w:t>Int’l J. Early Childhood</w:t>
      </w:r>
      <w:r w:rsidR="00875C0C">
        <w:t xml:space="preserve"> 49, 50–51 (2004).</w:t>
      </w:r>
    </w:p>
  </w:footnote>
  <w:footnote w:id="413">
    <w:p w14:paraId="0DF5B3EA" w14:textId="48F1106A" w:rsidR="00EB0A04" w:rsidRPr="00EB0A04" w:rsidRDefault="00EB0A04">
      <w:pPr>
        <w:pStyle w:val="FootnoteText"/>
      </w:pPr>
      <w:r>
        <w:rPr>
          <w:rStyle w:val="FootnoteReference"/>
        </w:rPr>
        <w:footnoteRef/>
      </w:r>
      <w:r>
        <w:t xml:space="preserve"> </w:t>
      </w:r>
      <w:r>
        <w:rPr>
          <w:i/>
          <w:iCs/>
        </w:rPr>
        <w:t>See</w:t>
      </w:r>
      <w:r>
        <w:t xml:space="preserve"> </w:t>
      </w:r>
      <w:r w:rsidRPr="0001725C">
        <w:rPr>
          <w:smallCaps/>
        </w:rPr>
        <w:t>Turban</w:t>
      </w:r>
      <w:r>
        <w:t xml:space="preserve">, </w:t>
      </w:r>
      <w:r>
        <w:rPr>
          <w:i/>
          <w:iCs/>
        </w:rPr>
        <w:t>supra</w:t>
      </w:r>
      <w:r>
        <w:t xml:space="preserve"> note </w:t>
      </w:r>
      <w:r w:rsidR="0001725C">
        <w:fldChar w:fldCharType="begin"/>
      </w:r>
      <w:r w:rsidR="0001725C">
        <w:instrText xml:space="preserve"> NOTEREF _Ref184739380 \h </w:instrText>
      </w:r>
      <w:r w:rsidR="0001725C">
        <w:fldChar w:fldCharType="separate"/>
      </w:r>
      <w:r w:rsidR="0001725C">
        <w:t>14</w:t>
      </w:r>
      <w:r w:rsidR="0001725C">
        <w:fldChar w:fldCharType="end"/>
      </w:r>
      <w:r w:rsidR="0001725C">
        <w:t>, at 51–52.</w:t>
      </w:r>
    </w:p>
  </w:footnote>
  <w:footnote w:id="414">
    <w:p w14:paraId="4F27A578" w14:textId="62BC74FF" w:rsidR="00047BEA" w:rsidRPr="00A54FCB" w:rsidRDefault="00047BEA">
      <w:pPr>
        <w:pStyle w:val="FootnoteText"/>
      </w:pPr>
      <w:r>
        <w:rPr>
          <w:rStyle w:val="FootnoteReference"/>
        </w:rPr>
        <w:footnoteRef/>
      </w:r>
      <w:r>
        <w:t xml:space="preserve"> </w:t>
      </w:r>
      <w:r w:rsidR="001F1C6E">
        <w:rPr>
          <w:i/>
          <w:iCs/>
        </w:rPr>
        <w:t>See</w:t>
      </w:r>
      <w:r w:rsidR="001F1C6E">
        <w:t xml:space="preserve"> </w:t>
      </w:r>
      <w:proofErr w:type="spellStart"/>
      <w:r w:rsidR="001F1C6E">
        <w:t>Änggård</w:t>
      </w:r>
      <w:proofErr w:type="spellEnd"/>
      <w:r w:rsidR="001F1C6E">
        <w:t xml:space="preserve">, </w:t>
      </w:r>
      <w:r w:rsidR="001F1C6E">
        <w:rPr>
          <w:i/>
          <w:iCs/>
        </w:rPr>
        <w:t>supra</w:t>
      </w:r>
      <w:r w:rsidR="001F1C6E">
        <w:t xml:space="preserve"> note </w:t>
      </w:r>
      <w:r w:rsidR="001F1C6E">
        <w:fldChar w:fldCharType="begin"/>
      </w:r>
      <w:r w:rsidR="001F1C6E">
        <w:instrText xml:space="preserve"> NOTEREF _Ref184990588 \h </w:instrText>
      </w:r>
      <w:r w:rsidR="001F1C6E">
        <w:fldChar w:fldCharType="separate"/>
      </w:r>
      <w:r w:rsidR="001F1C6E">
        <w:t>353</w:t>
      </w:r>
      <w:r w:rsidR="001F1C6E">
        <w:fldChar w:fldCharType="end"/>
      </w:r>
      <w:r w:rsidR="001F1C6E">
        <w:t xml:space="preserve">, at </w:t>
      </w:r>
      <w:r w:rsidR="00A54FCB">
        <w:t xml:space="preserve">25–25; Hyun &amp; Choi, </w:t>
      </w:r>
      <w:r w:rsidR="00A54FCB">
        <w:rPr>
          <w:i/>
          <w:iCs/>
        </w:rPr>
        <w:t>supra</w:t>
      </w:r>
      <w:r w:rsidR="00A54FCB">
        <w:t xml:space="preserve"> note </w:t>
      </w:r>
      <w:r w:rsidR="00A54FCB">
        <w:fldChar w:fldCharType="begin"/>
      </w:r>
      <w:r w:rsidR="00A54FCB">
        <w:instrText xml:space="preserve"> NOTEREF _Ref184990588 \h </w:instrText>
      </w:r>
      <w:r w:rsidR="00A54FCB">
        <w:fldChar w:fldCharType="separate"/>
      </w:r>
      <w:r w:rsidR="00A54FCB">
        <w:t>353</w:t>
      </w:r>
      <w:r w:rsidR="00A54FCB">
        <w:fldChar w:fldCharType="end"/>
      </w:r>
      <w:r w:rsidR="00A54FCB">
        <w:t xml:space="preserve">, at </w:t>
      </w:r>
      <w:r w:rsidR="00BF05FA">
        <w:t>62–63.</w:t>
      </w:r>
    </w:p>
  </w:footnote>
  <w:footnote w:id="415">
    <w:p w14:paraId="3B2D4133" w14:textId="6CA9AA01" w:rsidR="00147497" w:rsidRPr="00147497" w:rsidRDefault="00147497">
      <w:pPr>
        <w:pStyle w:val="FootnoteText"/>
      </w:pPr>
      <w:r>
        <w:rPr>
          <w:rStyle w:val="FootnoteReference"/>
        </w:rPr>
        <w:footnoteRef/>
      </w:r>
      <w:r>
        <w:t xml:space="preserve"> </w:t>
      </w:r>
      <w:r>
        <w:rPr>
          <w:i/>
          <w:iCs/>
        </w:rPr>
        <w:t>See</w:t>
      </w:r>
      <w:r>
        <w:t xml:space="preserve"> Fagot &amp; Leinbach, </w:t>
      </w:r>
      <w:r>
        <w:rPr>
          <w:i/>
          <w:iCs/>
        </w:rPr>
        <w:t>supra</w:t>
      </w:r>
      <w:r>
        <w:t xml:space="preserve"> note </w:t>
      </w:r>
      <w:r>
        <w:fldChar w:fldCharType="begin"/>
      </w:r>
      <w:r>
        <w:instrText xml:space="preserve"> NOTEREF _Ref184990995 \h </w:instrText>
      </w:r>
      <w:r>
        <w:fldChar w:fldCharType="separate"/>
      </w:r>
      <w:r>
        <w:t>351</w:t>
      </w:r>
      <w:r>
        <w:fldChar w:fldCharType="end"/>
      </w:r>
      <w:r>
        <w:t xml:space="preserve">, at </w:t>
      </w:r>
      <w:r w:rsidR="007C041A">
        <w:t>671</w:t>
      </w:r>
      <w:r w:rsidR="009B4155">
        <w:t>.</w:t>
      </w:r>
    </w:p>
  </w:footnote>
  <w:footnote w:id="416">
    <w:p w14:paraId="0614279C" w14:textId="0216426A" w:rsidR="009B4155" w:rsidRPr="009B4155" w:rsidRDefault="009B4155">
      <w:pPr>
        <w:pStyle w:val="FootnoteText"/>
      </w:pPr>
      <w:r>
        <w:rPr>
          <w:rStyle w:val="FootnoteReference"/>
        </w:rPr>
        <w:footnoteRef/>
      </w:r>
      <w:r>
        <w:t xml:space="preserve"> </w:t>
      </w:r>
      <w:r>
        <w:rPr>
          <w:i/>
          <w:iCs/>
        </w:rPr>
        <w:t>See</w:t>
      </w:r>
      <w:r>
        <w:t xml:space="preserve"> </w:t>
      </w:r>
      <w:r w:rsidRPr="0001725C">
        <w:rPr>
          <w:smallCaps/>
        </w:rPr>
        <w:t>Turban</w:t>
      </w:r>
      <w:r>
        <w:t xml:space="preserve">, </w:t>
      </w:r>
      <w:r>
        <w:rPr>
          <w:i/>
          <w:iCs/>
        </w:rPr>
        <w:t>supra</w:t>
      </w:r>
      <w:r>
        <w:t xml:space="preserve"> note </w:t>
      </w:r>
      <w:r>
        <w:fldChar w:fldCharType="begin"/>
      </w:r>
      <w:r>
        <w:instrText xml:space="preserve"> NOTEREF _Ref184739380 \h </w:instrText>
      </w:r>
      <w:r>
        <w:fldChar w:fldCharType="separate"/>
      </w:r>
      <w:r>
        <w:t>14</w:t>
      </w:r>
      <w:r>
        <w:fldChar w:fldCharType="end"/>
      </w:r>
      <w:r>
        <w:t>, at 9</w:t>
      </w:r>
      <w:r w:rsidR="00E35393">
        <w:t>1–95 (recounting the consequences of gender threat for one transgender girl).</w:t>
      </w:r>
    </w:p>
  </w:footnote>
  <w:footnote w:id="417">
    <w:p w14:paraId="0D647CC8" w14:textId="11B1DD3E" w:rsidR="0076163D" w:rsidRDefault="0076163D">
      <w:pPr>
        <w:pStyle w:val="FootnoteText"/>
      </w:pPr>
      <w:r>
        <w:rPr>
          <w:rStyle w:val="FootnoteReference"/>
        </w:rPr>
        <w:footnoteRef/>
      </w:r>
      <w:r>
        <w:t xml:space="preserve"> Appell, </w:t>
      </w:r>
      <w:r>
        <w:rPr>
          <w:i/>
          <w:iCs/>
        </w:rPr>
        <w:t>supra</w:t>
      </w:r>
      <w:r>
        <w:t xml:space="preserve"> note </w:t>
      </w:r>
      <w:r>
        <w:fldChar w:fldCharType="begin"/>
      </w:r>
      <w:r>
        <w:instrText xml:space="preserve"> NOTEREF _Ref184806241 \h </w:instrText>
      </w:r>
      <w:r>
        <w:fldChar w:fldCharType="separate"/>
      </w:r>
      <w:r>
        <w:t>27</w:t>
      </w:r>
      <w:r>
        <w:fldChar w:fldCharType="end"/>
      </w:r>
      <w:r>
        <w:t>, at 722–24.</w:t>
      </w:r>
    </w:p>
  </w:footnote>
  <w:footnote w:id="418">
    <w:p w14:paraId="7281DB0E" w14:textId="748CAA3A" w:rsidR="001C3E03" w:rsidRPr="001C3E03" w:rsidRDefault="001C3E03">
      <w:pPr>
        <w:pStyle w:val="FootnoteText"/>
      </w:pPr>
      <w:r>
        <w:rPr>
          <w:rStyle w:val="FootnoteReference"/>
        </w:rPr>
        <w:footnoteRef/>
      </w:r>
      <w:r>
        <w:t xml:space="preserve"> </w:t>
      </w:r>
      <w:r>
        <w:rPr>
          <w:i/>
          <w:iCs/>
        </w:rPr>
        <w:t>See id.</w:t>
      </w:r>
      <w:r>
        <w:t xml:space="preserve"> at </w:t>
      </w:r>
      <w:r w:rsidR="00430011">
        <w:t>725 (noting that some philosophers acknowledge that “</w:t>
      </w:r>
      <w:r w:rsidR="002C092A">
        <w:t>our treatment of children is similar to the way we used to treat women and slaves”).</w:t>
      </w:r>
      <w:r w:rsidR="00430011">
        <w:t xml:space="preserve"> </w:t>
      </w:r>
    </w:p>
  </w:footnote>
  <w:footnote w:id="419">
    <w:p w14:paraId="3061F746" w14:textId="708F8C39" w:rsidR="00A6285E" w:rsidRPr="00A6285E" w:rsidRDefault="00A6285E">
      <w:pPr>
        <w:pStyle w:val="FootnoteText"/>
      </w:pPr>
      <w:r>
        <w:rPr>
          <w:rStyle w:val="FootnoteReference"/>
        </w:rPr>
        <w:footnoteRef/>
      </w:r>
      <w:r>
        <w:t xml:space="preserve"> </w:t>
      </w:r>
      <w:r>
        <w:rPr>
          <w:i/>
          <w:iCs/>
        </w:rPr>
        <w:t>See</w:t>
      </w:r>
      <w:r>
        <w:t xml:space="preserve"> </w:t>
      </w:r>
      <w:r w:rsidRPr="00AD4B4E">
        <w:rPr>
          <w:smallCaps/>
        </w:rPr>
        <w:t>George Orwell, 1984</w:t>
      </w:r>
      <w:r>
        <w:t xml:space="preserve"> (</w:t>
      </w:r>
      <w:r w:rsidR="00AD4B4E">
        <w:t xml:space="preserve">1949). </w:t>
      </w:r>
    </w:p>
  </w:footnote>
  <w:footnote w:id="420">
    <w:p w14:paraId="2A4D2902" w14:textId="7D449865" w:rsidR="0089203C" w:rsidRDefault="0089203C" w:rsidP="00CE226A">
      <w:pPr>
        <w:pStyle w:val="FootnoteText"/>
      </w:pPr>
      <w:r>
        <w:rPr>
          <w:rStyle w:val="FootnoteReference"/>
        </w:rPr>
        <w:footnoteRef/>
      </w:r>
      <w:r>
        <w:t xml:space="preserve"> </w:t>
      </w:r>
      <w:r w:rsidR="00CE226A" w:rsidRPr="00141FC3">
        <w:rPr>
          <w:smallCaps/>
        </w:rPr>
        <w:t>The Declaration of Independence</w:t>
      </w:r>
      <w:r w:rsidR="00CE226A">
        <w:t xml:space="preserve"> para. 2 (U.S. 1776).</w:t>
      </w:r>
    </w:p>
  </w:footnote>
  <w:footnote w:id="421">
    <w:p w14:paraId="5406F6B8" w14:textId="36121D11" w:rsidR="00ED1935" w:rsidRPr="00ED1935" w:rsidRDefault="00ED1935">
      <w:pPr>
        <w:pStyle w:val="FootnoteText"/>
      </w:pPr>
      <w:r>
        <w:rPr>
          <w:rStyle w:val="FootnoteReference"/>
        </w:rPr>
        <w:footnoteRef/>
      </w:r>
      <w:r>
        <w:t xml:space="preserve"> A core problem with originalism. </w:t>
      </w:r>
      <w:r>
        <w:rPr>
          <w:i/>
          <w:iCs/>
        </w:rPr>
        <w:t>See supra</w:t>
      </w:r>
      <w:r>
        <w:t xml:space="preserve"> note </w:t>
      </w:r>
      <w:r w:rsidR="00316B55">
        <w:fldChar w:fldCharType="begin"/>
      </w:r>
      <w:r w:rsidR="00316B55">
        <w:instrText xml:space="preserve"> NOTEREF _Ref184645430 \h </w:instrText>
      </w:r>
      <w:r w:rsidR="00316B55">
        <w:fldChar w:fldCharType="separate"/>
      </w:r>
      <w:r w:rsidR="00316B55">
        <w:t>93</w:t>
      </w:r>
      <w:r w:rsidR="00316B55">
        <w:fldChar w:fldCharType="end"/>
      </w:r>
      <w:proofErr w:type="gramStart"/>
      <w:r w:rsidR="00316B55">
        <w:t xml:space="preserve">, </w:t>
      </w:r>
      <w:r>
        <w:t>.</w:t>
      </w:r>
      <w:proofErr w:type="gramEnd"/>
    </w:p>
  </w:footnote>
  <w:footnote w:id="422">
    <w:p w14:paraId="5A181ED5" w14:textId="23C06BB5" w:rsidR="005C530A" w:rsidRDefault="005C530A">
      <w:pPr>
        <w:pStyle w:val="FootnoteText"/>
      </w:pPr>
      <w:r>
        <w:rPr>
          <w:rStyle w:val="FootnoteReference"/>
        </w:rPr>
        <w:footnoteRef/>
      </w:r>
      <w:r>
        <w:t xml:space="preserve"> Appell, Woodhouse, Minow, others.</w:t>
      </w:r>
    </w:p>
  </w:footnote>
  <w:footnote w:id="423">
    <w:p w14:paraId="3DB8A14E" w14:textId="7457DD6D" w:rsidR="00E03028" w:rsidRDefault="00E03028">
      <w:pPr>
        <w:pStyle w:val="FootnoteText"/>
      </w:pPr>
      <w:r>
        <w:rPr>
          <w:rStyle w:val="FootnoteReference"/>
        </w:rPr>
        <w:footnoteRef/>
      </w:r>
      <w:r>
        <w:t xml:space="preserve"> [</w:t>
      </w:r>
      <w:r w:rsidRPr="00E03028">
        <w:rPr>
          <w:highlight w:val="yellow"/>
        </w:rPr>
        <w:t>news sources</w:t>
      </w:r>
      <w:r>
        <w:t>]</w:t>
      </w:r>
    </w:p>
  </w:footnote>
  <w:footnote w:id="424">
    <w:p w14:paraId="45DF8BAA" w14:textId="0EDF512B" w:rsidR="00446F4D" w:rsidRDefault="00446F4D">
      <w:pPr>
        <w:pStyle w:val="FootnoteText"/>
      </w:pPr>
      <w:r>
        <w:rPr>
          <w:rStyle w:val="FootnoteReference"/>
        </w:rPr>
        <w:footnoteRef/>
      </w:r>
      <w:r>
        <w:t xml:space="preserve"> Appell, Woodhouse</w:t>
      </w:r>
    </w:p>
  </w:footnote>
  <w:footnote w:id="425">
    <w:p w14:paraId="05F5B0F3" w14:textId="4301F55E" w:rsidR="00084786" w:rsidRDefault="00084786">
      <w:pPr>
        <w:pStyle w:val="FootnoteText"/>
      </w:pPr>
      <w:r>
        <w:rPr>
          <w:rStyle w:val="FootnoteReference"/>
        </w:rPr>
        <w:footnoteRef/>
      </w:r>
      <w:r>
        <w:t xml:space="preserve"> </w:t>
      </w:r>
      <w:r w:rsidR="008A40BB">
        <w:t>Appell</w:t>
      </w:r>
    </w:p>
  </w:footnote>
  <w:footnote w:id="426">
    <w:p w14:paraId="4BB31F90" w14:textId="5C142653" w:rsidR="00084786" w:rsidRDefault="00084786">
      <w:pPr>
        <w:pStyle w:val="FootnoteText"/>
      </w:pPr>
      <w:r>
        <w:rPr>
          <w:rStyle w:val="FootnoteReference"/>
        </w:rPr>
        <w:footnoteRef/>
      </w:r>
      <w:r>
        <w:t xml:space="preserve"> </w:t>
      </w:r>
      <w:r w:rsidR="008A40BB">
        <w:t>Woodhouse, West, others?</w:t>
      </w:r>
    </w:p>
  </w:footnote>
  <w:footnote w:id="427">
    <w:p w14:paraId="4F9B192B" w14:textId="114CB41A" w:rsidR="008A40BB" w:rsidRPr="007D6227" w:rsidRDefault="008A40BB">
      <w:pPr>
        <w:pStyle w:val="FootnoteText"/>
      </w:pPr>
      <w:r>
        <w:rPr>
          <w:rStyle w:val="FootnoteReference"/>
        </w:rPr>
        <w:footnoteRef/>
      </w:r>
      <w:r>
        <w:t xml:space="preserve"> </w:t>
      </w:r>
      <w:r w:rsidR="0083112C">
        <w:t xml:space="preserve">I emphasize that I am </w:t>
      </w:r>
      <w:r w:rsidR="00833666">
        <w:t xml:space="preserve">suggesting that authority over children’s lives be transferred to children themselves, not merely from parents to the state. </w:t>
      </w:r>
      <w:r w:rsidR="005477F4">
        <w:t xml:space="preserve">Concerns </w:t>
      </w:r>
      <w:r w:rsidR="00941A83">
        <w:t>about</w:t>
      </w:r>
      <w:r w:rsidR="005477F4">
        <w:t xml:space="preserve"> this false dilemma run through many of the Supreme Court’s </w:t>
      </w:r>
      <w:r w:rsidR="00E35074">
        <w:t xml:space="preserve">parental rights cases, </w:t>
      </w:r>
      <w:r w:rsidR="00941A83">
        <w:t xml:space="preserve">leading the Court and scholars to </w:t>
      </w:r>
      <w:r w:rsidR="00CD50A3">
        <w:t>posit</w:t>
      </w:r>
      <w:r w:rsidR="00941A83">
        <w:t xml:space="preserve"> “nonconformity” </w:t>
      </w:r>
      <w:r w:rsidR="00CD50A3">
        <w:t xml:space="preserve">as a justification for granting parents—rather than the state—authority over children. </w:t>
      </w:r>
      <w:r w:rsidR="00941A83">
        <w:t>[</w:t>
      </w:r>
      <w:r w:rsidR="00941A83" w:rsidRPr="000152F0">
        <w:rPr>
          <w:highlight w:val="yellow"/>
        </w:rPr>
        <w:t>Meyer, Pierce, articles</w:t>
      </w:r>
      <w:r w:rsidR="00941A83">
        <w:t xml:space="preserve">]. </w:t>
      </w:r>
      <w:r w:rsidR="00930046">
        <w:t xml:space="preserve">This justification presupposes that authority over children should not </w:t>
      </w:r>
      <w:r w:rsidR="007D6227">
        <w:t xml:space="preserve">belong in the first instance to </w:t>
      </w:r>
      <w:r w:rsidR="007D6227">
        <w:rPr>
          <w:i/>
          <w:iCs/>
        </w:rPr>
        <w:t>children themselves</w:t>
      </w:r>
      <w:r w:rsidR="007D6227">
        <w:t xml:space="preserve">, who would ensure nonconformity </w:t>
      </w:r>
      <w:r w:rsidR="000152F0">
        <w:t xml:space="preserve">simply </w:t>
      </w:r>
      <w:r w:rsidR="007D6227">
        <w:t>by being</w:t>
      </w:r>
      <w:r w:rsidR="000152F0">
        <w:t xml:space="preserve"> their individual selves</w:t>
      </w:r>
      <w:r w:rsidR="007D6227">
        <w:t xml:space="preserve">. </w:t>
      </w:r>
      <w:r w:rsidR="007D6227">
        <w:rPr>
          <w:i/>
          <w:iCs/>
        </w:rPr>
        <w:t>See supra</w:t>
      </w:r>
      <w:r w:rsidR="007D6227">
        <w:t xml:space="preserve"> </w:t>
      </w:r>
      <w:r w:rsidR="006C4AB9">
        <w:t xml:space="preserve">note </w:t>
      </w:r>
      <w:r w:rsidR="00541FBE">
        <w:fldChar w:fldCharType="begin"/>
      </w:r>
      <w:r w:rsidR="00541FBE">
        <w:instrText xml:space="preserve"> NOTEREF _Ref184645430 \h </w:instrText>
      </w:r>
      <w:r w:rsidR="00541FBE">
        <w:fldChar w:fldCharType="separate"/>
      </w:r>
      <w:r w:rsidR="00541FBE">
        <w:t>93</w:t>
      </w:r>
      <w:r w:rsidR="00541FBE">
        <w:fldChar w:fldCharType="end"/>
      </w:r>
      <w:r w:rsidR="00541FBE">
        <w:t xml:space="preserve">, </w:t>
      </w:r>
      <w:r w:rsidR="00541FBE">
        <w:fldChar w:fldCharType="begin"/>
      </w:r>
      <w:r w:rsidR="00541FBE">
        <w:instrText xml:space="preserve"> NOTEREF _Ref184908895 \h </w:instrText>
      </w:r>
      <w:r w:rsidR="00541FBE">
        <w:fldChar w:fldCharType="separate"/>
      </w:r>
      <w:r w:rsidR="00541FBE">
        <w:t>336</w:t>
      </w:r>
      <w:r w:rsidR="00541FBE">
        <w:fldChar w:fldCharType="end"/>
      </w:r>
      <w:r w:rsidR="00541FBE">
        <w:t xml:space="preserve"> and accompanying text.</w:t>
      </w:r>
    </w:p>
  </w:footnote>
  <w:footnote w:id="428">
    <w:p w14:paraId="521AD9BF" w14:textId="67B42F79" w:rsidR="004F0D1C" w:rsidRDefault="004F0D1C">
      <w:pPr>
        <w:pStyle w:val="FootnoteText"/>
      </w:pPr>
      <w:r>
        <w:rPr>
          <w:rStyle w:val="FootnoteReference"/>
        </w:rPr>
        <w:footnoteRef/>
      </w:r>
      <w:r>
        <w:t xml:space="preserve"> II Corinthians 4:8–9 (New International Version).</w:t>
      </w:r>
    </w:p>
  </w:footnote>
  <w:footnote w:id="429">
    <w:p w14:paraId="11114BEB" w14:textId="741590CE" w:rsidR="00802C63" w:rsidRPr="00802C63" w:rsidRDefault="00802C63">
      <w:pPr>
        <w:pStyle w:val="FootnoteText"/>
      </w:pPr>
      <w:r>
        <w:rPr>
          <w:rStyle w:val="FootnoteReference"/>
        </w:rPr>
        <w:footnoteRef/>
      </w:r>
      <w:r>
        <w:t xml:space="preserve"> </w:t>
      </w:r>
      <w:r>
        <w:rPr>
          <w:i/>
          <w:iCs/>
        </w:rPr>
        <w:t>See</w:t>
      </w:r>
      <w:r>
        <w:t xml:space="preserve"> </w:t>
      </w:r>
      <w:r w:rsidRPr="00012E5E">
        <w:rPr>
          <w:smallCaps/>
        </w:rPr>
        <w:t>C.S. Lewis, Surprised by Joy: The Shape of My Early Life</w:t>
      </w:r>
      <w:r>
        <w:t xml:space="preserve"> </w:t>
      </w:r>
      <w:r w:rsidR="00E97783">
        <w:t>289 (1955).</w:t>
      </w:r>
    </w:p>
  </w:footnote>
  <w:footnote w:id="430">
    <w:p w14:paraId="4317B296" w14:textId="0456758B" w:rsidR="00B61D13" w:rsidRPr="00494E76" w:rsidRDefault="00B61D13">
      <w:pPr>
        <w:pStyle w:val="FootnoteText"/>
      </w:pPr>
      <w:r>
        <w:rPr>
          <w:rStyle w:val="FootnoteReference"/>
        </w:rPr>
        <w:footnoteRef/>
      </w:r>
      <w:r>
        <w:t xml:space="preserve"> </w:t>
      </w:r>
      <w:r w:rsidR="00494E76">
        <w:rPr>
          <w:i/>
          <w:iCs/>
        </w:rPr>
        <w:t>Id.</w:t>
      </w:r>
      <w:r w:rsidR="00494E76">
        <w:t xml:space="preserve"> at 6–7.</w:t>
      </w:r>
    </w:p>
  </w:footnote>
  <w:footnote w:id="431">
    <w:p w14:paraId="23DE599A" w14:textId="6205F8B8" w:rsidR="004A72B0" w:rsidRPr="00895BEF" w:rsidRDefault="004A72B0">
      <w:pPr>
        <w:pStyle w:val="FootnoteText"/>
      </w:pPr>
      <w:r>
        <w:rPr>
          <w:rStyle w:val="FootnoteReference"/>
        </w:rPr>
        <w:footnoteRef/>
      </w:r>
      <w:r w:rsidR="00895BEF">
        <w:t xml:space="preserve"> </w:t>
      </w:r>
      <w:r w:rsidR="00895BEF">
        <w:rPr>
          <w:i/>
          <w:iCs/>
        </w:rPr>
        <w:t>Id.</w:t>
      </w:r>
      <w:r w:rsidR="00895BEF">
        <w:t xml:space="preserve"> at 20–23.</w:t>
      </w:r>
    </w:p>
  </w:footnote>
  <w:footnote w:id="432">
    <w:p w14:paraId="1E2F1317" w14:textId="3DEB6B69" w:rsidR="004A72B0" w:rsidRPr="004206D0" w:rsidRDefault="004A72B0">
      <w:pPr>
        <w:pStyle w:val="FootnoteText"/>
      </w:pPr>
      <w:r>
        <w:rPr>
          <w:rStyle w:val="FootnoteReference"/>
        </w:rPr>
        <w:footnoteRef/>
      </w:r>
      <w:r>
        <w:t xml:space="preserve"> </w:t>
      </w:r>
      <w:r w:rsidR="004206D0">
        <w:rPr>
          <w:i/>
          <w:iCs/>
        </w:rPr>
        <w:t>Id.</w:t>
      </w:r>
      <w:r w:rsidR="004206D0">
        <w:t xml:space="preserve"> at 85–87.</w:t>
      </w:r>
    </w:p>
  </w:footnote>
  <w:footnote w:id="433">
    <w:p w14:paraId="6A80234C" w14:textId="1D3F0B2D" w:rsidR="007A7F51" w:rsidRPr="0006556A" w:rsidRDefault="007A7F51">
      <w:pPr>
        <w:pStyle w:val="FootnoteText"/>
      </w:pPr>
      <w:r>
        <w:rPr>
          <w:rStyle w:val="FootnoteReference"/>
        </w:rPr>
        <w:footnoteRef/>
      </w:r>
      <w:r>
        <w:t xml:space="preserve"> </w:t>
      </w:r>
      <w:r w:rsidR="0006556A">
        <w:rPr>
          <w:i/>
          <w:iCs/>
        </w:rPr>
        <w:t>Id.</w:t>
      </w:r>
      <w:r w:rsidR="0006556A">
        <w:t xml:space="preserve"> at </w:t>
      </w:r>
      <w:r w:rsidR="000E57BA">
        <w:t>75.</w:t>
      </w:r>
    </w:p>
  </w:footnote>
  <w:footnote w:id="434">
    <w:p w14:paraId="26A47998" w14:textId="42D07E18" w:rsidR="0068593A" w:rsidRPr="003165B6" w:rsidRDefault="0068593A" w:rsidP="0068593A">
      <w:pPr>
        <w:pStyle w:val="FootnoteText"/>
      </w:pPr>
      <w:r>
        <w:rPr>
          <w:rStyle w:val="FootnoteReference"/>
        </w:rPr>
        <w:footnoteRef/>
      </w:r>
      <w:r>
        <w:t xml:space="preserve"> </w:t>
      </w:r>
      <w:r>
        <w:rPr>
          <w:i/>
          <w:iCs/>
        </w:rPr>
        <w:t>Id.</w:t>
      </w:r>
      <w:r>
        <w:t xml:space="preserve"> </w:t>
      </w:r>
      <w:r w:rsidR="00237E91">
        <w:t xml:space="preserve">at 289 </w:t>
      </w:r>
      <w:r>
        <w:t xml:space="preserve">(“When we set </w:t>
      </w:r>
      <w:proofErr w:type="gramStart"/>
      <w:r>
        <w:t>out</w:t>
      </w:r>
      <w:proofErr w:type="gramEnd"/>
      <w:r>
        <w:t xml:space="preserve"> I did not believe that Jesus Christ is the Son of God, and when we reached the zoo I did.”).</w:t>
      </w:r>
    </w:p>
  </w:footnote>
  <w:footnote w:id="435">
    <w:p w14:paraId="400A4803" w14:textId="49E5B87B" w:rsidR="008C5B9A" w:rsidRPr="008C5B9A" w:rsidRDefault="008C5B9A">
      <w:pPr>
        <w:pStyle w:val="FootnoteText"/>
      </w:pPr>
      <w:r>
        <w:rPr>
          <w:rStyle w:val="FootnoteReference"/>
        </w:rPr>
        <w:footnoteRef/>
      </w:r>
      <w:r>
        <w:t xml:space="preserve"> </w:t>
      </w:r>
      <w:r>
        <w:rPr>
          <w:i/>
          <w:iCs/>
        </w:rPr>
        <w:t xml:space="preserve">See </w:t>
      </w:r>
      <w:proofErr w:type="gramStart"/>
      <w:r>
        <w:rPr>
          <w:i/>
          <w:iCs/>
        </w:rPr>
        <w:t>supra</w:t>
      </w:r>
      <w:r>
        <w:t xml:space="preserve"> Part</w:t>
      </w:r>
      <w:proofErr w:type="gramEnd"/>
      <w:r>
        <w:t xml:space="preserve"> I.</w:t>
      </w:r>
    </w:p>
  </w:footnote>
  <w:footnote w:id="436">
    <w:p w14:paraId="63EDE6ED" w14:textId="6CD9A8F9" w:rsidR="00E60070" w:rsidRDefault="00E60070">
      <w:pPr>
        <w:pStyle w:val="FootnoteText"/>
      </w:pPr>
      <w:r>
        <w:rPr>
          <w:rStyle w:val="FootnoteReference"/>
        </w:rPr>
        <w:footnoteRef/>
      </w:r>
      <w:r>
        <w:t xml:space="preserve"> </w:t>
      </w:r>
      <w:r w:rsidRPr="007B1216">
        <w:rPr>
          <w:smallCaps/>
        </w:rPr>
        <w:t>Thomas Hobbes, Leviathan</w:t>
      </w:r>
      <w:r w:rsidR="00561F11">
        <w:t xml:space="preserve"> 84</w:t>
      </w:r>
      <w:r>
        <w:t xml:space="preserve"> </w:t>
      </w:r>
      <w:r w:rsidR="001514BE">
        <w:t xml:space="preserve">(A.R. Waller, ed. 1904) </w:t>
      </w:r>
      <w:r>
        <w:t>(</w:t>
      </w:r>
      <w:r w:rsidR="001514BE">
        <w:t>1651) (</w:t>
      </w:r>
      <w:r w:rsidR="00561F11">
        <w:t>“And the life of man</w:t>
      </w:r>
      <w:r w:rsidR="00015179">
        <w:t xml:space="preserve"> [is] </w:t>
      </w:r>
      <w:r w:rsidR="007B1216">
        <w:t>solitary, poor, nasty, brutish, and short.”).</w:t>
      </w:r>
    </w:p>
  </w:footnote>
  <w:footnote w:id="437">
    <w:p w14:paraId="6E2FA368" w14:textId="1332208B" w:rsidR="00F15454" w:rsidRDefault="00F15454">
      <w:pPr>
        <w:pStyle w:val="FootnoteText"/>
      </w:pPr>
      <w:r>
        <w:rPr>
          <w:rStyle w:val="FootnoteReference"/>
        </w:rPr>
        <w:footnoteRef/>
      </w:r>
      <w:r>
        <w:t xml:space="preserve"> </w:t>
      </w:r>
      <w:r w:rsidR="00291CEF" w:rsidRPr="009D3ADB">
        <w:rPr>
          <w:smallCaps/>
        </w:rPr>
        <w:t>Pema Ch</w:t>
      </w:r>
      <w:r w:rsidR="00291CEF" w:rsidRPr="009D3ADB">
        <w:rPr>
          <w:rFonts w:ascii="Times New Roman" w:hAnsi="Times New Roman"/>
          <w:smallCaps/>
        </w:rPr>
        <w:t>ö</w:t>
      </w:r>
      <w:r w:rsidR="00291CEF" w:rsidRPr="009D3ADB">
        <w:rPr>
          <w:smallCaps/>
        </w:rPr>
        <w:t>dr</w:t>
      </w:r>
      <w:r w:rsidR="00291CEF" w:rsidRPr="009D3ADB">
        <w:rPr>
          <w:rFonts w:ascii="Times New Roman" w:hAnsi="Times New Roman"/>
          <w:smallCaps/>
        </w:rPr>
        <w:t>ö</w:t>
      </w:r>
      <w:r w:rsidR="00291CEF" w:rsidRPr="009D3ADB">
        <w:rPr>
          <w:smallCaps/>
        </w:rPr>
        <w:t>n, When Things Fall Apart: Heart Advice for Difficult Times</w:t>
      </w:r>
      <w:r w:rsidR="00291CEF">
        <w:t xml:space="preserve"> </w:t>
      </w:r>
      <w:r w:rsidR="00C2337A">
        <w:t xml:space="preserve">71 </w:t>
      </w:r>
      <w:r w:rsidR="00291CEF">
        <w:t>(</w:t>
      </w:r>
      <w:r w:rsidR="00486935">
        <w:t>20</w:t>
      </w:r>
      <w:r w:rsidR="00486935" w:rsidRPr="00486935">
        <w:t>th</w:t>
      </w:r>
      <w:r w:rsidR="00486935">
        <w:t xml:space="preserve"> </w:t>
      </w:r>
      <w:proofErr w:type="spellStart"/>
      <w:r w:rsidR="00486935">
        <w:t>Anniv</w:t>
      </w:r>
      <w:proofErr w:type="spellEnd"/>
      <w:r w:rsidR="00486935">
        <w:t>. Ed. 2016) (1997)</w:t>
      </w:r>
      <w:r w:rsidR="000B3E0A">
        <w:t xml:space="preserve"> (“The essence of life is that it</w:t>
      </w:r>
      <w:r w:rsidR="005868A1">
        <w:t xml:space="preserve">’s challenging </w:t>
      </w:r>
      <w:proofErr w:type="gramStart"/>
      <w:r w:rsidR="005868A1">
        <w:t>. . . .</w:t>
      </w:r>
      <w:proofErr w:type="gramEnd"/>
      <w:r w:rsidR="005868A1">
        <w:t xml:space="preserve"> To be fully alive, fully human, and completely awake is to be continually thrown out of the nest.”).</w:t>
      </w:r>
    </w:p>
  </w:footnote>
  <w:footnote w:id="438">
    <w:p w14:paraId="3BAAEE4B" w14:textId="783FCC10" w:rsidR="00BF6865" w:rsidRDefault="00BF6865">
      <w:pPr>
        <w:pStyle w:val="FootnoteText"/>
      </w:pPr>
      <w:r>
        <w:rPr>
          <w:rStyle w:val="FootnoteReference"/>
        </w:rPr>
        <w:footnoteRef/>
      </w:r>
      <w:r>
        <w:t xml:space="preserve"> </w:t>
      </w:r>
      <w:r w:rsidR="001372D9">
        <w:t>[</w:t>
      </w:r>
      <w:r w:rsidR="00F75E66" w:rsidRPr="001372D9">
        <w:rPr>
          <w:highlight w:val="yellow"/>
        </w:rPr>
        <w:t>Brene Brown</w:t>
      </w:r>
      <w:r w:rsidR="001372D9" w:rsidRPr="001372D9">
        <w:rPr>
          <w:highlight w:val="yellow"/>
        </w:rPr>
        <w:t>, TED Talk</w:t>
      </w:r>
      <w:r w:rsidR="001372D9">
        <w:t>]</w:t>
      </w:r>
    </w:p>
  </w:footnote>
  <w:footnote w:id="439">
    <w:p w14:paraId="3A5A5A22" w14:textId="654060C6" w:rsidR="00766D3F" w:rsidRDefault="00766D3F">
      <w:pPr>
        <w:pStyle w:val="FootnoteText"/>
      </w:pPr>
      <w:r>
        <w:rPr>
          <w:rStyle w:val="FootnoteReference"/>
        </w:rPr>
        <w:footnoteRef/>
      </w:r>
      <w:r>
        <w:t xml:space="preserve"> Freedom to Exist doc, 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EF5D7" w14:textId="5C4775D9" w:rsidR="00FA45DD" w:rsidRPr="00CA354F" w:rsidRDefault="00FA45DD" w:rsidP="00DE478D">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sidR="00680B1A">
      <w:rPr>
        <w:rStyle w:val="PageNumber"/>
        <w:noProof/>
      </w:rPr>
      <w:t>2</w:t>
    </w:r>
    <w:r>
      <w:rPr>
        <w:rStyle w:val="PageNumber"/>
      </w:rPr>
      <w:fldChar w:fldCharType="end"/>
    </w:r>
    <w:r>
      <w:rPr>
        <w:rStyle w:val="PageNumber"/>
      </w:rPr>
      <w:tab/>
    </w:r>
    <w:r w:rsidR="00B0311E">
      <w:rPr>
        <w:rStyle w:val="PageNumber"/>
        <w:i/>
      </w:rPr>
      <w:t>The Right to Seek Joy</w:t>
    </w:r>
    <w:r>
      <w:rPr>
        <w:rStyle w:val="PageNumber"/>
      </w:rPr>
      <w:tab/>
      <w:t>[</w:t>
    </w:r>
    <w:r>
      <w:rPr>
        <w:rStyle w:val="PageNumber"/>
      </w:rPr>
      <w:fldChar w:fldCharType="begin"/>
    </w:r>
    <w:r>
      <w:rPr>
        <w:rStyle w:val="PageNumber"/>
      </w:rPr>
      <w:instrText xml:space="preserve"> SAVEDATE  \@ "d-MMM-yy"  \* MERGEFORMAT </w:instrText>
    </w:r>
    <w:r>
      <w:rPr>
        <w:rStyle w:val="PageNumber"/>
      </w:rPr>
      <w:fldChar w:fldCharType="separate"/>
    </w:r>
    <w:r w:rsidR="001D3295">
      <w:rPr>
        <w:rStyle w:val="PageNumber"/>
        <w:noProof/>
      </w:rPr>
      <w:t>1-Jan-25</w:t>
    </w:r>
    <w:r>
      <w:rPr>
        <w:rStyle w:val="PageNumber"/>
      </w:rPr>
      <w:fldChar w:fldCharType="end"/>
    </w:r>
    <w:r w:rsidR="00316025">
      <w:rPr>
        <w:rStyle w:val="PageNumber"/>
      </w:rPr>
      <w:t xml:space="preserve"> 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D14C8" w14:textId="5B6C19A1" w:rsidR="00FA45DD" w:rsidRPr="00CA354F" w:rsidRDefault="00FA45DD" w:rsidP="00DE478D">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r w:rsidR="001D3295">
      <w:rPr>
        <w:noProof/>
      </w:rPr>
      <w:t>1-Jan-25</w:t>
    </w:r>
    <w:r>
      <w:fldChar w:fldCharType="end"/>
    </w:r>
    <w:r w:rsidR="00E52102">
      <w:t xml:space="preserve"> DRAFT</w:t>
    </w:r>
    <w:r>
      <w:t>]</w:t>
    </w:r>
    <w:r>
      <w:tab/>
    </w:r>
    <w:r w:rsidR="00B0311E">
      <w:rPr>
        <w:i/>
      </w:rPr>
      <w:t>The Right to Seek Joy</w:t>
    </w:r>
    <w:r>
      <w:tab/>
    </w:r>
    <w:r>
      <w:rPr>
        <w:rStyle w:val="PageNumber"/>
      </w:rPr>
      <w:fldChar w:fldCharType="begin"/>
    </w:r>
    <w:r>
      <w:rPr>
        <w:rStyle w:val="PageNumber"/>
      </w:rPr>
      <w:instrText xml:space="preserve"> PAGE </w:instrText>
    </w:r>
    <w:r>
      <w:rPr>
        <w:rStyle w:val="PageNumber"/>
      </w:rPr>
      <w:fldChar w:fldCharType="separate"/>
    </w:r>
    <w:r w:rsidR="00680B1A">
      <w:rPr>
        <w:rStyle w:val="PageNumber"/>
        <w:noProof/>
      </w:rPr>
      <w:t>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93254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450362"/>
    <w:multiLevelType w:val="multilevel"/>
    <w:tmpl w:val="EA7ADFE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3EF6F26"/>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9E56211"/>
    <w:multiLevelType w:val="multilevel"/>
    <w:tmpl w:val="3418D20E"/>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3BB5C42"/>
    <w:multiLevelType w:val="multilevel"/>
    <w:tmpl w:val="F97E0FBC"/>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2BE438F"/>
    <w:multiLevelType w:val="multilevel"/>
    <w:tmpl w:val="AF280D90"/>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360" w:hanging="360"/>
      </w:pPr>
      <w:rPr>
        <w:rFonts w:hint="default"/>
        <w:i/>
        <w:iCs w:val="0"/>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15:restartNumberingAfterBreak="0">
    <w:nsid w:val="432F1EEC"/>
    <w:multiLevelType w:val="hybridMultilevel"/>
    <w:tmpl w:val="4A6EC842"/>
    <w:lvl w:ilvl="0" w:tplc="16AABAC6">
      <w:start w:val="1"/>
      <w:numFmt w:val="decimal"/>
      <w:lvlRestart w:val="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8E1E7B"/>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F4438BC"/>
    <w:multiLevelType w:val="multilevel"/>
    <w:tmpl w:val="76AAC862"/>
    <w:lvl w:ilvl="0">
      <w:start w:val="1"/>
      <w:numFmt w:val="none"/>
      <w:suff w:val="nothing"/>
      <w:lvlText w:val="%1"/>
      <w:lvlJc w:val="left"/>
      <w:pPr>
        <w:ind w:left="0" w:firstLine="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231820901">
    <w:abstractNumId w:val="5"/>
  </w:num>
  <w:num w:numId="2" w16cid:durableId="1341589418">
    <w:abstractNumId w:val="5"/>
  </w:num>
  <w:num w:numId="3" w16cid:durableId="1189291146">
    <w:abstractNumId w:val="5"/>
  </w:num>
  <w:num w:numId="4" w16cid:durableId="39985985">
    <w:abstractNumId w:val="5"/>
  </w:num>
  <w:num w:numId="5" w16cid:durableId="637762112">
    <w:abstractNumId w:val="5"/>
  </w:num>
  <w:num w:numId="6" w16cid:durableId="1152522302">
    <w:abstractNumId w:val="5"/>
  </w:num>
  <w:num w:numId="7" w16cid:durableId="1089615135">
    <w:abstractNumId w:val="5"/>
  </w:num>
  <w:num w:numId="8" w16cid:durableId="571233869">
    <w:abstractNumId w:val="5"/>
  </w:num>
  <w:num w:numId="9" w16cid:durableId="2116366431">
    <w:abstractNumId w:val="5"/>
  </w:num>
  <w:num w:numId="10" w16cid:durableId="1585652795">
    <w:abstractNumId w:val="5"/>
  </w:num>
  <w:num w:numId="11" w16cid:durableId="552430017">
    <w:abstractNumId w:val="5"/>
  </w:num>
  <w:num w:numId="12" w16cid:durableId="1663507800">
    <w:abstractNumId w:val="5"/>
  </w:num>
  <w:num w:numId="13" w16cid:durableId="51537481">
    <w:abstractNumId w:val="5"/>
  </w:num>
  <w:num w:numId="14" w16cid:durableId="1344670438">
    <w:abstractNumId w:val="5"/>
  </w:num>
  <w:num w:numId="15" w16cid:durableId="1059287005">
    <w:abstractNumId w:val="5"/>
  </w:num>
  <w:num w:numId="16" w16cid:durableId="950553394">
    <w:abstractNumId w:val="5"/>
  </w:num>
  <w:num w:numId="17" w16cid:durableId="236863085">
    <w:abstractNumId w:val="5"/>
  </w:num>
  <w:num w:numId="18" w16cid:durableId="214513110">
    <w:abstractNumId w:val="5"/>
  </w:num>
  <w:num w:numId="19" w16cid:durableId="558906242">
    <w:abstractNumId w:val="9"/>
  </w:num>
  <w:num w:numId="20" w16cid:durableId="640843065">
    <w:abstractNumId w:val="3"/>
  </w:num>
  <w:num w:numId="21" w16cid:durableId="1235504821">
    <w:abstractNumId w:val="1"/>
  </w:num>
  <w:num w:numId="22" w16cid:durableId="1161431402">
    <w:abstractNumId w:val="4"/>
  </w:num>
  <w:num w:numId="23" w16cid:durableId="1688020682">
    <w:abstractNumId w:val="7"/>
  </w:num>
  <w:num w:numId="24" w16cid:durableId="1467236547">
    <w:abstractNumId w:val="2"/>
  </w:num>
  <w:num w:numId="25" w16cid:durableId="807165944">
    <w:abstractNumId w:val="6"/>
  </w:num>
  <w:num w:numId="26" w16cid:durableId="1747335446">
    <w:abstractNumId w:val="8"/>
  </w:num>
  <w:num w:numId="27" w16cid:durableId="1104367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yler Rose Clemons">
    <w15:presenceInfo w15:providerId="None" w15:userId="Tyler Rose Clem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1C3C"/>
    <w:rsid w:val="00000320"/>
    <w:rsid w:val="0000047A"/>
    <w:rsid w:val="0000108C"/>
    <w:rsid w:val="0000136A"/>
    <w:rsid w:val="000014F2"/>
    <w:rsid w:val="00001638"/>
    <w:rsid w:val="00001657"/>
    <w:rsid w:val="0000165D"/>
    <w:rsid w:val="00001671"/>
    <w:rsid w:val="00001732"/>
    <w:rsid w:val="000018B4"/>
    <w:rsid w:val="000026D8"/>
    <w:rsid w:val="00002A21"/>
    <w:rsid w:val="00002F2D"/>
    <w:rsid w:val="00002F71"/>
    <w:rsid w:val="00003A13"/>
    <w:rsid w:val="00003BAA"/>
    <w:rsid w:val="00003FDA"/>
    <w:rsid w:val="00003FFE"/>
    <w:rsid w:val="000040DC"/>
    <w:rsid w:val="00004879"/>
    <w:rsid w:val="00004AFE"/>
    <w:rsid w:val="00006179"/>
    <w:rsid w:val="00006368"/>
    <w:rsid w:val="000065D3"/>
    <w:rsid w:val="00006721"/>
    <w:rsid w:val="00006E42"/>
    <w:rsid w:val="00007AEC"/>
    <w:rsid w:val="00007E06"/>
    <w:rsid w:val="00007E41"/>
    <w:rsid w:val="0001082A"/>
    <w:rsid w:val="00011D80"/>
    <w:rsid w:val="00011FA7"/>
    <w:rsid w:val="00012112"/>
    <w:rsid w:val="00012186"/>
    <w:rsid w:val="0001218D"/>
    <w:rsid w:val="00012E5E"/>
    <w:rsid w:val="00012F79"/>
    <w:rsid w:val="00013865"/>
    <w:rsid w:val="000138B0"/>
    <w:rsid w:val="00013CA4"/>
    <w:rsid w:val="0001419B"/>
    <w:rsid w:val="0001422A"/>
    <w:rsid w:val="0001453B"/>
    <w:rsid w:val="00014F80"/>
    <w:rsid w:val="0001508D"/>
    <w:rsid w:val="00015179"/>
    <w:rsid w:val="000152F0"/>
    <w:rsid w:val="0001577B"/>
    <w:rsid w:val="00015C5C"/>
    <w:rsid w:val="00015D91"/>
    <w:rsid w:val="00016028"/>
    <w:rsid w:val="0001616A"/>
    <w:rsid w:val="0001646C"/>
    <w:rsid w:val="00016F1E"/>
    <w:rsid w:val="00016F7B"/>
    <w:rsid w:val="0001725C"/>
    <w:rsid w:val="0001735C"/>
    <w:rsid w:val="000173FD"/>
    <w:rsid w:val="0001743C"/>
    <w:rsid w:val="00017D0A"/>
    <w:rsid w:val="00017EE8"/>
    <w:rsid w:val="00020960"/>
    <w:rsid w:val="00020DC2"/>
    <w:rsid w:val="000213C9"/>
    <w:rsid w:val="00021567"/>
    <w:rsid w:val="00021640"/>
    <w:rsid w:val="00021719"/>
    <w:rsid w:val="00021CFC"/>
    <w:rsid w:val="00021D31"/>
    <w:rsid w:val="00021DE4"/>
    <w:rsid w:val="00022312"/>
    <w:rsid w:val="00022645"/>
    <w:rsid w:val="0002269A"/>
    <w:rsid w:val="00022F42"/>
    <w:rsid w:val="000231E0"/>
    <w:rsid w:val="0002325E"/>
    <w:rsid w:val="00023451"/>
    <w:rsid w:val="0002346E"/>
    <w:rsid w:val="0002377B"/>
    <w:rsid w:val="00023AE0"/>
    <w:rsid w:val="00023B21"/>
    <w:rsid w:val="0002437E"/>
    <w:rsid w:val="000248F0"/>
    <w:rsid w:val="000263FA"/>
    <w:rsid w:val="00026BB5"/>
    <w:rsid w:val="00026BD9"/>
    <w:rsid w:val="00026C39"/>
    <w:rsid w:val="00026C5E"/>
    <w:rsid w:val="00027758"/>
    <w:rsid w:val="00027865"/>
    <w:rsid w:val="00027934"/>
    <w:rsid w:val="00030292"/>
    <w:rsid w:val="000303FC"/>
    <w:rsid w:val="00030606"/>
    <w:rsid w:val="000309B7"/>
    <w:rsid w:val="00030CB3"/>
    <w:rsid w:val="00030E49"/>
    <w:rsid w:val="00031096"/>
    <w:rsid w:val="00031ADF"/>
    <w:rsid w:val="000323AF"/>
    <w:rsid w:val="00032E1B"/>
    <w:rsid w:val="000337DA"/>
    <w:rsid w:val="00033832"/>
    <w:rsid w:val="0003482D"/>
    <w:rsid w:val="000350C0"/>
    <w:rsid w:val="0003573A"/>
    <w:rsid w:val="000362ED"/>
    <w:rsid w:val="00037354"/>
    <w:rsid w:val="00037EB5"/>
    <w:rsid w:val="00037F4C"/>
    <w:rsid w:val="00037F62"/>
    <w:rsid w:val="00037FC3"/>
    <w:rsid w:val="000400CA"/>
    <w:rsid w:val="0004121F"/>
    <w:rsid w:val="000414DB"/>
    <w:rsid w:val="00041540"/>
    <w:rsid w:val="00041722"/>
    <w:rsid w:val="00041E7F"/>
    <w:rsid w:val="0004218D"/>
    <w:rsid w:val="00042388"/>
    <w:rsid w:val="000427A1"/>
    <w:rsid w:val="00042C90"/>
    <w:rsid w:val="00043048"/>
    <w:rsid w:val="0004326A"/>
    <w:rsid w:val="00043687"/>
    <w:rsid w:val="00043DA3"/>
    <w:rsid w:val="00043EC7"/>
    <w:rsid w:val="00044E44"/>
    <w:rsid w:val="0004556F"/>
    <w:rsid w:val="0004615D"/>
    <w:rsid w:val="000462DC"/>
    <w:rsid w:val="00046696"/>
    <w:rsid w:val="00046948"/>
    <w:rsid w:val="00046FB6"/>
    <w:rsid w:val="00047257"/>
    <w:rsid w:val="000473EC"/>
    <w:rsid w:val="00047720"/>
    <w:rsid w:val="00047B6F"/>
    <w:rsid w:val="00047BEA"/>
    <w:rsid w:val="00050268"/>
    <w:rsid w:val="00050C0F"/>
    <w:rsid w:val="0005109C"/>
    <w:rsid w:val="000512AB"/>
    <w:rsid w:val="00051456"/>
    <w:rsid w:val="00051790"/>
    <w:rsid w:val="00051887"/>
    <w:rsid w:val="000519A2"/>
    <w:rsid w:val="00052A44"/>
    <w:rsid w:val="00052B69"/>
    <w:rsid w:val="00052EC1"/>
    <w:rsid w:val="0005306D"/>
    <w:rsid w:val="0005333C"/>
    <w:rsid w:val="00053435"/>
    <w:rsid w:val="00053C62"/>
    <w:rsid w:val="00053DD1"/>
    <w:rsid w:val="0005444A"/>
    <w:rsid w:val="000548A1"/>
    <w:rsid w:val="00054A3C"/>
    <w:rsid w:val="00054F56"/>
    <w:rsid w:val="00055B3C"/>
    <w:rsid w:val="000562F8"/>
    <w:rsid w:val="00056799"/>
    <w:rsid w:val="00056ADB"/>
    <w:rsid w:val="000571EA"/>
    <w:rsid w:val="00057233"/>
    <w:rsid w:val="00057769"/>
    <w:rsid w:val="0005786D"/>
    <w:rsid w:val="00057B44"/>
    <w:rsid w:val="00057C0D"/>
    <w:rsid w:val="00060117"/>
    <w:rsid w:val="00060189"/>
    <w:rsid w:val="000607CD"/>
    <w:rsid w:val="000607E8"/>
    <w:rsid w:val="00060CA0"/>
    <w:rsid w:val="00060EC0"/>
    <w:rsid w:val="00061C7B"/>
    <w:rsid w:val="00061F07"/>
    <w:rsid w:val="00062295"/>
    <w:rsid w:val="000638D6"/>
    <w:rsid w:val="00063DAC"/>
    <w:rsid w:val="0006400C"/>
    <w:rsid w:val="000641B9"/>
    <w:rsid w:val="000646C9"/>
    <w:rsid w:val="00064711"/>
    <w:rsid w:val="00064906"/>
    <w:rsid w:val="00064EB5"/>
    <w:rsid w:val="0006556A"/>
    <w:rsid w:val="00065B63"/>
    <w:rsid w:val="00065EA5"/>
    <w:rsid w:val="000661BA"/>
    <w:rsid w:val="0006621A"/>
    <w:rsid w:val="000664E9"/>
    <w:rsid w:val="000668A6"/>
    <w:rsid w:val="000668E4"/>
    <w:rsid w:val="00066A99"/>
    <w:rsid w:val="00066F07"/>
    <w:rsid w:val="0006757F"/>
    <w:rsid w:val="000675D1"/>
    <w:rsid w:val="00070117"/>
    <w:rsid w:val="0007081A"/>
    <w:rsid w:val="0007093C"/>
    <w:rsid w:val="00070B13"/>
    <w:rsid w:val="00070E3F"/>
    <w:rsid w:val="00070F1A"/>
    <w:rsid w:val="000712BD"/>
    <w:rsid w:val="0007133E"/>
    <w:rsid w:val="00071682"/>
    <w:rsid w:val="000718EC"/>
    <w:rsid w:val="0007195E"/>
    <w:rsid w:val="00071FC3"/>
    <w:rsid w:val="0007280C"/>
    <w:rsid w:val="00072FD5"/>
    <w:rsid w:val="00073258"/>
    <w:rsid w:val="00073593"/>
    <w:rsid w:val="00074046"/>
    <w:rsid w:val="000741C2"/>
    <w:rsid w:val="000748C9"/>
    <w:rsid w:val="00074C7B"/>
    <w:rsid w:val="00075079"/>
    <w:rsid w:val="00075A5B"/>
    <w:rsid w:val="00076293"/>
    <w:rsid w:val="00076A11"/>
    <w:rsid w:val="00076B2E"/>
    <w:rsid w:val="00077097"/>
    <w:rsid w:val="0007718F"/>
    <w:rsid w:val="0007793A"/>
    <w:rsid w:val="00077AFD"/>
    <w:rsid w:val="00080D6A"/>
    <w:rsid w:val="00081152"/>
    <w:rsid w:val="0008139A"/>
    <w:rsid w:val="0008198E"/>
    <w:rsid w:val="00081EAE"/>
    <w:rsid w:val="000820E9"/>
    <w:rsid w:val="0008251D"/>
    <w:rsid w:val="00082662"/>
    <w:rsid w:val="000828B6"/>
    <w:rsid w:val="000829FF"/>
    <w:rsid w:val="00083072"/>
    <w:rsid w:val="00083A0A"/>
    <w:rsid w:val="00084532"/>
    <w:rsid w:val="00084786"/>
    <w:rsid w:val="000849EF"/>
    <w:rsid w:val="00084B3C"/>
    <w:rsid w:val="00084DAF"/>
    <w:rsid w:val="00085139"/>
    <w:rsid w:val="00085223"/>
    <w:rsid w:val="00085733"/>
    <w:rsid w:val="000859A6"/>
    <w:rsid w:val="00086593"/>
    <w:rsid w:val="00086734"/>
    <w:rsid w:val="00086A31"/>
    <w:rsid w:val="00086C23"/>
    <w:rsid w:val="0008709E"/>
    <w:rsid w:val="00087CF0"/>
    <w:rsid w:val="00087DD7"/>
    <w:rsid w:val="0009172A"/>
    <w:rsid w:val="000918E0"/>
    <w:rsid w:val="00091962"/>
    <w:rsid w:val="00091DC6"/>
    <w:rsid w:val="00092109"/>
    <w:rsid w:val="0009245F"/>
    <w:rsid w:val="00092843"/>
    <w:rsid w:val="0009466D"/>
    <w:rsid w:val="00094771"/>
    <w:rsid w:val="00094D01"/>
    <w:rsid w:val="000957AA"/>
    <w:rsid w:val="00095A84"/>
    <w:rsid w:val="000960D9"/>
    <w:rsid w:val="00096269"/>
    <w:rsid w:val="000963DE"/>
    <w:rsid w:val="0009645E"/>
    <w:rsid w:val="000966E6"/>
    <w:rsid w:val="00096F24"/>
    <w:rsid w:val="00096F25"/>
    <w:rsid w:val="00097339"/>
    <w:rsid w:val="00097375"/>
    <w:rsid w:val="0009743A"/>
    <w:rsid w:val="000974A5"/>
    <w:rsid w:val="0009770A"/>
    <w:rsid w:val="00097DD7"/>
    <w:rsid w:val="000A0149"/>
    <w:rsid w:val="000A06B3"/>
    <w:rsid w:val="000A0B62"/>
    <w:rsid w:val="000A0EFD"/>
    <w:rsid w:val="000A14BB"/>
    <w:rsid w:val="000A1595"/>
    <w:rsid w:val="000A17D8"/>
    <w:rsid w:val="000A1B75"/>
    <w:rsid w:val="000A1B8F"/>
    <w:rsid w:val="000A1FAA"/>
    <w:rsid w:val="000A2021"/>
    <w:rsid w:val="000A2499"/>
    <w:rsid w:val="000A2636"/>
    <w:rsid w:val="000A3A9B"/>
    <w:rsid w:val="000A3D5D"/>
    <w:rsid w:val="000A3DB1"/>
    <w:rsid w:val="000A4D86"/>
    <w:rsid w:val="000A4E00"/>
    <w:rsid w:val="000A5C9B"/>
    <w:rsid w:val="000A646F"/>
    <w:rsid w:val="000A6681"/>
    <w:rsid w:val="000A68D4"/>
    <w:rsid w:val="000A6B0B"/>
    <w:rsid w:val="000A6B66"/>
    <w:rsid w:val="000A6F42"/>
    <w:rsid w:val="000A7246"/>
    <w:rsid w:val="000A7BCA"/>
    <w:rsid w:val="000B000C"/>
    <w:rsid w:val="000B093B"/>
    <w:rsid w:val="000B0B3B"/>
    <w:rsid w:val="000B0EAD"/>
    <w:rsid w:val="000B19CE"/>
    <w:rsid w:val="000B1D42"/>
    <w:rsid w:val="000B1E95"/>
    <w:rsid w:val="000B2414"/>
    <w:rsid w:val="000B25A4"/>
    <w:rsid w:val="000B267C"/>
    <w:rsid w:val="000B267D"/>
    <w:rsid w:val="000B268D"/>
    <w:rsid w:val="000B2C0F"/>
    <w:rsid w:val="000B2C30"/>
    <w:rsid w:val="000B2E7E"/>
    <w:rsid w:val="000B31E0"/>
    <w:rsid w:val="000B34A9"/>
    <w:rsid w:val="000B388F"/>
    <w:rsid w:val="000B3D7D"/>
    <w:rsid w:val="000B3E0A"/>
    <w:rsid w:val="000B40C7"/>
    <w:rsid w:val="000B4550"/>
    <w:rsid w:val="000B457C"/>
    <w:rsid w:val="000B4A3B"/>
    <w:rsid w:val="000B5006"/>
    <w:rsid w:val="000B5082"/>
    <w:rsid w:val="000B5525"/>
    <w:rsid w:val="000B56B9"/>
    <w:rsid w:val="000B5755"/>
    <w:rsid w:val="000B6369"/>
    <w:rsid w:val="000B6450"/>
    <w:rsid w:val="000B6779"/>
    <w:rsid w:val="000B692E"/>
    <w:rsid w:val="000B71EA"/>
    <w:rsid w:val="000B72A2"/>
    <w:rsid w:val="000B74F4"/>
    <w:rsid w:val="000C01F8"/>
    <w:rsid w:val="000C02DD"/>
    <w:rsid w:val="000C0F22"/>
    <w:rsid w:val="000C10F4"/>
    <w:rsid w:val="000C12BC"/>
    <w:rsid w:val="000C1C73"/>
    <w:rsid w:val="000C2145"/>
    <w:rsid w:val="000C23D5"/>
    <w:rsid w:val="000C2635"/>
    <w:rsid w:val="000C2C42"/>
    <w:rsid w:val="000C32E1"/>
    <w:rsid w:val="000C4076"/>
    <w:rsid w:val="000C4080"/>
    <w:rsid w:val="000C408F"/>
    <w:rsid w:val="000C41C2"/>
    <w:rsid w:val="000C4423"/>
    <w:rsid w:val="000C4669"/>
    <w:rsid w:val="000C46BE"/>
    <w:rsid w:val="000C4EBA"/>
    <w:rsid w:val="000C5390"/>
    <w:rsid w:val="000C53EB"/>
    <w:rsid w:val="000C54F1"/>
    <w:rsid w:val="000C5AAB"/>
    <w:rsid w:val="000C5F35"/>
    <w:rsid w:val="000C6343"/>
    <w:rsid w:val="000C6A70"/>
    <w:rsid w:val="000C6A84"/>
    <w:rsid w:val="000C7E56"/>
    <w:rsid w:val="000D04C9"/>
    <w:rsid w:val="000D0594"/>
    <w:rsid w:val="000D0674"/>
    <w:rsid w:val="000D0CDB"/>
    <w:rsid w:val="000D0D34"/>
    <w:rsid w:val="000D0F45"/>
    <w:rsid w:val="000D1095"/>
    <w:rsid w:val="000D17DE"/>
    <w:rsid w:val="000D1A92"/>
    <w:rsid w:val="000D1AF7"/>
    <w:rsid w:val="000D1E91"/>
    <w:rsid w:val="000D2C3E"/>
    <w:rsid w:val="000D3DCE"/>
    <w:rsid w:val="000D4287"/>
    <w:rsid w:val="000D470D"/>
    <w:rsid w:val="000D4798"/>
    <w:rsid w:val="000D4B93"/>
    <w:rsid w:val="000D4DD0"/>
    <w:rsid w:val="000D4F85"/>
    <w:rsid w:val="000D5251"/>
    <w:rsid w:val="000D5BEE"/>
    <w:rsid w:val="000D5F4C"/>
    <w:rsid w:val="000D5FDE"/>
    <w:rsid w:val="000D61D2"/>
    <w:rsid w:val="000D62B5"/>
    <w:rsid w:val="000D662C"/>
    <w:rsid w:val="000D74DB"/>
    <w:rsid w:val="000D7F4D"/>
    <w:rsid w:val="000E0546"/>
    <w:rsid w:val="000E05BF"/>
    <w:rsid w:val="000E09F1"/>
    <w:rsid w:val="000E0DD2"/>
    <w:rsid w:val="000E152C"/>
    <w:rsid w:val="000E154F"/>
    <w:rsid w:val="000E16F4"/>
    <w:rsid w:val="000E18B9"/>
    <w:rsid w:val="000E1BCE"/>
    <w:rsid w:val="000E21F4"/>
    <w:rsid w:val="000E2630"/>
    <w:rsid w:val="000E27C2"/>
    <w:rsid w:val="000E2BA9"/>
    <w:rsid w:val="000E3714"/>
    <w:rsid w:val="000E3912"/>
    <w:rsid w:val="000E391F"/>
    <w:rsid w:val="000E39DA"/>
    <w:rsid w:val="000E3A16"/>
    <w:rsid w:val="000E3C45"/>
    <w:rsid w:val="000E3D25"/>
    <w:rsid w:val="000E4713"/>
    <w:rsid w:val="000E4A95"/>
    <w:rsid w:val="000E4B2C"/>
    <w:rsid w:val="000E4F2B"/>
    <w:rsid w:val="000E4FA8"/>
    <w:rsid w:val="000E55DF"/>
    <w:rsid w:val="000E57BA"/>
    <w:rsid w:val="000E5B00"/>
    <w:rsid w:val="000E6080"/>
    <w:rsid w:val="000E6699"/>
    <w:rsid w:val="000E755A"/>
    <w:rsid w:val="000E7659"/>
    <w:rsid w:val="000E7DB6"/>
    <w:rsid w:val="000E7E40"/>
    <w:rsid w:val="000E7FCF"/>
    <w:rsid w:val="000F0590"/>
    <w:rsid w:val="000F0752"/>
    <w:rsid w:val="000F0E8E"/>
    <w:rsid w:val="000F1294"/>
    <w:rsid w:val="000F228E"/>
    <w:rsid w:val="000F26AA"/>
    <w:rsid w:val="000F2CEE"/>
    <w:rsid w:val="000F2F8E"/>
    <w:rsid w:val="000F31BF"/>
    <w:rsid w:val="000F3A01"/>
    <w:rsid w:val="000F463F"/>
    <w:rsid w:val="000F495E"/>
    <w:rsid w:val="000F4D72"/>
    <w:rsid w:val="000F5027"/>
    <w:rsid w:val="000F5782"/>
    <w:rsid w:val="000F5982"/>
    <w:rsid w:val="000F6225"/>
    <w:rsid w:val="000F6820"/>
    <w:rsid w:val="000F69DC"/>
    <w:rsid w:val="000F6BF5"/>
    <w:rsid w:val="000F6D18"/>
    <w:rsid w:val="000F734B"/>
    <w:rsid w:val="000F7F2F"/>
    <w:rsid w:val="0010031E"/>
    <w:rsid w:val="001005C7"/>
    <w:rsid w:val="00100B97"/>
    <w:rsid w:val="001011BB"/>
    <w:rsid w:val="0010176A"/>
    <w:rsid w:val="001023A8"/>
    <w:rsid w:val="00102928"/>
    <w:rsid w:val="0010311F"/>
    <w:rsid w:val="00103233"/>
    <w:rsid w:val="001037C1"/>
    <w:rsid w:val="001037F7"/>
    <w:rsid w:val="00103A7F"/>
    <w:rsid w:val="00103BF9"/>
    <w:rsid w:val="00103DE6"/>
    <w:rsid w:val="0010412E"/>
    <w:rsid w:val="00104185"/>
    <w:rsid w:val="00104348"/>
    <w:rsid w:val="0010471E"/>
    <w:rsid w:val="001048B3"/>
    <w:rsid w:val="00104C19"/>
    <w:rsid w:val="00105291"/>
    <w:rsid w:val="001057D6"/>
    <w:rsid w:val="00105D9C"/>
    <w:rsid w:val="00105F0E"/>
    <w:rsid w:val="0010647E"/>
    <w:rsid w:val="00106C3E"/>
    <w:rsid w:val="00106CCC"/>
    <w:rsid w:val="00106D27"/>
    <w:rsid w:val="00106F3E"/>
    <w:rsid w:val="00106FDE"/>
    <w:rsid w:val="00107C07"/>
    <w:rsid w:val="00107DE0"/>
    <w:rsid w:val="00110877"/>
    <w:rsid w:val="00110980"/>
    <w:rsid w:val="00111639"/>
    <w:rsid w:val="00111833"/>
    <w:rsid w:val="00111DB4"/>
    <w:rsid w:val="00112A83"/>
    <w:rsid w:val="00112CC7"/>
    <w:rsid w:val="00112E19"/>
    <w:rsid w:val="00113029"/>
    <w:rsid w:val="001130AA"/>
    <w:rsid w:val="00113618"/>
    <w:rsid w:val="00113980"/>
    <w:rsid w:val="00113B83"/>
    <w:rsid w:val="001140B1"/>
    <w:rsid w:val="001149FB"/>
    <w:rsid w:val="00114A11"/>
    <w:rsid w:val="00114A3A"/>
    <w:rsid w:val="00115007"/>
    <w:rsid w:val="00115616"/>
    <w:rsid w:val="00115669"/>
    <w:rsid w:val="00115C1D"/>
    <w:rsid w:val="001162A7"/>
    <w:rsid w:val="001167DB"/>
    <w:rsid w:val="00116823"/>
    <w:rsid w:val="00116828"/>
    <w:rsid w:val="001168DE"/>
    <w:rsid w:val="00116DB3"/>
    <w:rsid w:val="00116F7F"/>
    <w:rsid w:val="001175F4"/>
    <w:rsid w:val="00117BA3"/>
    <w:rsid w:val="00120857"/>
    <w:rsid w:val="00120E9C"/>
    <w:rsid w:val="00121887"/>
    <w:rsid w:val="00121CB0"/>
    <w:rsid w:val="00122809"/>
    <w:rsid w:val="00122831"/>
    <w:rsid w:val="00122C7A"/>
    <w:rsid w:val="00122E3A"/>
    <w:rsid w:val="00123BD5"/>
    <w:rsid w:val="0012431C"/>
    <w:rsid w:val="0012585F"/>
    <w:rsid w:val="001258E5"/>
    <w:rsid w:val="001262BC"/>
    <w:rsid w:val="001264FB"/>
    <w:rsid w:val="00126829"/>
    <w:rsid w:val="00126B0D"/>
    <w:rsid w:val="00127064"/>
    <w:rsid w:val="00127B09"/>
    <w:rsid w:val="00127B29"/>
    <w:rsid w:val="00130161"/>
    <w:rsid w:val="00130400"/>
    <w:rsid w:val="00130482"/>
    <w:rsid w:val="00130CA4"/>
    <w:rsid w:val="00131790"/>
    <w:rsid w:val="00131C81"/>
    <w:rsid w:val="00131EB5"/>
    <w:rsid w:val="00131F66"/>
    <w:rsid w:val="001322C8"/>
    <w:rsid w:val="0013268F"/>
    <w:rsid w:val="001327E1"/>
    <w:rsid w:val="00132A94"/>
    <w:rsid w:val="00132C64"/>
    <w:rsid w:val="00132CC3"/>
    <w:rsid w:val="00132F20"/>
    <w:rsid w:val="0013353C"/>
    <w:rsid w:val="0013367E"/>
    <w:rsid w:val="001340A2"/>
    <w:rsid w:val="00134491"/>
    <w:rsid w:val="00134B0F"/>
    <w:rsid w:val="00134CA3"/>
    <w:rsid w:val="0013553A"/>
    <w:rsid w:val="00135EE4"/>
    <w:rsid w:val="001360CD"/>
    <w:rsid w:val="00136209"/>
    <w:rsid w:val="00136EA5"/>
    <w:rsid w:val="001372D9"/>
    <w:rsid w:val="0013737F"/>
    <w:rsid w:val="00137D5D"/>
    <w:rsid w:val="001404A9"/>
    <w:rsid w:val="001409D9"/>
    <w:rsid w:val="001409FC"/>
    <w:rsid w:val="00140F47"/>
    <w:rsid w:val="00141222"/>
    <w:rsid w:val="00141456"/>
    <w:rsid w:val="00141A90"/>
    <w:rsid w:val="00141F42"/>
    <w:rsid w:val="00141FC3"/>
    <w:rsid w:val="00141FCB"/>
    <w:rsid w:val="001422BB"/>
    <w:rsid w:val="00142611"/>
    <w:rsid w:val="00142695"/>
    <w:rsid w:val="00142697"/>
    <w:rsid w:val="00142953"/>
    <w:rsid w:val="0014302F"/>
    <w:rsid w:val="001438BD"/>
    <w:rsid w:val="00143D34"/>
    <w:rsid w:val="00144B89"/>
    <w:rsid w:val="00144DE2"/>
    <w:rsid w:val="001455E7"/>
    <w:rsid w:val="001459CB"/>
    <w:rsid w:val="00146149"/>
    <w:rsid w:val="00146D1A"/>
    <w:rsid w:val="00147497"/>
    <w:rsid w:val="0014766B"/>
    <w:rsid w:val="00147D95"/>
    <w:rsid w:val="001509D0"/>
    <w:rsid w:val="001512FB"/>
    <w:rsid w:val="001513DD"/>
    <w:rsid w:val="001514BE"/>
    <w:rsid w:val="00151AC7"/>
    <w:rsid w:val="0015240F"/>
    <w:rsid w:val="00152923"/>
    <w:rsid w:val="00152C96"/>
    <w:rsid w:val="0015338F"/>
    <w:rsid w:val="001543AD"/>
    <w:rsid w:val="0015482B"/>
    <w:rsid w:val="001552A1"/>
    <w:rsid w:val="00155C51"/>
    <w:rsid w:val="00155D4F"/>
    <w:rsid w:val="00155DCB"/>
    <w:rsid w:val="00156469"/>
    <w:rsid w:val="0015653E"/>
    <w:rsid w:val="001569FB"/>
    <w:rsid w:val="00156BDE"/>
    <w:rsid w:val="0015795F"/>
    <w:rsid w:val="00157BF4"/>
    <w:rsid w:val="00160505"/>
    <w:rsid w:val="001606E4"/>
    <w:rsid w:val="00161060"/>
    <w:rsid w:val="00161E8D"/>
    <w:rsid w:val="00161FDC"/>
    <w:rsid w:val="00162250"/>
    <w:rsid w:val="001627BF"/>
    <w:rsid w:val="00162B2A"/>
    <w:rsid w:val="0016326D"/>
    <w:rsid w:val="00163604"/>
    <w:rsid w:val="00163F91"/>
    <w:rsid w:val="00164DCA"/>
    <w:rsid w:val="00164FB2"/>
    <w:rsid w:val="00165231"/>
    <w:rsid w:val="00165291"/>
    <w:rsid w:val="00165452"/>
    <w:rsid w:val="001655FA"/>
    <w:rsid w:val="00165665"/>
    <w:rsid w:val="00165EF5"/>
    <w:rsid w:val="001667C0"/>
    <w:rsid w:val="0016729E"/>
    <w:rsid w:val="001675A8"/>
    <w:rsid w:val="001677B9"/>
    <w:rsid w:val="00167A7B"/>
    <w:rsid w:val="001703CC"/>
    <w:rsid w:val="0017041C"/>
    <w:rsid w:val="001707EE"/>
    <w:rsid w:val="00170E21"/>
    <w:rsid w:val="0017103E"/>
    <w:rsid w:val="001713AF"/>
    <w:rsid w:val="0017147D"/>
    <w:rsid w:val="00172016"/>
    <w:rsid w:val="001720D2"/>
    <w:rsid w:val="00172148"/>
    <w:rsid w:val="00172284"/>
    <w:rsid w:val="001729CC"/>
    <w:rsid w:val="00172E32"/>
    <w:rsid w:val="0017326D"/>
    <w:rsid w:val="001737D3"/>
    <w:rsid w:val="00174245"/>
    <w:rsid w:val="00174832"/>
    <w:rsid w:val="001749F1"/>
    <w:rsid w:val="00174F6B"/>
    <w:rsid w:val="0017503A"/>
    <w:rsid w:val="00175108"/>
    <w:rsid w:val="00175855"/>
    <w:rsid w:val="00175F94"/>
    <w:rsid w:val="0017642A"/>
    <w:rsid w:val="00176A52"/>
    <w:rsid w:val="00176D02"/>
    <w:rsid w:val="00176E98"/>
    <w:rsid w:val="00177190"/>
    <w:rsid w:val="0017750A"/>
    <w:rsid w:val="0017779A"/>
    <w:rsid w:val="0017786B"/>
    <w:rsid w:val="0018147D"/>
    <w:rsid w:val="0018165C"/>
    <w:rsid w:val="00181B28"/>
    <w:rsid w:val="00181E11"/>
    <w:rsid w:val="001821BE"/>
    <w:rsid w:val="001826CE"/>
    <w:rsid w:val="001827A9"/>
    <w:rsid w:val="00183089"/>
    <w:rsid w:val="001835A9"/>
    <w:rsid w:val="00183776"/>
    <w:rsid w:val="001839DB"/>
    <w:rsid w:val="00183A0E"/>
    <w:rsid w:val="00183FB7"/>
    <w:rsid w:val="0018402C"/>
    <w:rsid w:val="00184352"/>
    <w:rsid w:val="00184AC4"/>
    <w:rsid w:val="00185013"/>
    <w:rsid w:val="0018557A"/>
    <w:rsid w:val="0018581F"/>
    <w:rsid w:val="001863B8"/>
    <w:rsid w:val="001865C2"/>
    <w:rsid w:val="00186749"/>
    <w:rsid w:val="00186E43"/>
    <w:rsid w:val="00190661"/>
    <w:rsid w:val="00190749"/>
    <w:rsid w:val="00190D8E"/>
    <w:rsid w:val="00191350"/>
    <w:rsid w:val="0019191C"/>
    <w:rsid w:val="00191ED3"/>
    <w:rsid w:val="00192009"/>
    <w:rsid w:val="0019208A"/>
    <w:rsid w:val="00192193"/>
    <w:rsid w:val="0019264C"/>
    <w:rsid w:val="00192C7C"/>
    <w:rsid w:val="00193065"/>
    <w:rsid w:val="00193198"/>
    <w:rsid w:val="001933CC"/>
    <w:rsid w:val="00193718"/>
    <w:rsid w:val="00193A76"/>
    <w:rsid w:val="00193D47"/>
    <w:rsid w:val="00193DCC"/>
    <w:rsid w:val="00193F74"/>
    <w:rsid w:val="00194064"/>
    <w:rsid w:val="001946FD"/>
    <w:rsid w:val="00194A66"/>
    <w:rsid w:val="00194C18"/>
    <w:rsid w:val="00195367"/>
    <w:rsid w:val="001955CC"/>
    <w:rsid w:val="001960B8"/>
    <w:rsid w:val="00196476"/>
    <w:rsid w:val="00196B1A"/>
    <w:rsid w:val="001971B7"/>
    <w:rsid w:val="00197535"/>
    <w:rsid w:val="001A0285"/>
    <w:rsid w:val="001A05FB"/>
    <w:rsid w:val="001A0E1E"/>
    <w:rsid w:val="001A1121"/>
    <w:rsid w:val="001A176A"/>
    <w:rsid w:val="001A1A94"/>
    <w:rsid w:val="001A1C88"/>
    <w:rsid w:val="001A1CF5"/>
    <w:rsid w:val="001A22C4"/>
    <w:rsid w:val="001A29C6"/>
    <w:rsid w:val="001A2A23"/>
    <w:rsid w:val="001A2F0F"/>
    <w:rsid w:val="001A2F87"/>
    <w:rsid w:val="001A2FB0"/>
    <w:rsid w:val="001A339B"/>
    <w:rsid w:val="001A3447"/>
    <w:rsid w:val="001A36EF"/>
    <w:rsid w:val="001A3BD5"/>
    <w:rsid w:val="001A4205"/>
    <w:rsid w:val="001A442B"/>
    <w:rsid w:val="001A4E01"/>
    <w:rsid w:val="001A5573"/>
    <w:rsid w:val="001A597C"/>
    <w:rsid w:val="001A630D"/>
    <w:rsid w:val="001A63E1"/>
    <w:rsid w:val="001A66A8"/>
    <w:rsid w:val="001A692B"/>
    <w:rsid w:val="001A6D72"/>
    <w:rsid w:val="001A75CA"/>
    <w:rsid w:val="001A789C"/>
    <w:rsid w:val="001A7AF1"/>
    <w:rsid w:val="001A7F85"/>
    <w:rsid w:val="001B083E"/>
    <w:rsid w:val="001B0961"/>
    <w:rsid w:val="001B0D82"/>
    <w:rsid w:val="001B0F88"/>
    <w:rsid w:val="001B118B"/>
    <w:rsid w:val="001B122E"/>
    <w:rsid w:val="001B2158"/>
    <w:rsid w:val="001B2868"/>
    <w:rsid w:val="001B2913"/>
    <w:rsid w:val="001B2C0A"/>
    <w:rsid w:val="001B32D7"/>
    <w:rsid w:val="001B33BC"/>
    <w:rsid w:val="001B3B0D"/>
    <w:rsid w:val="001B3E20"/>
    <w:rsid w:val="001B3E37"/>
    <w:rsid w:val="001B477E"/>
    <w:rsid w:val="001B47FF"/>
    <w:rsid w:val="001B4DCE"/>
    <w:rsid w:val="001B50C4"/>
    <w:rsid w:val="001B5975"/>
    <w:rsid w:val="001B59B0"/>
    <w:rsid w:val="001B5D92"/>
    <w:rsid w:val="001B6A70"/>
    <w:rsid w:val="001B6B0F"/>
    <w:rsid w:val="001B6CD7"/>
    <w:rsid w:val="001B6EF0"/>
    <w:rsid w:val="001B6F94"/>
    <w:rsid w:val="001B7732"/>
    <w:rsid w:val="001B7A4F"/>
    <w:rsid w:val="001B7C04"/>
    <w:rsid w:val="001B7C3C"/>
    <w:rsid w:val="001B7DB0"/>
    <w:rsid w:val="001B7FEC"/>
    <w:rsid w:val="001C15EF"/>
    <w:rsid w:val="001C1A47"/>
    <w:rsid w:val="001C1F34"/>
    <w:rsid w:val="001C1F56"/>
    <w:rsid w:val="001C295F"/>
    <w:rsid w:val="001C2CFA"/>
    <w:rsid w:val="001C3010"/>
    <w:rsid w:val="001C3231"/>
    <w:rsid w:val="001C33E5"/>
    <w:rsid w:val="001C38E4"/>
    <w:rsid w:val="001C3E03"/>
    <w:rsid w:val="001C42C1"/>
    <w:rsid w:val="001C4511"/>
    <w:rsid w:val="001C4894"/>
    <w:rsid w:val="001C49F5"/>
    <w:rsid w:val="001C4C50"/>
    <w:rsid w:val="001C4D8A"/>
    <w:rsid w:val="001C52B5"/>
    <w:rsid w:val="001C52F3"/>
    <w:rsid w:val="001C5386"/>
    <w:rsid w:val="001C55F2"/>
    <w:rsid w:val="001C619C"/>
    <w:rsid w:val="001C62B7"/>
    <w:rsid w:val="001C62EB"/>
    <w:rsid w:val="001C6899"/>
    <w:rsid w:val="001C6EEF"/>
    <w:rsid w:val="001C7395"/>
    <w:rsid w:val="001C74CE"/>
    <w:rsid w:val="001C7B6A"/>
    <w:rsid w:val="001D057C"/>
    <w:rsid w:val="001D08C4"/>
    <w:rsid w:val="001D0A00"/>
    <w:rsid w:val="001D0C58"/>
    <w:rsid w:val="001D0D33"/>
    <w:rsid w:val="001D17A6"/>
    <w:rsid w:val="001D17CD"/>
    <w:rsid w:val="001D1B2B"/>
    <w:rsid w:val="001D1CB9"/>
    <w:rsid w:val="001D233E"/>
    <w:rsid w:val="001D2503"/>
    <w:rsid w:val="001D2ECE"/>
    <w:rsid w:val="001D2F57"/>
    <w:rsid w:val="001D3295"/>
    <w:rsid w:val="001D34B9"/>
    <w:rsid w:val="001D3864"/>
    <w:rsid w:val="001D3D74"/>
    <w:rsid w:val="001D47D7"/>
    <w:rsid w:val="001D4895"/>
    <w:rsid w:val="001D4ED4"/>
    <w:rsid w:val="001D4F2E"/>
    <w:rsid w:val="001D5D4A"/>
    <w:rsid w:val="001D5D98"/>
    <w:rsid w:val="001D6401"/>
    <w:rsid w:val="001D66A0"/>
    <w:rsid w:val="001D67B1"/>
    <w:rsid w:val="001D6A16"/>
    <w:rsid w:val="001D6A7D"/>
    <w:rsid w:val="001D6C58"/>
    <w:rsid w:val="001D7430"/>
    <w:rsid w:val="001D74E2"/>
    <w:rsid w:val="001D7AC9"/>
    <w:rsid w:val="001E0195"/>
    <w:rsid w:val="001E0853"/>
    <w:rsid w:val="001E0AE5"/>
    <w:rsid w:val="001E1221"/>
    <w:rsid w:val="001E1730"/>
    <w:rsid w:val="001E18A4"/>
    <w:rsid w:val="001E19DB"/>
    <w:rsid w:val="001E1A7E"/>
    <w:rsid w:val="001E1E07"/>
    <w:rsid w:val="001E1E50"/>
    <w:rsid w:val="001E227A"/>
    <w:rsid w:val="001E2533"/>
    <w:rsid w:val="001E2892"/>
    <w:rsid w:val="001E380A"/>
    <w:rsid w:val="001E386B"/>
    <w:rsid w:val="001E3C76"/>
    <w:rsid w:val="001E50C9"/>
    <w:rsid w:val="001E51A8"/>
    <w:rsid w:val="001E59F1"/>
    <w:rsid w:val="001E60F0"/>
    <w:rsid w:val="001E61D5"/>
    <w:rsid w:val="001E643B"/>
    <w:rsid w:val="001E6DD3"/>
    <w:rsid w:val="001E7532"/>
    <w:rsid w:val="001E75EA"/>
    <w:rsid w:val="001E7AE6"/>
    <w:rsid w:val="001E7B99"/>
    <w:rsid w:val="001E7BA2"/>
    <w:rsid w:val="001F004A"/>
    <w:rsid w:val="001F03B8"/>
    <w:rsid w:val="001F05C4"/>
    <w:rsid w:val="001F0B1D"/>
    <w:rsid w:val="001F0CFC"/>
    <w:rsid w:val="001F193D"/>
    <w:rsid w:val="001F1AE2"/>
    <w:rsid w:val="001F1B5D"/>
    <w:rsid w:val="001F1C6E"/>
    <w:rsid w:val="001F2057"/>
    <w:rsid w:val="001F2AF6"/>
    <w:rsid w:val="001F2FF0"/>
    <w:rsid w:val="001F373B"/>
    <w:rsid w:val="001F389B"/>
    <w:rsid w:val="001F38E3"/>
    <w:rsid w:val="001F438A"/>
    <w:rsid w:val="001F43B3"/>
    <w:rsid w:val="001F4427"/>
    <w:rsid w:val="001F45E7"/>
    <w:rsid w:val="001F4795"/>
    <w:rsid w:val="001F501E"/>
    <w:rsid w:val="001F51D7"/>
    <w:rsid w:val="001F51FC"/>
    <w:rsid w:val="001F5435"/>
    <w:rsid w:val="001F57B5"/>
    <w:rsid w:val="001F58E8"/>
    <w:rsid w:val="001F6500"/>
    <w:rsid w:val="001F6955"/>
    <w:rsid w:val="001F6E7E"/>
    <w:rsid w:val="001F6E8C"/>
    <w:rsid w:val="001F6E93"/>
    <w:rsid w:val="001F766B"/>
    <w:rsid w:val="001F79EE"/>
    <w:rsid w:val="001F7D32"/>
    <w:rsid w:val="0020043E"/>
    <w:rsid w:val="00200553"/>
    <w:rsid w:val="0020073B"/>
    <w:rsid w:val="00200A50"/>
    <w:rsid w:val="00200FA2"/>
    <w:rsid w:val="00201119"/>
    <w:rsid w:val="00201304"/>
    <w:rsid w:val="0020130B"/>
    <w:rsid w:val="00201485"/>
    <w:rsid w:val="00202543"/>
    <w:rsid w:val="00202955"/>
    <w:rsid w:val="002032C3"/>
    <w:rsid w:val="00203957"/>
    <w:rsid w:val="0020399F"/>
    <w:rsid w:val="00203D2E"/>
    <w:rsid w:val="0020417A"/>
    <w:rsid w:val="002044ED"/>
    <w:rsid w:val="002044F4"/>
    <w:rsid w:val="00204834"/>
    <w:rsid w:val="002048BF"/>
    <w:rsid w:val="002049FE"/>
    <w:rsid w:val="0020520D"/>
    <w:rsid w:val="002053CA"/>
    <w:rsid w:val="00205650"/>
    <w:rsid w:val="0020587E"/>
    <w:rsid w:val="00205B52"/>
    <w:rsid w:val="002069C3"/>
    <w:rsid w:val="002069EA"/>
    <w:rsid w:val="00207686"/>
    <w:rsid w:val="002078C3"/>
    <w:rsid w:val="0021028F"/>
    <w:rsid w:val="00210302"/>
    <w:rsid w:val="00210327"/>
    <w:rsid w:val="0021078B"/>
    <w:rsid w:val="00210F5F"/>
    <w:rsid w:val="002112D6"/>
    <w:rsid w:val="0021147D"/>
    <w:rsid w:val="00211644"/>
    <w:rsid w:val="002124D7"/>
    <w:rsid w:val="00212786"/>
    <w:rsid w:val="002127A3"/>
    <w:rsid w:val="00212977"/>
    <w:rsid w:val="00212D35"/>
    <w:rsid w:val="0021349A"/>
    <w:rsid w:val="00213AC4"/>
    <w:rsid w:val="002143C7"/>
    <w:rsid w:val="00214AEA"/>
    <w:rsid w:val="00214BEF"/>
    <w:rsid w:val="00214D20"/>
    <w:rsid w:val="0021570F"/>
    <w:rsid w:val="002158C9"/>
    <w:rsid w:val="002158E0"/>
    <w:rsid w:val="002161DD"/>
    <w:rsid w:val="00216814"/>
    <w:rsid w:val="00216EC1"/>
    <w:rsid w:val="002170E2"/>
    <w:rsid w:val="0021746F"/>
    <w:rsid w:val="00217876"/>
    <w:rsid w:val="00217CF5"/>
    <w:rsid w:val="0022019A"/>
    <w:rsid w:val="002204F9"/>
    <w:rsid w:val="00220703"/>
    <w:rsid w:val="00220AAB"/>
    <w:rsid w:val="00220C57"/>
    <w:rsid w:val="002223A1"/>
    <w:rsid w:val="002223D8"/>
    <w:rsid w:val="002224AF"/>
    <w:rsid w:val="0022269A"/>
    <w:rsid w:val="002229AA"/>
    <w:rsid w:val="00222B9F"/>
    <w:rsid w:val="0022353E"/>
    <w:rsid w:val="0022380D"/>
    <w:rsid w:val="00223852"/>
    <w:rsid w:val="00223FD1"/>
    <w:rsid w:val="002240E4"/>
    <w:rsid w:val="00224105"/>
    <w:rsid w:val="002246B7"/>
    <w:rsid w:val="00224CB6"/>
    <w:rsid w:val="00224EA2"/>
    <w:rsid w:val="0022505D"/>
    <w:rsid w:val="002255AB"/>
    <w:rsid w:val="0022592E"/>
    <w:rsid w:val="002263BA"/>
    <w:rsid w:val="00226A77"/>
    <w:rsid w:val="00226CF5"/>
    <w:rsid w:val="00226E28"/>
    <w:rsid w:val="00230163"/>
    <w:rsid w:val="002303D8"/>
    <w:rsid w:val="002303DD"/>
    <w:rsid w:val="00230639"/>
    <w:rsid w:val="00230925"/>
    <w:rsid w:val="00230B89"/>
    <w:rsid w:val="00230E03"/>
    <w:rsid w:val="00230F5D"/>
    <w:rsid w:val="00231751"/>
    <w:rsid w:val="002317A0"/>
    <w:rsid w:val="002318B9"/>
    <w:rsid w:val="00232703"/>
    <w:rsid w:val="00232C7D"/>
    <w:rsid w:val="00233049"/>
    <w:rsid w:val="002332BC"/>
    <w:rsid w:val="00233466"/>
    <w:rsid w:val="0023393C"/>
    <w:rsid w:val="00235436"/>
    <w:rsid w:val="00235D11"/>
    <w:rsid w:val="00235F68"/>
    <w:rsid w:val="00236182"/>
    <w:rsid w:val="00236599"/>
    <w:rsid w:val="0023685F"/>
    <w:rsid w:val="00236CDE"/>
    <w:rsid w:val="00236E56"/>
    <w:rsid w:val="00237442"/>
    <w:rsid w:val="0023745E"/>
    <w:rsid w:val="002374AC"/>
    <w:rsid w:val="00237CBF"/>
    <w:rsid w:val="00237E91"/>
    <w:rsid w:val="00240798"/>
    <w:rsid w:val="00240CC5"/>
    <w:rsid w:val="00241082"/>
    <w:rsid w:val="002421BB"/>
    <w:rsid w:val="00242F76"/>
    <w:rsid w:val="00243264"/>
    <w:rsid w:val="002433C4"/>
    <w:rsid w:val="002434F1"/>
    <w:rsid w:val="002436DE"/>
    <w:rsid w:val="00243963"/>
    <w:rsid w:val="00244730"/>
    <w:rsid w:val="0024489E"/>
    <w:rsid w:val="00244CE1"/>
    <w:rsid w:val="00245148"/>
    <w:rsid w:val="00245871"/>
    <w:rsid w:val="00245910"/>
    <w:rsid w:val="00245B41"/>
    <w:rsid w:val="00245D93"/>
    <w:rsid w:val="002463D2"/>
    <w:rsid w:val="00246708"/>
    <w:rsid w:val="00246906"/>
    <w:rsid w:val="00246E09"/>
    <w:rsid w:val="002471CA"/>
    <w:rsid w:val="00247403"/>
    <w:rsid w:val="002478A6"/>
    <w:rsid w:val="0025041A"/>
    <w:rsid w:val="002505E6"/>
    <w:rsid w:val="00250638"/>
    <w:rsid w:val="00250B74"/>
    <w:rsid w:val="00250DF8"/>
    <w:rsid w:val="0025136E"/>
    <w:rsid w:val="0025161F"/>
    <w:rsid w:val="00251B69"/>
    <w:rsid w:val="00251E63"/>
    <w:rsid w:val="00251FFA"/>
    <w:rsid w:val="00252193"/>
    <w:rsid w:val="00252203"/>
    <w:rsid w:val="00252597"/>
    <w:rsid w:val="002525FA"/>
    <w:rsid w:val="002525FC"/>
    <w:rsid w:val="00252792"/>
    <w:rsid w:val="00253462"/>
    <w:rsid w:val="0025352B"/>
    <w:rsid w:val="00253791"/>
    <w:rsid w:val="00253A32"/>
    <w:rsid w:val="0025456C"/>
    <w:rsid w:val="002546C1"/>
    <w:rsid w:val="00254883"/>
    <w:rsid w:val="002548FF"/>
    <w:rsid w:val="00254B48"/>
    <w:rsid w:val="00255072"/>
    <w:rsid w:val="00255329"/>
    <w:rsid w:val="00255D79"/>
    <w:rsid w:val="002560FC"/>
    <w:rsid w:val="002563E9"/>
    <w:rsid w:val="002564EA"/>
    <w:rsid w:val="00256657"/>
    <w:rsid w:val="002566FE"/>
    <w:rsid w:val="00256AA1"/>
    <w:rsid w:val="00256B96"/>
    <w:rsid w:val="00257BA6"/>
    <w:rsid w:val="00257E7E"/>
    <w:rsid w:val="0026001F"/>
    <w:rsid w:val="0026024F"/>
    <w:rsid w:val="00260316"/>
    <w:rsid w:val="0026060D"/>
    <w:rsid w:val="00260743"/>
    <w:rsid w:val="00260B7C"/>
    <w:rsid w:val="002611A5"/>
    <w:rsid w:val="0026196F"/>
    <w:rsid w:val="00261DA3"/>
    <w:rsid w:val="00262139"/>
    <w:rsid w:val="00262E6F"/>
    <w:rsid w:val="002631BE"/>
    <w:rsid w:val="0026337A"/>
    <w:rsid w:val="002633E8"/>
    <w:rsid w:val="00263BB3"/>
    <w:rsid w:val="002648DF"/>
    <w:rsid w:val="00264DAB"/>
    <w:rsid w:val="0026504F"/>
    <w:rsid w:val="002653AF"/>
    <w:rsid w:val="0026561C"/>
    <w:rsid w:val="00266597"/>
    <w:rsid w:val="002667AF"/>
    <w:rsid w:val="00267701"/>
    <w:rsid w:val="00270064"/>
    <w:rsid w:val="002702DF"/>
    <w:rsid w:val="00270C67"/>
    <w:rsid w:val="00271043"/>
    <w:rsid w:val="002710D2"/>
    <w:rsid w:val="00271100"/>
    <w:rsid w:val="00271185"/>
    <w:rsid w:val="00271382"/>
    <w:rsid w:val="00271E9A"/>
    <w:rsid w:val="0027207A"/>
    <w:rsid w:val="00272AE9"/>
    <w:rsid w:val="00272F7A"/>
    <w:rsid w:val="00273AA6"/>
    <w:rsid w:val="00273BA2"/>
    <w:rsid w:val="0027494A"/>
    <w:rsid w:val="00274D01"/>
    <w:rsid w:val="00274FA7"/>
    <w:rsid w:val="002757A0"/>
    <w:rsid w:val="00275900"/>
    <w:rsid w:val="00276A3B"/>
    <w:rsid w:val="00276B47"/>
    <w:rsid w:val="00276DCC"/>
    <w:rsid w:val="00276F43"/>
    <w:rsid w:val="00276FA5"/>
    <w:rsid w:val="00277524"/>
    <w:rsid w:val="00277C6F"/>
    <w:rsid w:val="00280E25"/>
    <w:rsid w:val="00280FF0"/>
    <w:rsid w:val="0028106D"/>
    <w:rsid w:val="0028153D"/>
    <w:rsid w:val="00281C0C"/>
    <w:rsid w:val="00282011"/>
    <w:rsid w:val="002823C7"/>
    <w:rsid w:val="00282C13"/>
    <w:rsid w:val="002838E8"/>
    <w:rsid w:val="00283B54"/>
    <w:rsid w:val="00283BBA"/>
    <w:rsid w:val="00284038"/>
    <w:rsid w:val="00284081"/>
    <w:rsid w:val="00284153"/>
    <w:rsid w:val="00284551"/>
    <w:rsid w:val="00284AF5"/>
    <w:rsid w:val="00284C39"/>
    <w:rsid w:val="00284FA8"/>
    <w:rsid w:val="00285297"/>
    <w:rsid w:val="00285B03"/>
    <w:rsid w:val="00285F09"/>
    <w:rsid w:val="002865F9"/>
    <w:rsid w:val="00287040"/>
    <w:rsid w:val="0028738F"/>
    <w:rsid w:val="0028775E"/>
    <w:rsid w:val="00290374"/>
    <w:rsid w:val="00290845"/>
    <w:rsid w:val="002908BF"/>
    <w:rsid w:val="00290F33"/>
    <w:rsid w:val="002910EF"/>
    <w:rsid w:val="002913C5"/>
    <w:rsid w:val="0029161B"/>
    <w:rsid w:val="00291917"/>
    <w:rsid w:val="00291A26"/>
    <w:rsid w:val="00291CEF"/>
    <w:rsid w:val="002926BA"/>
    <w:rsid w:val="002928B3"/>
    <w:rsid w:val="0029382C"/>
    <w:rsid w:val="00293E59"/>
    <w:rsid w:val="002945C1"/>
    <w:rsid w:val="0029484E"/>
    <w:rsid w:val="00294C2B"/>
    <w:rsid w:val="002954CC"/>
    <w:rsid w:val="00295743"/>
    <w:rsid w:val="00295EAD"/>
    <w:rsid w:val="002960D4"/>
    <w:rsid w:val="002962EE"/>
    <w:rsid w:val="002966CC"/>
    <w:rsid w:val="00296A2A"/>
    <w:rsid w:val="00296BA0"/>
    <w:rsid w:val="00297061"/>
    <w:rsid w:val="002978C8"/>
    <w:rsid w:val="00297E5A"/>
    <w:rsid w:val="002A0638"/>
    <w:rsid w:val="002A0E47"/>
    <w:rsid w:val="002A1137"/>
    <w:rsid w:val="002A1182"/>
    <w:rsid w:val="002A1300"/>
    <w:rsid w:val="002A1C9A"/>
    <w:rsid w:val="002A1EB9"/>
    <w:rsid w:val="002A25AC"/>
    <w:rsid w:val="002A2C7A"/>
    <w:rsid w:val="002A2E19"/>
    <w:rsid w:val="002A2E84"/>
    <w:rsid w:val="002A3110"/>
    <w:rsid w:val="002A3463"/>
    <w:rsid w:val="002A3742"/>
    <w:rsid w:val="002A391D"/>
    <w:rsid w:val="002A39B9"/>
    <w:rsid w:val="002A3B9A"/>
    <w:rsid w:val="002A3D75"/>
    <w:rsid w:val="002A5125"/>
    <w:rsid w:val="002A52B7"/>
    <w:rsid w:val="002A53F4"/>
    <w:rsid w:val="002A56FA"/>
    <w:rsid w:val="002A58BD"/>
    <w:rsid w:val="002A6529"/>
    <w:rsid w:val="002A66E6"/>
    <w:rsid w:val="002A68F1"/>
    <w:rsid w:val="002A69D5"/>
    <w:rsid w:val="002A69FE"/>
    <w:rsid w:val="002A6A3E"/>
    <w:rsid w:val="002A6AD6"/>
    <w:rsid w:val="002A6CF7"/>
    <w:rsid w:val="002A71DB"/>
    <w:rsid w:val="002A721A"/>
    <w:rsid w:val="002A75FA"/>
    <w:rsid w:val="002A7888"/>
    <w:rsid w:val="002A7980"/>
    <w:rsid w:val="002A7A6E"/>
    <w:rsid w:val="002A7E47"/>
    <w:rsid w:val="002B0453"/>
    <w:rsid w:val="002B0562"/>
    <w:rsid w:val="002B05C4"/>
    <w:rsid w:val="002B07C9"/>
    <w:rsid w:val="002B0972"/>
    <w:rsid w:val="002B0BA7"/>
    <w:rsid w:val="002B12C1"/>
    <w:rsid w:val="002B15FB"/>
    <w:rsid w:val="002B1BA7"/>
    <w:rsid w:val="002B203F"/>
    <w:rsid w:val="002B20CE"/>
    <w:rsid w:val="002B295B"/>
    <w:rsid w:val="002B2B5A"/>
    <w:rsid w:val="002B2E64"/>
    <w:rsid w:val="002B31B5"/>
    <w:rsid w:val="002B3EAB"/>
    <w:rsid w:val="002B4E47"/>
    <w:rsid w:val="002B4F7B"/>
    <w:rsid w:val="002B5091"/>
    <w:rsid w:val="002B5286"/>
    <w:rsid w:val="002B5776"/>
    <w:rsid w:val="002B58E1"/>
    <w:rsid w:val="002B5ADA"/>
    <w:rsid w:val="002B5DD1"/>
    <w:rsid w:val="002B61BA"/>
    <w:rsid w:val="002B6FFF"/>
    <w:rsid w:val="002B750C"/>
    <w:rsid w:val="002B7DBD"/>
    <w:rsid w:val="002C0258"/>
    <w:rsid w:val="002C092A"/>
    <w:rsid w:val="002C12EA"/>
    <w:rsid w:val="002C19AF"/>
    <w:rsid w:val="002C1BF7"/>
    <w:rsid w:val="002C1E67"/>
    <w:rsid w:val="002C2698"/>
    <w:rsid w:val="002C29D6"/>
    <w:rsid w:val="002C2E4E"/>
    <w:rsid w:val="002C2EDE"/>
    <w:rsid w:val="002C2FE9"/>
    <w:rsid w:val="002C334D"/>
    <w:rsid w:val="002C3537"/>
    <w:rsid w:val="002C393A"/>
    <w:rsid w:val="002C3F8A"/>
    <w:rsid w:val="002C401B"/>
    <w:rsid w:val="002C4E33"/>
    <w:rsid w:val="002C4E44"/>
    <w:rsid w:val="002C4EAA"/>
    <w:rsid w:val="002C4F1B"/>
    <w:rsid w:val="002C51AF"/>
    <w:rsid w:val="002C5382"/>
    <w:rsid w:val="002C546F"/>
    <w:rsid w:val="002C590D"/>
    <w:rsid w:val="002C5BEA"/>
    <w:rsid w:val="002C5FE2"/>
    <w:rsid w:val="002C6509"/>
    <w:rsid w:val="002C6C3E"/>
    <w:rsid w:val="002C709C"/>
    <w:rsid w:val="002C734B"/>
    <w:rsid w:val="002C738C"/>
    <w:rsid w:val="002C7B80"/>
    <w:rsid w:val="002D0250"/>
    <w:rsid w:val="002D0BB0"/>
    <w:rsid w:val="002D0D22"/>
    <w:rsid w:val="002D0EFA"/>
    <w:rsid w:val="002D0F47"/>
    <w:rsid w:val="002D1519"/>
    <w:rsid w:val="002D1A31"/>
    <w:rsid w:val="002D1B57"/>
    <w:rsid w:val="002D2345"/>
    <w:rsid w:val="002D2576"/>
    <w:rsid w:val="002D2F91"/>
    <w:rsid w:val="002D30F9"/>
    <w:rsid w:val="002D32C6"/>
    <w:rsid w:val="002D468D"/>
    <w:rsid w:val="002D56A7"/>
    <w:rsid w:val="002D57F2"/>
    <w:rsid w:val="002D5B7F"/>
    <w:rsid w:val="002D5B8B"/>
    <w:rsid w:val="002D5E70"/>
    <w:rsid w:val="002D620B"/>
    <w:rsid w:val="002D65C7"/>
    <w:rsid w:val="002D660F"/>
    <w:rsid w:val="002D6AD7"/>
    <w:rsid w:val="002D6B97"/>
    <w:rsid w:val="002D711E"/>
    <w:rsid w:val="002D71C7"/>
    <w:rsid w:val="002D723C"/>
    <w:rsid w:val="002D74AD"/>
    <w:rsid w:val="002D770C"/>
    <w:rsid w:val="002D7921"/>
    <w:rsid w:val="002D7E8B"/>
    <w:rsid w:val="002E0104"/>
    <w:rsid w:val="002E021C"/>
    <w:rsid w:val="002E0825"/>
    <w:rsid w:val="002E08D3"/>
    <w:rsid w:val="002E094B"/>
    <w:rsid w:val="002E099A"/>
    <w:rsid w:val="002E0E08"/>
    <w:rsid w:val="002E1047"/>
    <w:rsid w:val="002E1759"/>
    <w:rsid w:val="002E1C2A"/>
    <w:rsid w:val="002E1CAA"/>
    <w:rsid w:val="002E1DF9"/>
    <w:rsid w:val="002E2119"/>
    <w:rsid w:val="002E2768"/>
    <w:rsid w:val="002E2CE1"/>
    <w:rsid w:val="002E2DF3"/>
    <w:rsid w:val="002E3AB7"/>
    <w:rsid w:val="002E4913"/>
    <w:rsid w:val="002E4956"/>
    <w:rsid w:val="002E4AFF"/>
    <w:rsid w:val="002E5095"/>
    <w:rsid w:val="002E5132"/>
    <w:rsid w:val="002E5176"/>
    <w:rsid w:val="002E51D4"/>
    <w:rsid w:val="002E56B5"/>
    <w:rsid w:val="002E58F9"/>
    <w:rsid w:val="002E5CC4"/>
    <w:rsid w:val="002E5E65"/>
    <w:rsid w:val="002E5FDC"/>
    <w:rsid w:val="002E606F"/>
    <w:rsid w:val="002E7105"/>
    <w:rsid w:val="002E71B6"/>
    <w:rsid w:val="002E723C"/>
    <w:rsid w:val="002E7C36"/>
    <w:rsid w:val="002F0413"/>
    <w:rsid w:val="002F0558"/>
    <w:rsid w:val="002F081B"/>
    <w:rsid w:val="002F0FAF"/>
    <w:rsid w:val="002F10EA"/>
    <w:rsid w:val="002F18CB"/>
    <w:rsid w:val="002F1B6D"/>
    <w:rsid w:val="002F1D10"/>
    <w:rsid w:val="002F25C3"/>
    <w:rsid w:val="002F25D1"/>
    <w:rsid w:val="002F2833"/>
    <w:rsid w:val="002F2C74"/>
    <w:rsid w:val="002F2C87"/>
    <w:rsid w:val="002F2E40"/>
    <w:rsid w:val="002F3179"/>
    <w:rsid w:val="002F32A9"/>
    <w:rsid w:val="002F34CB"/>
    <w:rsid w:val="002F3569"/>
    <w:rsid w:val="002F3633"/>
    <w:rsid w:val="002F37D0"/>
    <w:rsid w:val="002F3F29"/>
    <w:rsid w:val="002F3F6D"/>
    <w:rsid w:val="002F4854"/>
    <w:rsid w:val="002F48B8"/>
    <w:rsid w:val="002F4E1E"/>
    <w:rsid w:val="002F5EF5"/>
    <w:rsid w:val="002F6114"/>
    <w:rsid w:val="002F63F1"/>
    <w:rsid w:val="002F6AD6"/>
    <w:rsid w:val="002F6B22"/>
    <w:rsid w:val="002F6BDD"/>
    <w:rsid w:val="002F6DF9"/>
    <w:rsid w:val="002F70F0"/>
    <w:rsid w:val="002F7586"/>
    <w:rsid w:val="002F7BDC"/>
    <w:rsid w:val="002F7C4B"/>
    <w:rsid w:val="002F7C8A"/>
    <w:rsid w:val="002F7F9F"/>
    <w:rsid w:val="00300433"/>
    <w:rsid w:val="00300BB4"/>
    <w:rsid w:val="00300D1A"/>
    <w:rsid w:val="003011E8"/>
    <w:rsid w:val="00301438"/>
    <w:rsid w:val="00301C40"/>
    <w:rsid w:val="00302178"/>
    <w:rsid w:val="00302467"/>
    <w:rsid w:val="00302954"/>
    <w:rsid w:val="00302B89"/>
    <w:rsid w:val="00303123"/>
    <w:rsid w:val="003035FA"/>
    <w:rsid w:val="00304342"/>
    <w:rsid w:val="00305486"/>
    <w:rsid w:val="00305AE9"/>
    <w:rsid w:val="00305F8C"/>
    <w:rsid w:val="00306340"/>
    <w:rsid w:val="00306572"/>
    <w:rsid w:val="003065F2"/>
    <w:rsid w:val="0030691F"/>
    <w:rsid w:val="00306F98"/>
    <w:rsid w:val="00307427"/>
    <w:rsid w:val="00307483"/>
    <w:rsid w:val="003074E7"/>
    <w:rsid w:val="0030767D"/>
    <w:rsid w:val="00307DC3"/>
    <w:rsid w:val="0031076F"/>
    <w:rsid w:val="00310782"/>
    <w:rsid w:val="0031082A"/>
    <w:rsid w:val="00310899"/>
    <w:rsid w:val="0031164A"/>
    <w:rsid w:val="003127FD"/>
    <w:rsid w:val="00312F00"/>
    <w:rsid w:val="0031303A"/>
    <w:rsid w:val="003136ED"/>
    <w:rsid w:val="00313A34"/>
    <w:rsid w:val="00313AC6"/>
    <w:rsid w:val="00313BDD"/>
    <w:rsid w:val="003140BC"/>
    <w:rsid w:val="003146A3"/>
    <w:rsid w:val="003146CC"/>
    <w:rsid w:val="00315105"/>
    <w:rsid w:val="003159BA"/>
    <w:rsid w:val="00315A76"/>
    <w:rsid w:val="00316006"/>
    <w:rsid w:val="00316025"/>
    <w:rsid w:val="00316332"/>
    <w:rsid w:val="003165B6"/>
    <w:rsid w:val="00316970"/>
    <w:rsid w:val="003169E4"/>
    <w:rsid w:val="00316B55"/>
    <w:rsid w:val="00316B75"/>
    <w:rsid w:val="00316EFD"/>
    <w:rsid w:val="00317487"/>
    <w:rsid w:val="003178CD"/>
    <w:rsid w:val="003209B3"/>
    <w:rsid w:val="00320B3D"/>
    <w:rsid w:val="00320BD4"/>
    <w:rsid w:val="00320C50"/>
    <w:rsid w:val="00320CB8"/>
    <w:rsid w:val="00320EB0"/>
    <w:rsid w:val="00320EF4"/>
    <w:rsid w:val="003220EC"/>
    <w:rsid w:val="003221BA"/>
    <w:rsid w:val="003221C5"/>
    <w:rsid w:val="0032292E"/>
    <w:rsid w:val="00322C2F"/>
    <w:rsid w:val="0032380C"/>
    <w:rsid w:val="00323E2F"/>
    <w:rsid w:val="003246FD"/>
    <w:rsid w:val="00324B25"/>
    <w:rsid w:val="00325177"/>
    <w:rsid w:val="0032544D"/>
    <w:rsid w:val="00325C5F"/>
    <w:rsid w:val="00325D67"/>
    <w:rsid w:val="00326087"/>
    <w:rsid w:val="0032609F"/>
    <w:rsid w:val="00326A30"/>
    <w:rsid w:val="00326D12"/>
    <w:rsid w:val="00326DD9"/>
    <w:rsid w:val="00330402"/>
    <w:rsid w:val="00330578"/>
    <w:rsid w:val="0033092D"/>
    <w:rsid w:val="00330A28"/>
    <w:rsid w:val="00330D9E"/>
    <w:rsid w:val="003315D5"/>
    <w:rsid w:val="003319EF"/>
    <w:rsid w:val="00331A14"/>
    <w:rsid w:val="00331D03"/>
    <w:rsid w:val="00331F74"/>
    <w:rsid w:val="00332146"/>
    <w:rsid w:val="00332208"/>
    <w:rsid w:val="00332235"/>
    <w:rsid w:val="00332999"/>
    <w:rsid w:val="00332E86"/>
    <w:rsid w:val="0033358C"/>
    <w:rsid w:val="00333633"/>
    <w:rsid w:val="003337CB"/>
    <w:rsid w:val="00333EEB"/>
    <w:rsid w:val="00334D8D"/>
    <w:rsid w:val="003350CD"/>
    <w:rsid w:val="00335FB4"/>
    <w:rsid w:val="0033635C"/>
    <w:rsid w:val="003364DE"/>
    <w:rsid w:val="003365E3"/>
    <w:rsid w:val="0033671B"/>
    <w:rsid w:val="0033695C"/>
    <w:rsid w:val="00336E0F"/>
    <w:rsid w:val="003373DE"/>
    <w:rsid w:val="00337B3B"/>
    <w:rsid w:val="0034056C"/>
    <w:rsid w:val="00340793"/>
    <w:rsid w:val="00340D3D"/>
    <w:rsid w:val="00341CF1"/>
    <w:rsid w:val="00342091"/>
    <w:rsid w:val="003424FB"/>
    <w:rsid w:val="0034352A"/>
    <w:rsid w:val="0034397D"/>
    <w:rsid w:val="00343C58"/>
    <w:rsid w:val="00343D93"/>
    <w:rsid w:val="00343DF5"/>
    <w:rsid w:val="0034431B"/>
    <w:rsid w:val="0034457E"/>
    <w:rsid w:val="00344582"/>
    <w:rsid w:val="0034474F"/>
    <w:rsid w:val="00344F49"/>
    <w:rsid w:val="003450D1"/>
    <w:rsid w:val="003468E6"/>
    <w:rsid w:val="003473F3"/>
    <w:rsid w:val="00351484"/>
    <w:rsid w:val="0035166D"/>
    <w:rsid w:val="003519AC"/>
    <w:rsid w:val="00351ACB"/>
    <w:rsid w:val="00351F82"/>
    <w:rsid w:val="00351F98"/>
    <w:rsid w:val="00351FBC"/>
    <w:rsid w:val="00352911"/>
    <w:rsid w:val="00353326"/>
    <w:rsid w:val="00353420"/>
    <w:rsid w:val="003534CB"/>
    <w:rsid w:val="00353D53"/>
    <w:rsid w:val="0035416B"/>
    <w:rsid w:val="003542B9"/>
    <w:rsid w:val="00354BA2"/>
    <w:rsid w:val="00354C30"/>
    <w:rsid w:val="00354CA2"/>
    <w:rsid w:val="00354D59"/>
    <w:rsid w:val="0035503E"/>
    <w:rsid w:val="00355062"/>
    <w:rsid w:val="003550BF"/>
    <w:rsid w:val="00355721"/>
    <w:rsid w:val="00356304"/>
    <w:rsid w:val="00356CDE"/>
    <w:rsid w:val="003572E7"/>
    <w:rsid w:val="0035776E"/>
    <w:rsid w:val="0035793A"/>
    <w:rsid w:val="00360E98"/>
    <w:rsid w:val="003613BD"/>
    <w:rsid w:val="003618A4"/>
    <w:rsid w:val="00362472"/>
    <w:rsid w:val="00362764"/>
    <w:rsid w:val="0036292A"/>
    <w:rsid w:val="00362BE3"/>
    <w:rsid w:val="0036345F"/>
    <w:rsid w:val="003638F2"/>
    <w:rsid w:val="003639D9"/>
    <w:rsid w:val="00363A7D"/>
    <w:rsid w:val="00363B96"/>
    <w:rsid w:val="00363F9C"/>
    <w:rsid w:val="003647CC"/>
    <w:rsid w:val="00364B24"/>
    <w:rsid w:val="0036590D"/>
    <w:rsid w:val="00365C2C"/>
    <w:rsid w:val="0036619E"/>
    <w:rsid w:val="00366F3F"/>
    <w:rsid w:val="00367465"/>
    <w:rsid w:val="00367B91"/>
    <w:rsid w:val="00370455"/>
    <w:rsid w:val="00370533"/>
    <w:rsid w:val="003709D9"/>
    <w:rsid w:val="00370ABB"/>
    <w:rsid w:val="00370B99"/>
    <w:rsid w:val="00370E1F"/>
    <w:rsid w:val="00371991"/>
    <w:rsid w:val="00371A69"/>
    <w:rsid w:val="00372B6A"/>
    <w:rsid w:val="0037329C"/>
    <w:rsid w:val="00373541"/>
    <w:rsid w:val="00373843"/>
    <w:rsid w:val="00374062"/>
    <w:rsid w:val="00374344"/>
    <w:rsid w:val="003745BF"/>
    <w:rsid w:val="00374630"/>
    <w:rsid w:val="00374DBE"/>
    <w:rsid w:val="0037558A"/>
    <w:rsid w:val="00375722"/>
    <w:rsid w:val="00375A64"/>
    <w:rsid w:val="00375CB9"/>
    <w:rsid w:val="00375FDE"/>
    <w:rsid w:val="00376552"/>
    <w:rsid w:val="00376593"/>
    <w:rsid w:val="0037662F"/>
    <w:rsid w:val="00376A7D"/>
    <w:rsid w:val="00376D87"/>
    <w:rsid w:val="0037722A"/>
    <w:rsid w:val="00377D71"/>
    <w:rsid w:val="00377EB4"/>
    <w:rsid w:val="0038017C"/>
    <w:rsid w:val="00380C37"/>
    <w:rsid w:val="00381667"/>
    <w:rsid w:val="00381776"/>
    <w:rsid w:val="003819C3"/>
    <w:rsid w:val="00381A0D"/>
    <w:rsid w:val="00381B05"/>
    <w:rsid w:val="00381FA4"/>
    <w:rsid w:val="003820AA"/>
    <w:rsid w:val="00382207"/>
    <w:rsid w:val="003825B3"/>
    <w:rsid w:val="003830D6"/>
    <w:rsid w:val="00383180"/>
    <w:rsid w:val="00383685"/>
    <w:rsid w:val="0038387B"/>
    <w:rsid w:val="0038394E"/>
    <w:rsid w:val="003849B2"/>
    <w:rsid w:val="00384F28"/>
    <w:rsid w:val="00384F9A"/>
    <w:rsid w:val="00385161"/>
    <w:rsid w:val="00385513"/>
    <w:rsid w:val="00385ECB"/>
    <w:rsid w:val="003860B6"/>
    <w:rsid w:val="00386245"/>
    <w:rsid w:val="00386D9A"/>
    <w:rsid w:val="003870B3"/>
    <w:rsid w:val="00387117"/>
    <w:rsid w:val="00387364"/>
    <w:rsid w:val="00387895"/>
    <w:rsid w:val="00390050"/>
    <w:rsid w:val="0039144D"/>
    <w:rsid w:val="0039155B"/>
    <w:rsid w:val="00391A26"/>
    <w:rsid w:val="00391C74"/>
    <w:rsid w:val="00392258"/>
    <w:rsid w:val="0039317A"/>
    <w:rsid w:val="003939E4"/>
    <w:rsid w:val="00393BB6"/>
    <w:rsid w:val="00393EA5"/>
    <w:rsid w:val="00393EC9"/>
    <w:rsid w:val="00394038"/>
    <w:rsid w:val="00394501"/>
    <w:rsid w:val="00394526"/>
    <w:rsid w:val="0039482F"/>
    <w:rsid w:val="00394C16"/>
    <w:rsid w:val="00394EE6"/>
    <w:rsid w:val="00395192"/>
    <w:rsid w:val="003956E0"/>
    <w:rsid w:val="00395754"/>
    <w:rsid w:val="00395A85"/>
    <w:rsid w:val="00395CE7"/>
    <w:rsid w:val="00395D4C"/>
    <w:rsid w:val="00396057"/>
    <w:rsid w:val="00396571"/>
    <w:rsid w:val="00396E99"/>
    <w:rsid w:val="00397542"/>
    <w:rsid w:val="00397AE1"/>
    <w:rsid w:val="00397C0D"/>
    <w:rsid w:val="003A0253"/>
    <w:rsid w:val="003A0424"/>
    <w:rsid w:val="003A0A14"/>
    <w:rsid w:val="003A0BA2"/>
    <w:rsid w:val="003A0E33"/>
    <w:rsid w:val="003A1915"/>
    <w:rsid w:val="003A1E13"/>
    <w:rsid w:val="003A1E5E"/>
    <w:rsid w:val="003A2A02"/>
    <w:rsid w:val="003A30E5"/>
    <w:rsid w:val="003A3119"/>
    <w:rsid w:val="003A34E3"/>
    <w:rsid w:val="003A3D20"/>
    <w:rsid w:val="003A3F4E"/>
    <w:rsid w:val="003A3F5E"/>
    <w:rsid w:val="003A3F7E"/>
    <w:rsid w:val="003A4361"/>
    <w:rsid w:val="003A44D6"/>
    <w:rsid w:val="003A4557"/>
    <w:rsid w:val="003A5193"/>
    <w:rsid w:val="003A520C"/>
    <w:rsid w:val="003A520E"/>
    <w:rsid w:val="003A5378"/>
    <w:rsid w:val="003A5520"/>
    <w:rsid w:val="003A5759"/>
    <w:rsid w:val="003A59F0"/>
    <w:rsid w:val="003A5B1E"/>
    <w:rsid w:val="003A5C69"/>
    <w:rsid w:val="003A5EFD"/>
    <w:rsid w:val="003A661B"/>
    <w:rsid w:val="003A68CF"/>
    <w:rsid w:val="003A694F"/>
    <w:rsid w:val="003A6C10"/>
    <w:rsid w:val="003A7E29"/>
    <w:rsid w:val="003A7E82"/>
    <w:rsid w:val="003B01EE"/>
    <w:rsid w:val="003B0521"/>
    <w:rsid w:val="003B0BE0"/>
    <w:rsid w:val="003B0C62"/>
    <w:rsid w:val="003B10CC"/>
    <w:rsid w:val="003B12B5"/>
    <w:rsid w:val="003B15DB"/>
    <w:rsid w:val="003B1BB1"/>
    <w:rsid w:val="003B1EB8"/>
    <w:rsid w:val="003B1EBB"/>
    <w:rsid w:val="003B1F53"/>
    <w:rsid w:val="003B248D"/>
    <w:rsid w:val="003B38FC"/>
    <w:rsid w:val="003B3A5B"/>
    <w:rsid w:val="003B4008"/>
    <w:rsid w:val="003B41B8"/>
    <w:rsid w:val="003B4750"/>
    <w:rsid w:val="003B4F73"/>
    <w:rsid w:val="003B5518"/>
    <w:rsid w:val="003B5660"/>
    <w:rsid w:val="003B567B"/>
    <w:rsid w:val="003B5CCE"/>
    <w:rsid w:val="003B6370"/>
    <w:rsid w:val="003B6865"/>
    <w:rsid w:val="003B7343"/>
    <w:rsid w:val="003C01D1"/>
    <w:rsid w:val="003C0502"/>
    <w:rsid w:val="003C06DE"/>
    <w:rsid w:val="003C157C"/>
    <w:rsid w:val="003C1C0B"/>
    <w:rsid w:val="003C2B3F"/>
    <w:rsid w:val="003C2E92"/>
    <w:rsid w:val="003C330A"/>
    <w:rsid w:val="003C35CA"/>
    <w:rsid w:val="003C3889"/>
    <w:rsid w:val="003C3D6C"/>
    <w:rsid w:val="003C417B"/>
    <w:rsid w:val="003C4B52"/>
    <w:rsid w:val="003C4BBE"/>
    <w:rsid w:val="003C4D7D"/>
    <w:rsid w:val="003C5343"/>
    <w:rsid w:val="003C5751"/>
    <w:rsid w:val="003C5882"/>
    <w:rsid w:val="003C5C25"/>
    <w:rsid w:val="003C5D56"/>
    <w:rsid w:val="003C5F3E"/>
    <w:rsid w:val="003C5F9A"/>
    <w:rsid w:val="003C609B"/>
    <w:rsid w:val="003C60F5"/>
    <w:rsid w:val="003C65F4"/>
    <w:rsid w:val="003C679C"/>
    <w:rsid w:val="003C6882"/>
    <w:rsid w:val="003C690F"/>
    <w:rsid w:val="003C6EA7"/>
    <w:rsid w:val="003C7AFC"/>
    <w:rsid w:val="003C7C91"/>
    <w:rsid w:val="003D05C8"/>
    <w:rsid w:val="003D0770"/>
    <w:rsid w:val="003D0D4F"/>
    <w:rsid w:val="003D0E1C"/>
    <w:rsid w:val="003D0EC0"/>
    <w:rsid w:val="003D1322"/>
    <w:rsid w:val="003D25BB"/>
    <w:rsid w:val="003D3E99"/>
    <w:rsid w:val="003D3EFC"/>
    <w:rsid w:val="003D4222"/>
    <w:rsid w:val="003D4311"/>
    <w:rsid w:val="003D59BF"/>
    <w:rsid w:val="003D661A"/>
    <w:rsid w:val="003D7604"/>
    <w:rsid w:val="003D76C3"/>
    <w:rsid w:val="003D796D"/>
    <w:rsid w:val="003D7C57"/>
    <w:rsid w:val="003E0126"/>
    <w:rsid w:val="003E05B9"/>
    <w:rsid w:val="003E12D3"/>
    <w:rsid w:val="003E1F2D"/>
    <w:rsid w:val="003E23FF"/>
    <w:rsid w:val="003E256C"/>
    <w:rsid w:val="003E328F"/>
    <w:rsid w:val="003E364E"/>
    <w:rsid w:val="003E4379"/>
    <w:rsid w:val="003E4B47"/>
    <w:rsid w:val="003E5072"/>
    <w:rsid w:val="003E54A2"/>
    <w:rsid w:val="003E602A"/>
    <w:rsid w:val="003E65EC"/>
    <w:rsid w:val="003E660D"/>
    <w:rsid w:val="003E66CE"/>
    <w:rsid w:val="003E6735"/>
    <w:rsid w:val="003E6749"/>
    <w:rsid w:val="003E6B4D"/>
    <w:rsid w:val="003E6E18"/>
    <w:rsid w:val="003E726C"/>
    <w:rsid w:val="003E79AD"/>
    <w:rsid w:val="003F0E08"/>
    <w:rsid w:val="003F0EEF"/>
    <w:rsid w:val="003F11E9"/>
    <w:rsid w:val="003F1485"/>
    <w:rsid w:val="003F1685"/>
    <w:rsid w:val="003F18C6"/>
    <w:rsid w:val="003F1D62"/>
    <w:rsid w:val="003F1DA2"/>
    <w:rsid w:val="003F25A5"/>
    <w:rsid w:val="003F3397"/>
    <w:rsid w:val="003F3FE5"/>
    <w:rsid w:val="003F425F"/>
    <w:rsid w:val="003F432E"/>
    <w:rsid w:val="003F45D2"/>
    <w:rsid w:val="003F4C33"/>
    <w:rsid w:val="003F56DD"/>
    <w:rsid w:val="003F5B1E"/>
    <w:rsid w:val="003F5C2C"/>
    <w:rsid w:val="003F5E8E"/>
    <w:rsid w:val="003F62D4"/>
    <w:rsid w:val="003F7203"/>
    <w:rsid w:val="003F7234"/>
    <w:rsid w:val="003F72C8"/>
    <w:rsid w:val="003F7CE3"/>
    <w:rsid w:val="0040045C"/>
    <w:rsid w:val="00400CBB"/>
    <w:rsid w:val="00401222"/>
    <w:rsid w:val="0040128B"/>
    <w:rsid w:val="00402233"/>
    <w:rsid w:val="00402B4C"/>
    <w:rsid w:val="00403778"/>
    <w:rsid w:val="00403D69"/>
    <w:rsid w:val="0040421F"/>
    <w:rsid w:val="00404A2F"/>
    <w:rsid w:val="004051BE"/>
    <w:rsid w:val="0040534C"/>
    <w:rsid w:val="004056F9"/>
    <w:rsid w:val="00405BE9"/>
    <w:rsid w:val="00406BBA"/>
    <w:rsid w:val="00406F1D"/>
    <w:rsid w:val="00406F95"/>
    <w:rsid w:val="004072F5"/>
    <w:rsid w:val="0040751D"/>
    <w:rsid w:val="004075BE"/>
    <w:rsid w:val="00407BE2"/>
    <w:rsid w:val="00407CE4"/>
    <w:rsid w:val="004100AF"/>
    <w:rsid w:val="00410408"/>
    <w:rsid w:val="00410643"/>
    <w:rsid w:val="00410884"/>
    <w:rsid w:val="00410932"/>
    <w:rsid w:val="004119A9"/>
    <w:rsid w:val="004119E2"/>
    <w:rsid w:val="00411D8B"/>
    <w:rsid w:val="004120D4"/>
    <w:rsid w:val="0041216B"/>
    <w:rsid w:val="004125A3"/>
    <w:rsid w:val="0041260D"/>
    <w:rsid w:val="00412A41"/>
    <w:rsid w:val="00412AD8"/>
    <w:rsid w:val="00412B3B"/>
    <w:rsid w:val="00413402"/>
    <w:rsid w:val="0041361B"/>
    <w:rsid w:val="004136FB"/>
    <w:rsid w:val="00413982"/>
    <w:rsid w:val="00413BCD"/>
    <w:rsid w:val="00413C8D"/>
    <w:rsid w:val="00413F16"/>
    <w:rsid w:val="0041405A"/>
    <w:rsid w:val="00414605"/>
    <w:rsid w:val="00414688"/>
    <w:rsid w:val="004147D3"/>
    <w:rsid w:val="004147D9"/>
    <w:rsid w:val="00414C3E"/>
    <w:rsid w:val="0041594C"/>
    <w:rsid w:val="00416061"/>
    <w:rsid w:val="00416363"/>
    <w:rsid w:val="00416FF6"/>
    <w:rsid w:val="00417276"/>
    <w:rsid w:val="00417331"/>
    <w:rsid w:val="004206D0"/>
    <w:rsid w:val="00420ABC"/>
    <w:rsid w:val="004215B4"/>
    <w:rsid w:val="00421EFE"/>
    <w:rsid w:val="00422535"/>
    <w:rsid w:val="004225A0"/>
    <w:rsid w:val="00422642"/>
    <w:rsid w:val="0042282F"/>
    <w:rsid w:val="00422967"/>
    <w:rsid w:val="00422B6C"/>
    <w:rsid w:val="0042303E"/>
    <w:rsid w:val="0042331A"/>
    <w:rsid w:val="0042391B"/>
    <w:rsid w:val="00423A2C"/>
    <w:rsid w:val="00423D01"/>
    <w:rsid w:val="00423DC1"/>
    <w:rsid w:val="00423F00"/>
    <w:rsid w:val="00424144"/>
    <w:rsid w:val="00424238"/>
    <w:rsid w:val="004247BE"/>
    <w:rsid w:val="00424F1B"/>
    <w:rsid w:val="004253B3"/>
    <w:rsid w:val="004257E3"/>
    <w:rsid w:val="00425830"/>
    <w:rsid w:val="0042598A"/>
    <w:rsid w:val="00425A98"/>
    <w:rsid w:val="0042603C"/>
    <w:rsid w:val="004261DC"/>
    <w:rsid w:val="00426961"/>
    <w:rsid w:val="00426DF3"/>
    <w:rsid w:val="004270F6"/>
    <w:rsid w:val="00427449"/>
    <w:rsid w:val="004278B3"/>
    <w:rsid w:val="00430011"/>
    <w:rsid w:val="00430433"/>
    <w:rsid w:val="004304C6"/>
    <w:rsid w:val="00430D4F"/>
    <w:rsid w:val="004310A5"/>
    <w:rsid w:val="00431659"/>
    <w:rsid w:val="00431EF9"/>
    <w:rsid w:val="0043203E"/>
    <w:rsid w:val="00432296"/>
    <w:rsid w:val="004322EF"/>
    <w:rsid w:val="00432F30"/>
    <w:rsid w:val="0043336B"/>
    <w:rsid w:val="004339F9"/>
    <w:rsid w:val="00434789"/>
    <w:rsid w:val="0043485B"/>
    <w:rsid w:val="0043577C"/>
    <w:rsid w:val="0043598D"/>
    <w:rsid w:val="00435DA6"/>
    <w:rsid w:val="00435E1D"/>
    <w:rsid w:val="00436447"/>
    <w:rsid w:val="00436B43"/>
    <w:rsid w:val="0043700D"/>
    <w:rsid w:val="00440145"/>
    <w:rsid w:val="004407F2"/>
    <w:rsid w:val="00441489"/>
    <w:rsid w:val="0044159F"/>
    <w:rsid w:val="0044190B"/>
    <w:rsid w:val="00441EAB"/>
    <w:rsid w:val="00442126"/>
    <w:rsid w:val="00442267"/>
    <w:rsid w:val="00442492"/>
    <w:rsid w:val="004424EC"/>
    <w:rsid w:val="004428E7"/>
    <w:rsid w:val="00442B70"/>
    <w:rsid w:val="00442BDF"/>
    <w:rsid w:val="004430DD"/>
    <w:rsid w:val="004437AE"/>
    <w:rsid w:val="00443C7A"/>
    <w:rsid w:val="00443C91"/>
    <w:rsid w:val="00443E38"/>
    <w:rsid w:val="00444407"/>
    <w:rsid w:val="00444552"/>
    <w:rsid w:val="004447CB"/>
    <w:rsid w:val="00444AC9"/>
    <w:rsid w:val="00444C13"/>
    <w:rsid w:val="00445069"/>
    <w:rsid w:val="0044567B"/>
    <w:rsid w:val="004456D0"/>
    <w:rsid w:val="004458B2"/>
    <w:rsid w:val="00445AED"/>
    <w:rsid w:val="00445E09"/>
    <w:rsid w:val="00446134"/>
    <w:rsid w:val="00446A91"/>
    <w:rsid w:val="00446C97"/>
    <w:rsid w:val="00446F4D"/>
    <w:rsid w:val="00447719"/>
    <w:rsid w:val="00447D34"/>
    <w:rsid w:val="004502BC"/>
    <w:rsid w:val="00450499"/>
    <w:rsid w:val="004505F1"/>
    <w:rsid w:val="00451A4E"/>
    <w:rsid w:val="00451DDD"/>
    <w:rsid w:val="0045268D"/>
    <w:rsid w:val="0045286D"/>
    <w:rsid w:val="004529AE"/>
    <w:rsid w:val="00452D04"/>
    <w:rsid w:val="0045323F"/>
    <w:rsid w:val="004532DC"/>
    <w:rsid w:val="00453356"/>
    <w:rsid w:val="00453468"/>
    <w:rsid w:val="004537D0"/>
    <w:rsid w:val="00453A23"/>
    <w:rsid w:val="00453AEE"/>
    <w:rsid w:val="00453D47"/>
    <w:rsid w:val="00453D62"/>
    <w:rsid w:val="00453D8B"/>
    <w:rsid w:val="00453F22"/>
    <w:rsid w:val="0045452D"/>
    <w:rsid w:val="00455213"/>
    <w:rsid w:val="004553DD"/>
    <w:rsid w:val="00455ADB"/>
    <w:rsid w:val="00455B44"/>
    <w:rsid w:val="00455E2B"/>
    <w:rsid w:val="00455FD0"/>
    <w:rsid w:val="004560D6"/>
    <w:rsid w:val="00456548"/>
    <w:rsid w:val="00456720"/>
    <w:rsid w:val="00456894"/>
    <w:rsid w:val="004573C6"/>
    <w:rsid w:val="00457421"/>
    <w:rsid w:val="004578C4"/>
    <w:rsid w:val="00457C23"/>
    <w:rsid w:val="004604D4"/>
    <w:rsid w:val="004605FE"/>
    <w:rsid w:val="00460AC8"/>
    <w:rsid w:val="00460C3D"/>
    <w:rsid w:val="00461054"/>
    <w:rsid w:val="004611CF"/>
    <w:rsid w:val="00461334"/>
    <w:rsid w:val="00461DF1"/>
    <w:rsid w:val="00461F53"/>
    <w:rsid w:val="00462037"/>
    <w:rsid w:val="0046215B"/>
    <w:rsid w:val="00462473"/>
    <w:rsid w:val="00462A49"/>
    <w:rsid w:val="004631FE"/>
    <w:rsid w:val="00463CFB"/>
    <w:rsid w:val="00463E2B"/>
    <w:rsid w:val="0046420A"/>
    <w:rsid w:val="00464543"/>
    <w:rsid w:val="0046495E"/>
    <w:rsid w:val="00464969"/>
    <w:rsid w:val="00465118"/>
    <w:rsid w:val="0046543A"/>
    <w:rsid w:val="00465566"/>
    <w:rsid w:val="00465631"/>
    <w:rsid w:val="00466C48"/>
    <w:rsid w:val="00466F77"/>
    <w:rsid w:val="004672C7"/>
    <w:rsid w:val="00467C7A"/>
    <w:rsid w:val="00467DF5"/>
    <w:rsid w:val="0047004E"/>
    <w:rsid w:val="0047034D"/>
    <w:rsid w:val="0047061D"/>
    <w:rsid w:val="00470856"/>
    <w:rsid w:val="00470E13"/>
    <w:rsid w:val="00470E6C"/>
    <w:rsid w:val="00470EF5"/>
    <w:rsid w:val="00471614"/>
    <w:rsid w:val="0047194D"/>
    <w:rsid w:val="00471E15"/>
    <w:rsid w:val="00471F73"/>
    <w:rsid w:val="0047284F"/>
    <w:rsid w:val="00472FEE"/>
    <w:rsid w:val="004731F3"/>
    <w:rsid w:val="00473708"/>
    <w:rsid w:val="00473A53"/>
    <w:rsid w:val="00473BDA"/>
    <w:rsid w:val="004742E1"/>
    <w:rsid w:val="004746CB"/>
    <w:rsid w:val="00474C2E"/>
    <w:rsid w:val="00475B84"/>
    <w:rsid w:val="0047615B"/>
    <w:rsid w:val="00476255"/>
    <w:rsid w:val="0047647A"/>
    <w:rsid w:val="00477711"/>
    <w:rsid w:val="00477D97"/>
    <w:rsid w:val="00477E1E"/>
    <w:rsid w:val="00480866"/>
    <w:rsid w:val="0048091E"/>
    <w:rsid w:val="004809BB"/>
    <w:rsid w:val="00480CF2"/>
    <w:rsid w:val="00480DB8"/>
    <w:rsid w:val="004814B7"/>
    <w:rsid w:val="00481507"/>
    <w:rsid w:val="0048257D"/>
    <w:rsid w:val="00482632"/>
    <w:rsid w:val="00482651"/>
    <w:rsid w:val="00483961"/>
    <w:rsid w:val="00484CFD"/>
    <w:rsid w:val="00484E0F"/>
    <w:rsid w:val="00484F1B"/>
    <w:rsid w:val="00485018"/>
    <w:rsid w:val="00485147"/>
    <w:rsid w:val="00485A82"/>
    <w:rsid w:val="00485D5A"/>
    <w:rsid w:val="004868AD"/>
    <w:rsid w:val="00486924"/>
    <w:rsid w:val="00486935"/>
    <w:rsid w:val="00486A52"/>
    <w:rsid w:val="00486D0E"/>
    <w:rsid w:val="0048728A"/>
    <w:rsid w:val="004876FD"/>
    <w:rsid w:val="004905DC"/>
    <w:rsid w:val="004906F4"/>
    <w:rsid w:val="004907CF"/>
    <w:rsid w:val="00490C6C"/>
    <w:rsid w:val="0049155A"/>
    <w:rsid w:val="004915B2"/>
    <w:rsid w:val="00491794"/>
    <w:rsid w:val="004918D2"/>
    <w:rsid w:val="00491999"/>
    <w:rsid w:val="00491E8E"/>
    <w:rsid w:val="004920B0"/>
    <w:rsid w:val="0049223F"/>
    <w:rsid w:val="00492315"/>
    <w:rsid w:val="0049250A"/>
    <w:rsid w:val="00492E8A"/>
    <w:rsid w:val="00492E8D"/>
    <w:rsid w:val="00492FB5"/>
    <w:rsid w:val="004934EA"/>
    <w:rsid w:val="004939D5"/>
    <w:rsid w:val="00493E98"/>
    <w:rsid w:val="004941F3"/>
    <w:rsid w:val="004943A0"/>
    <w:rsid w:val="00494D44"/>
    <w:rsid w:val="00494D4D"/>
    <w:rsid w:val="00494E31"/>
    <w:rsid w:val="00494E76"/>
    <w:rsid w:val="00495652"/>
    <w:rsid w:val="00495653"/>
    <w:rsid w:val="004956BC"/>
    <w:rsid w:val="0049572A"/>
    <w:rsid w:val="004959EF"/>
    <w:rsid w:val="00495A66"/>
    <w:rsid w:val="00495A8D"/>
    <w:rsid w:val="00495E20"/>
    <w:rsid w:val="00496004"/>
    <w:rsid w:val="00496579"/>
    <w:rsid w:val="00497388"/>
    <w:rsid w:val="0049756E"/>
    <w:rsid w:val="00497C05"/>
    <w:rsid w:val="00497DB3"/>
    <w:rsid w:val="00497F7B"/>
    <w:rsid w:val="004A02ED"/>
    <w:rsid w:val="004A0769"/>
    <w:rsid w:val="004A15B3"/>
    <w:rsid w:val="004A1D88"/>
    <w:rsid w:val="004A1FA0"/>
    <w:rsid w:val="004A2715"/>
    <w:rsid w:val="004A27DA"/>
    <w:rsid w:val="004A3224"/>
    <w:rsid w:val="004A3494"/>
    <w:rsid w:val="004A3773"/>
    <w:rsid w:val="004A3AB0"/>
    <w:rsid w:val="004A3D23"/>
    <w:rsid w:val="004A4319"/>
    <w:rsid w:val="004A441E"/>
    <w:rsid w:val="004A4A2B"/>
    <w:rsid w:val="004A5198"/>
    <w:rsid w:val="004A5315"/>
    <w:rsid w:val="004A543F"/>
    <w:rsid w:val="004A5666"/>
    <w:rsid w:val="004A5BF4"/>
    <w:rsid w:val="004A635B"/>
    <w:rsid w:val="004A6882"/>
    <w:rsid w:val="004A6C94"/>
    <w:rsid w:val="004A6E00"/>
    <w:rsid w:val="004A72B0"/>
    <w:rsid w:val="004A73E2"/>
    <w:rsid w:val="004A797B"/>
    <w:rsid w:val="004A7986"/>
    <w:rsid w:val="004A7DDF"/>
    <w:rsid w:val="004A7EB4"/>
    <w:rsid w:val="004B07AB"/>
    <w:rsid w:val="004B0A82"/>
    <w:rsid w:val="004B0BC9"/>
    <w:rsid w:val="004B0CCC"/>
    <w:rsid w:val="004B13DB"/>
    <w:rsid w:val="004B14BB"/>
    <w:rsid w:val="004B1526"/>
    <w:rsid w:val="004B159D"/>
    <w:rsid w:val="004B236D"/>
    <w:rsid w:val="004B2446"/>
    <w:rsid w:val="004B2868"/>
    <w:rsid w:val="004B32DB"/>
    <w:rsid w:val="004B38B0"/>
    <w:rsid w:val="004B3CA8"/>
    <w:rsid w:val="004B43E5"/>
    <w:rsid w:val="004B441E"/>
    <w:rsid w:val="004B45C6"/>
    <w:rsid w:val="004B4651"/>
    <w:rsid w:val="004B4960"/>
    <w:rsid w:val="004B4D34"/>
    <w:rsid w:val="004B4D8D"/>
    <w:rsid w:val="004B52A1"/>
    <w:rsid w:val="004B5C86"/>
    <w:rsid w:val="004B6238"/>
    <w:rsid w:val="004B6251"/>
    <w:rsid w:val="004B6375"/>
    <w:rsid w:val="004B67E4"/>
    <w:rsid w:val="004B6CFE"/>
    <w:rsid w:val="004B6E03"/>
    <w:rsid w:val="004B7A21"/>
    <w:rsid w:val="004B7D52"/>
    <w:rsid w:val="004B7E3C"/>
    <w:rsid w:val="004C0450"/>
    <w:rsid w:val="004C0B02"/>
    <w:rsid w:val="004C186A"/>
    <w:rsid w:val="004C1FA9"/>
    <w:rsid w:val="004C2222"/>
    <w:rsid w:val="004C264D"/>
    <w:rsid w:val="004C2B18"/>
    <w:rsid w:val="004C2EB9"/>
    <w:rsid w:val="004C2F35"/>
    <w:rsid w:val="004C3653"/>
    <w:rsid w:val="004C3675"/>
    <w:rsid w:val="004C390F"/>
    <w:rsid w:val="004C397A"/>
    <w:rsid w:val="004C3B80"/>
    <w:rsid w:val="004C3FF9"/>
    <w:rsid w:val="004C451D"/>
    <w:rsid w:val="004C45A2"/>
    <w:rsid w:val="004C52D1"/>
    <w:rsid w:val="004C5B00"/>
    <w:rsid w:val="004C5D3C"/>
    <w:rsid w:val="004C5FD7"/>
    <w:rsid w:val="004C6004"/>
    <w:rsid w:val="004C61C2"/>
    <w:rsid w:val="004C63D5"/>
    <w:rsid w:val="004C6A43"/>
    <w:rsid w:val="004C73A2"/>
    <w:rsid w:val="004C7554"/>
    <w:rsid w:val="004C7573"/>
    <w:rsid w:val="004C7792"/>
    <w:rsid w:val="004C7808"/>
    <w:rsid w:val="004C7C1A"/>
    <w:rsid w:val="004C7EC1"/>
    <w:rsid w:val="004C7F6D"/>
    <w:rsid w:val="004D01B6"/>
    <w:rsid w:val="004D0E07"/>
    <w:rsid w:val="004D0FAC"/>
    <w:rsid w:val="004D10D9"/>
    <w:rsid w:val="004D1145"/>
    <w:rsid w:val="004D14A9"/>
    <w:rsid w:val="004D1AB8"/>
    <w:rsid w:val="004D1C70"/>
    <w:rsid w:val="004D1FC3"/>
    <w:rsid w:val="004D22B3"/>
    <w:rsid w:val="004D22DD"/>
    <w:rsid w:val="004D2869"/>
    <w:rsid w:val="004D2BCA"/>
    <w:rsid w:val="004D2C75"/>
    <w:rsid w:val="004D2D94"/>
    <w:rsid w:val="004D32EA"/>
    <w:rsid w:val="004D333F"/>
    <w:rsid w:val="004D3AC4"/>
    <w:rsid w:val="004D41A3"/>
    <w:rsid w:val="004D4262"/>
    <w:rsid w:val="004D4268"/>
    <w:rsid w:val="004D4A2A"/>
    <w:rsid w:val="004D4ABE"/>
    <w:rsid w:val="004D4EB2"/>
    <w:rsid w:val="004D5367"/>
    <w:rsid w:val="004D583E"/>
    <w:rsid w:val="004D7242"/>
    <w:rsid w:val="004D76FA"/>
    <w:rsid w:val="004D7AC3"/>
    <w:rsid w:val="004D7ED5"/>
    <w:rsid w:val="004E0164"/>
    <w:rsid w:val="004E0B6F"/>
    <w:rsid w:val="004E12A3"/>
    <w:rsid w:val="004E1366"/>
    <w:rsid w:val="004E159A"/>
    <w:rsid w:val="004E16F6"/>
    <w:rsid w:val="004E1A9C"/>
    <w:rsid w:val="004E2611"/>
    <w:rsid w:val="004E282F"/>
    <w:rsid w:val="004E28CF"/>
    <w:rsid w:val="004E2C95"/>
    <w:rsid w:val="004E2D00"/>
    <w:rsid w:val="004E38A6"/>
    <w:rsid w:val="004E392D"/>
    <w:rsid w:val="004E3ED0"/>
    <w:rsid w:val="004E4818"/>
    <w:rsid w:val="004E4FD2"/>
    <w:rsid w:val="004E51FF"/>
    <w:rsid w:val="004E55FB"/>
    <w:rsid w:val="004E5A25"/>
    <w:rsid w:val="004E5CAF"/>
    <w:rsid w:val="004E61C3"/>
    <w:rsid w:val="004E6BCE"/>
    <w:rsid w:val="004E6F23"/>
    <w:rsid w:val="004E759A"/>
    <w:rsid w:val="004E79B1"/>
    <w:rsid w:val="004E7C8F"/>
    <w:rsid w:val="004E7F59"/>
    <w:rsid w:val="004F02D8"/>
    <w:rsid w:val="004F03D1"/>
    <w:rsid w:val="004F0851"/>
    <w:rsid w:val="004F0852"/>
    <w:rsid w:val="004F0D1C"/>
    <w:rsid w:val="004F0D87"/>
    <w:rsid w:val="004F1432"/>
    <w:rsid w:val="004F14E7"/>
    <w:rsid w:val="004F1AD2"/>
    <w:rsid w:val="004F1BFC"/>
    <w:rsid w:val="004F23A8"/>
    <w:rsid w:val="004F2BB4"/>
    <w:rsid w:val="004F338C"/>
    <w:rsid w:val="004F3780"/>
    <w:rsid w:val="004F474F"/>
    <w:rsid w:val="004F4C6B"/>
    <w:rsid w:val="004F567B"/>
    <w:rsid w:val="004F584E"/>
    <w:rsid w:val="004F6065"/>
    <w:rsid w:val="004F6144"/>
    <w:rsid w:val="004F65C8"/>
    <w:rsid w:val="004F6A6D"/>
    <w:rsid w:val="004F6B11"/>
    <w:rsid w:val="004F7FA0"/>
    <w:rsid w:val="005001C9"/>
    <w:rsid w:val="005007D9"/>
    <w:rsid w:val="0050083D"/>
    <w:rsid w:val="005011A2"/>
    <w:rsid w:val="005012AD"/>
    <w:rsid w:val="00501511"/>
    <w:rsid w:val="00501590"/>
    <w:rsid w:val="00501F79"/>
    <w:rsid w:val="00502781"/>
    <w:rsid w:val="00502B04"/>
    <w:rsid w:val="005033DF"/>
    <w:rsid w:val="005034EF"/>
    <w:rsid w:val="00503614"/>
    <w:rsid w:val="00503E6D"/>
    <w:rsid w:val="00503EAE"/>
    <w:rsid w:val="00503FA4"/>
    <w:rsid w:val="00504BA3"/>
    <w:rsid w:val="00504C18"/>
    <w:rsid w:val="00504EA0"/>
    <w:rsid w:val="0050594F"/>
    <w:rsid w:val="00505E58"/>
    <w:rsid w:val="0050601F"/>
    <w:rsid w:val="005061B1"/>
    <w:rsid w:val="00506733"/>
    <w:rsid w:val="005067EE"/>
    <w:rsid w:val="00506BE6"/>
    <w:rsid w:val="00506C96"/>
    <w:rsid w:val="00506D70"/>
    <w:rsid w:val="00506E2D"/>
    <w:rsid w:val="0050725E"/>
    <w:rsid w:val="0050731A"/>
    <w:rsid w:val="00507623"/>
    <w:rsid w:val="00507671"/>
    <w:rsid w:val="00507828"/>
    <w:rsid w:val="00507ABF"/>
    <w:rsid w:val="0051076D"/>
    <w:rsid w:val="00510FFD"/>
    <w:rsid w:val="00511147"/>
    <w:rsid w:val="00511183"/>
    <w:rsid w:val="00511AF4"/>
    <w:rsid w:val="00511F09"/>
    <w:rsid w:val="00512430"/>
    <w:rsid w:val="00512453"/>
    <w:rsid w:val="005128F8"/>
    <w:rsid w:val="00512B3E"/>
    <w:rsid w:val="00512DAB"/>
    <w:rsid w:val="00512E2A"/>
    <w:rsid w:val="00513030"/>
    <w:rsid w:val="00513146"/>
    <w:rsid w:val="00513697"/>
    <w:rsid w:val="005136E3"/>
    <w:rsid w:val="00513A0D"/>
    <w:rsid w:val="00514237"/>
    <w:rsid w:val="0051433B"/>
    <w:rsid w:val="00514408"/>
    <w:rsid w:val="005151C3"/>
    <w:rsid w:val="00515237"/>
    <w:rsid w:val="00515567"/>
    <w:rsid w:val="00515588"/>
    <w:rsid w:val="00515D3B"/>
    <w:rsid w:val="00515E40"/>
    <w:rsid w:val="00515EE1"/>
    <w:rsid w:val="005168EC"/>
    <w:rsid w:val="005168F9"/>
    <w:rsid w:val="0051690D"/>
    <w:rsid w:val="00516B44"/>
    <w:rsid w:val="0051704C"/>
    <w:rsid w:val="005204BE"/>
    <w:rsid w:val="005208D2"/>
    <w:rsid w:val="005208E0"/>
    <w:rsid w:val="005213C3"/>
    <w:rsid w:val="0052198A"/>
    <w:rsid w:val="00521A80"/>
    <w:rsid w:val="00521BB8"/>
    <w:rsid w:val="00521D0D"/>
    <w:rsid w:val="00521DF0"/>
    <w:rsid w:val="00522514"/>
    <w:rsid w:val="005228C4"/>
    <w:rsid w:val="00522B10"/>
    <w:rsid w:val="00522C6F"/>
    <w:rsid w:val="00523088"/>
    <w:rsid w:val="00523135"/>
    <w:rsid w:val="00523301"/>
    <w:rsid w:val="005235DB"/>
    <w:rsid w:val="0052360C"/>
    <w:rsid w:val="005237D5"/>
    <w:rsid w:val="00523A13"/>
    <w:rsid w:val="005247FE"/>
    <w:rsid w:val="00524BAE"/>
    <w:rsid w:val="00525176"/>
    <w:rsid w:val="00525298"/>
    <w:rsid w:val="0052595C"/>
    <w:rsid w:val="00525B8F"/>
    <w:rsid w:val="00525C64"/>
    <w:rsid w:val="00526635"/>
    <w:rsid w:val="00527350"/>
    <w:rsid w:val="00527450"/>
    <w:rsid w:val="00527A41"/>
    <w:rsid w:val="00527B0F"/>
    <w:rsid w:val="00527EB2"/>
    <w:rsid w:val="0053024B"/>
    <w:rsid w:val="005303ED"/>
    <w:rsid w:val="0053046D"/>
    <w:rsid w:val="00530776"/>
    <w:rsid w:val="00530B5C"/>
    <w:rsid w:val="00530B63"/>
    <w:rsid w:val="00530B92"/>
    <w:rsid w:val="0053167E"/>
    <w:rsid w:val="0053183D"/>
    <w:rsid w:val="00531850"/>
    <w:rsid w:val="00531D74"/>
    <w:rsid w:val="00531EB9"/>
    <w:rsid w:val="00532248"/>
    <w:rsid w:val="00532361"/>
    <w:rsid w:val="0053236B"/>
    <w:rsid w:val="00532BA8"/>
    <w:rsid w:val="00533AAA"/>
    <w:rsid w:val="00533F57"/>
    <w:rsid w:val="005345AB"/>
    <w:rsid w:val="0053469C"/>
    <w:rsid w:val="0053480C"/>
    <w:rsid w:val="005350B2"/>
    <w:rsid w:val="0053557F"/>
    <w:rsid w:val="00535BD2"/>
    <w:rsid w:val="00535C0B"/>
    <w:rsid w:val="00535DC6"/>
    <w:rsid w:val="00535DDF"/>
    <w:rsid w:val="00536222"/>
    <w:rsid w:val="00536682"/>
    <w:rsid w:val="005368FC"/>
    <w:rsid w:val="00536C64"/>
    <w:rsid w:val="005370DB"/>
    <w:rsid w:val="005373D2"/>
    <w:rsid w:val="00537D05"/>
    <w:rsid w:val="00540449"/>
    <w:rsid w:val="0054049F"/>
    <w:rsid w:val="00540B02"/>
    <w:rsid w:val="00540CE5"/>
    <w:rsid w:val="00540F22"/>
    <w:rsid w:val="00541719"/>
    <w:rsid w:val="00541FBE"/>
    <w:rsid w:val="0054228C"/>
    <w:rsid w:val="00542310"/>
    <w:rsid w:val="005425D5"/>
    <w:rsid w:val="005429C2"/>
    <w:rsid w:val="00542C48"/>
    <w:rsid w:val="00543453"/>
    <w:rsid w:val="0054375D"/>
    <w:rsid w:val="00543D6E"/>
    <w:rsid w:val="0054498E"/>
    <w:rsid w:val="00544ADC"/>
    <w:rsid w:val="00544B0C"/>
    <w:rsid w:val="00544F0A"/>
    <w:rsid w:val="00544F41"/>
    <w:rsid w:val="0054516C"/>
    <w:rsid w:val="00545A1A"/>
    <w:rsid w:val="00545E7A"/>
    <w:rsid w:val="00546841"/>
    <w:rsid w:val="005473AC"/>
    <w:rsid w:val="005475BD"/>
    <w:rsid w:val="005477F4"/>
    <w:rsid w:val="005477FC"/>
    <w:rsid w:val="00547FE5"/>
    <w:rsid w:val="005504FD"/>
    <w:rsid w:val="00550500"/>
    <w:rsid w:val="00550507"/>
    <w:rsid w:val="005505EF"/>
    <w:rsid w:val="0055092C"/>
    <w:rsid w:val="00550C78"/>
    <w:rsid w:val="00550E35"/>
    <w:rsid w:val="0055113D"/>
    <w:rsid w:val="005519DA"/>
    <w:rsid w:val="005520DB"/>
    <w:rsid w:val="0055292A"/>
    <w:rsid w:val="00552D20"/>
    <w:rsid w:val="00553CE6"/>
    <w:rsid w:val="00554142"/>
    <w:rsid w:val="00554196"/>
    <w:rsid w:val="0055455F"/>
    <w:rsid w:val="00554B37"/>
    <w:rsid w:val="005550FD"/>
    <w:rsid w:val="00555917"/>
    <w:rsid w:val="00555963"/>
    <w:rsid w:val="00555BFF"/>
    <w:rsid w:val="00555FF4"/>
    <w:rsid w:val="00556788"/>
    <w:rsid w:val="00557251"/>
    <w:rsid w:val="0055739F"/>
    <w:rsid w:val="0055748A"/>
    <w:rsid w:val="005578E1"/>
    <w:rsid w:val="00557AEF"/>
    <w:rsid w:val="00557CBA"/>
    <w:rsid w:val="00560A90"/>
    <w:rsid w:val="00560C0C"/>
    <w:rsid w:val="00561C7C"/>
    <w:rsid w:val="00561F11"/>
    <w:rsid w:val="00562203"/>
    <w:rsid w:val="0056245F"/>
    <w:rsid w:val="00562C7F"/>
    <w:rsid w:val="00562F1B"/>
    <w:rsid w:val="00563228"/>
    <w:rsid w:val="0056362F"/>
    <w:rsid w:val="005636A9"/>
    <w:rsid w:val="00563938"/>
    <w:rsid w:val="00563B77"/>
    <w:rsid w:val="00563FF6"/>
    <w:rsid w:val="00564EDC"/>
    <w:rsid w:val="005652DA"/>
    <w:rsid w:val="0056607C"/>
    <w:rsid w:val="005660FA"/>
    <w:rsid w:val="005665A6"/>
    <w:rsid w:val="00567B76"/>
    <w:rsid w:val="005700FE"/>
    <w:rsid w:val="0057033E"/>
    <w:rsid w:val="00570399"/>
    <w:rsid w:val="00570A2E"/>
    <w:rsid w:val="00570B26"/>
    <w:rsid w:val="00570B61"/>
    <w:rsid w:val="00570FD9"/>
    <w:rsid w:val="00571638"/>
    <w:rsid w:val="00571B47"/>
    <w:rsid w:val="00571C5A"/>
    <w:rsid w:val="00571DF3"/>
    <w:rsid w:val="00571E69"/>
    <w:rsid w:val="005724EE"/>
    <w:rsid w:val="005727E8"/>
    <w:rsid w:val="00572BD4"/>
    <w:rsid w:val="005732D6"/>
    <w:rsid w:val="0057385C"/>
    <w:rsid w:val="00575278"/>
    <w:rsid w:val="005755D5"/>
    <w:rsid w:val="005757A8"/>
    <w:rsid w:val="005757EA"/>
    <w:rsid w:val="00575A91"/>
    <w:rsid w:val="00575B27"/>
    <w:rsid w:val="0057611A"/>
    <w:rsid w:val="0057622B"/>
    <w:rsid w:val="005765D5"/>
    <w:rsid w:val="00576773"/>
    <w:rsid w:val="00576DE6"/>
    <w:rsid w:val="005774A8"/>
    <w:rsid w:val="00577537"/>
    <w:rsid w:val="00577A03"/>
    <w:rsid w:val="00577DA0"/>
    <w:rsid w:val="0058018A"/>
    <w:rsid w:val="00580735"/>
    <w:rsid w:val="005810D1"/>
    <w:rsid w:val="005812E6"/>
    <w:rsid w:val="005816BE"/>
    <w:rsid w:val="0058190F"/>
    <w:rsid w:val="00581CFB"/>
    <w:rsid w:val="00582312"/>
    <w:rsid w:val="00582486"/>
    <w:rsid w:val="005829F3"/>
    <w:rsid w:val="005831AF"/>
    <w:rsid w:val="005838B7"/>
    <w:rsid w:val="005838BA"/>
    <w:rsid w:val="00583E41"/>
    <w:rsid w:val="005841D5"/>
    <w:rsid w:val="005842B7"/>
    <w:rsid w:val="00584EFE"/>
    <w:rsid w:val="00584F5B"/>
    <w:rsid w:val="005857CB"/>
    <w:rsid w:val="00585AF2"/>
    <w:rsid w:val="00586118"/>
    <w:rsid w:val="005868A1"/>
    <w:rsid w:val="005869D8"/>
    <w:rsid w:val="00586DF0"/>
    <w:rsid w:val="00586F51"/>
    <w:rsid w:val="0058744B"/>
    <w:rsid w:val="00587690"/>
    <w:rsid w:val="005876A2"/>
    <w:rsid w:val="005879CC"/>
    <w:rsid w:val="00587C42"/>
    <w:rsid w:val="00587F24"/>
    <w:rsid w:val="00590C2E"/>
    <w:rsid w:val="00590CDE"/>
    <w:rsid w:val="00590D73"/>
    <w:rsid w:val="00591115"/>
    <w:rsid w:val="005919AF"/>
    <w:rsid w:val="00591D21"/>
    <w:rsid w:val="00592183"/>
    <w:rsid w:val="005922FC"/>
    <w:rsid w:val="00593A7B"/>
    <w:rsid w:val="0059415D"/>
    <w:rsid w:val="005946F1"/>
    <w:rsid w:val="00594FA1"/>
    <w:rsid w:val="00595130"/>
    <w:rsid w:val="00595BAD"/>
    <w:rsid w:val="0059646C"/>
    <w:rsid w:val="005971D2"/>
    <w:rsid w:val="0059765A"/>
    <w:rsid w:val="00597690"/>
    <w:rsid w:val="00597DF3"/>
    <w:rsid w:val="00597EA9"/>
    <w:rsid w:val="005A01B5"/>
    <w:rsid w:val="005A1126"/>
    <w:rsid w:val="005A152C"/>
    <w:rsid w:val="005A1CB0"/>
    <w:rsid w:val="005A1E4C"/>
    <w:rsid w:val="005A2735"/>
    <w:rsid w:val="005A2BD1"/>
    <w:rsid w:val="005A2C7F"/>
    <w:rsid w:val="005A31B6"/>
    <w:rsid w:val="005A37CA"/>
    <w:rsid w:val="005A3BDF"/>
    <w:rsid w:val="005A4044"/>
    <w:rsid w:val="005A4889"/>
    <w:rsid w:val="005A4C27"/>
    <w:rsid w:val="005A539A"/>
    <w:rsid w:val="005A5441"/>
    <w:rsid w:val="005A5852"/>
    <w:rsid w:val="005A5CF7"/>
    <w:rsid w:val="005A5F82"/>
    <w:rsid w:val="005A6A45"/>
    <w:rsid w:val="005A6ED9"/>
    <w:rsid w:val="005A710D"/>
    <w:rsid w:val="005A74A6"/>
    <w:rsid w:val="005A7536"/>
    <w:rsid w:val="005A7771"/>
    <w:rsid w:val="005A7795"/>
    <w:rsid w:val="005A7A2E"/>
    <w:rsid w:val="005A7AF9"/>
    <w:rsid w:val="005B060C"/>
    <w:rsid w:val="005B090B"/>
    <w:rsid w:val="005B0B62"/>
    <w:rsid w:val="005B0C3B"/>
    <w:rsid w:val="005B0CA4"/>
    <w:rsid w:val="005B0F4F"/>
    <w:rsid w:val="005B1402"/>
    <w:rsid w:val="005B159B"/>
    <w:rsid w:val="005B187B"/>
    <w:rsid w:val="005B1B2C"/>
    <w:rsid w:val="005B206B"/>
    <w:rsid w:val="005B225D"/>
    <w:rsid w:val="005B23CA"/>
    <w:rsid w:val="005B2F68"/>
    <w:rsid w:val="005B32A5"/>
    <w:rsid w:val="005B3B5A"/>
    <w:rsid w:val="005B3E20"/>
    <w:rsid w:val="005B4B52"/>
    <w:rsid w:val="005B4C8B"/>
    <w:rsid w:val="005B4E77"/>
    <w:rsid w:val="005B4E84"/>
    <w:rsid w:val="005B5762"/>
    <w:rsid w:val="005B5894"/>
    <w:rsid w:val="005B599A"/>
    <w:rsid w:val="005B5C05"/>
    <w:rsid w:val="005B5D9B"/>
    <w:rsid w:val="005B69A7"/>
    <w:rsid w:val="005B6C5C"/>
    <w:rsid w:val="005B6EA3"/>
    <w:rsid w:val="005C190B"/>
    <w:rsid w:val="005C20EB"/>
    <w:rsid w:val="005C3942"/>
    <w:rsid w:val="005C39D1"/>
    <w:rsid w:val="005C3A82"/>
    <w:rsid w:val="005C4246"/>
    <w:rsid w:val="005C4BD4"/>
    <w:rsid w:val="005C530A"/>
    <w:rsid w:val="005C5574"/>
    <w:rsid w:val="005C5587"/>
    <w:rsid w:val="005C575C"/>
    <w:rsid w:val="005C5BA1"/>
    <w:rsid w:val="005C5BB1"/>
    <w:rsid w:val="005C5DAA"/>
    <w:rsid w:val="005C61AC"/>
    <w:rsid w:val="005C6E00"/>
    <w:rsid w:val="005C757A"/>
    <w:rsid w:val="005C7763"/>
    <w:rsid w:val="005C7A95"/>
    <w:rsid w:val="005C7AAB"/>
    <w:rsid w:val="005C7B2A"/>
    <w:rsid w:val="005C7DDB"/>
    <w:rsid w:val="005D039A"/>
    <w:rsid w:val="005D0486"/>
    <w:rsid w:val="005D05DC"/>
    <w:rsid w:val="005D08C8"/>
    <w:rsid w:val="005D0A7C"/>
    <w:rsid w:val="005D16EF"/>
    <w:rsid w:val="005D1A1E"/>
    <w:rsid w:val="005D1B07"/>
    <w:rsid w:val="005D1CCC"/>
    <w:rsid w:val="005D1CE6"/>
    <w:rsid w:val="005D267E"/>
    <w:rsid w:val="005D2D44"/>
    <w:rsid w:val="005D302F"/>
    <w:rsid w:val="005D3637"/>
    <w:rsid w:val="005D3A99"/>
    <w:rsid w:val="005D3A9F"/>
    <w:rsid w:val="005D3E1F"/>
    <w:rsid w:val="005D3E47"/>
    <w:rsid w:val="005D51CD"/>
    <w:rsid w:val="005D52A1"/>
    <w:rsid w:val="005D5337"/>
    <w:rsid w:val="005D6468"/>
    <w:rsid w:val="005D64C3"/>
    <w:rsid w:val="005D66CC"/>
    <w:rsid w:val="005D67F0"/>
    <w:rsid w:val="005D6E6E"/>
    <w:rsid w:val="005D7856"/>
    <w:rsid w:val="005D7B97"/>
    <w:rsid w:val="005E06D1"/>
    <w:rsid w:val="005E1149"/>
    <w:rsid w:val="005E1A0E"/>
    <w:rsid w:val="005E1A78"/>
    <w:rsid w:val="005E1D38"/>
    <w:rsid w:val="005E1D7E"/>
    <w:rsid w:val="005E1F4D"/>
    <w:rsid w:val="005E2317"/>
    <w:rsid w:val="005E27F3"/>
    <w:rsid w:val="005E2DEB"/>
    <w:rsid w:val="005E2EF5"/>
    <w:rsid w:val="005E317E"/>
    <w:rsid w:val="005E407D"/>
    <w:rsid w:val="005E4407"/>
    <w:rsid w:val="005E4408"/>
    <w:rsid w:val="005E5041"/>
    <w:rsid w:val="005E528F"/>
    <w:rsid w:val="005E5396"/>
    <w:rsid w:val="005E5DFA"/>
    <w:rsid w:val="005E5E99"/>
    <w:rsid w:val="005E60A2"/>
    <w:rsid w:val="005E64FB"/>
    <w:rsid w:val="005E68FA"/>
    <w:rsid w:val="005E7209"/>
    <w:rsid w:val="005E7612"/>
    <w:rsid w:val="005E7C27"/>
    <w:rsid w:val="005E7E3E"/>
    <w:rsid w:val="005F01E8"/>
    <w:rsid w:val="005F0ECB"/>
    <w:rsid w:val="005F1178"/>
    <w:rsid w:val="005F15A8"/>
    <w:rsid w:val="005F1BA1"/>
    <w:rsid w:val="005F1D01"/>
    <w:rsid w:val="005F1D2C"/>
    <w:rsid w:val="005F210D"/>
    <w:rsid w:val="005F2176"/>
    <w:rsid w:val="005F2980"/>
    <w:rsid w:val="005F29DD"/>
    <w:rsid w:val="005F2B8A"/>
    <w:rsid w:val="005F320D"/>
    <w:rsid w:val="005F330A"/>
    <w:rsid w:val="005F3AC0"/>
    <w:rsid w:val="005F621A"/>
    <w:rsid w:val="005F63C2"/>
    <w:rsid w:val="005F6544"/>
    <w:rsid w:val="005F6BAE"/>
    <w:rsid w:val="005F6F24"/>
    <w:rsid w:val="005F6F89"/>
    <w:rsid w:val="005F6F9B"/>
    <w:rsid w:val="005F7265"/>
    <w:rsid w:val="005F7DFF"/>
    <w:rsid w:val="0060035C"/>
    <w:rsid w:val="006009B8"/>
    <w:rsid w:val="00600B87"/>
    <w:rsid w:val="006011B8"/>
    <w:rsid w:val="00601FE2"/>
    <w:rsid w:val="006022CF"/>
    <w:rsid w:val="006025CA"/>
    <w:rsid w:val="0060310F"/>
    <w:rsid w:val="00603A08"/>
    <w:rsid w:val="00603BC9"/>
    <w:rsid w:val="00604199"/>
    <w:rsid w:val="00604731"/>
    <w:rsid w:val="006047F2"/>
    <w:rsid w:val="00604A13"/>
    <w:rsid w:val="00605045"/>
    <w:rsid w:val="006055E9"/>
    <w:rsid w:val="0060640D"/>
    <w:rsid w:val="0060659D"/>
    <w:rsid w:val="0060665F"/>
    <w:rsid w:val="00607027"/>
    <w:rsid w:val="006071CB"/>
    <w:rsid w:val="006076AB"/>
    <w:rsid w:val="00607937"/>
    <w:rsid w:val="0061009F"/>
    <w:rsid w:val="00610998"/>
    <w:rsid w:val="00610F7D"/>
    <w:rsid w:val="006110A8"/>
    <w:rsid w:val="00611866"/>
    <w:rsid w:val="00611A54"/>
    <w:rsid w:val="00611E55"/>
    <w:rsid w:val="00611FC1"/>
    <w:rsid w:val="006127AE"/>
    <w:rsid w:val="00613212"/>
    <w:rsid w:val="006143C5"/>
    <w:rsid w:val="00614839"/>
    <w:rsid w:val="00614935"/>
    <w:rsid w:val="00614CB4"/>
    <w:rsid w:val="00615106"/>
    <w:rsid w:val="006158F7"/>
    <w:rsid w:val="00615D31"/>
    <w:rsid w:val="006162DD"/>
    <w:rsid w:val="006165B4"/>
    <w:rsid w:val="00616C8B"/>
    <w:rsid w:val="00616F84"/>
    <w:rsid w:val="00617185"/>
    <w:rsid w:val="00617BC0"/>
    <w:rsid w:val="006208A4"/>
    <w:rsid w:val="00620E83"/>
    <w:rsid w:val="00621020"/>
    <w:rsid w:val="0062110C"/>
    <w:rsid w:val="0062127A"/>
    <w:rsid w:val="006212AD"/>
    <w:rsid w:val="006217AA"/>
    <w:rsid w:val="00621998"/>
    <w:rsid w:val="006222DA"/>
    <w:rsid w:val="00622872"/>
    <w:rsid w:val="00622E7B"/>
    <w:rsid w:val="00623018"/>
    <w:rsid w:val="00623792"/>
    <w:rsid w:val="0062381F"/>
    <w:rsid w:val="00623B35"/>
    <w:rsid w:val="00623CDC"/>
    <w:rsid w:val="00623D16"/>
    <w:rsid w:val="00623E88"/>
    <w:rsid w:val="00623FE1"/>
    <w:rsid w:val="0062414A"/>
    <w:rsid w:val="00624397"/>
    <w:rsid w:val="00624429"/>
    <w:rsid w:val="00624A6D"/>
    <w:rsid w:val="00624E77"/>
    <w:rsid w:val="00625167"/>
    <w:rsid w:val="006252F2"/>
    <w:rsid w:val="006257F2"/>
    <w:rsid w:val="00625879"/>
    <w:rsid w:val="00625CF9"/>
    <w:rsid w:val="00625E6D"/>
    <w:rsid w:val="00626711"/>
    <w:rsid w:val="0062695E"/>
    <w:rsid w:val="00626B29"/>
    <w:rsid w:val="0062742C"/>
    <w:rsid w:val="006276D5"/>
    <w:rsid w:val="006279CB"/>
    <w:rsid w:val="00627BF7"/>
    <w:rsid w:val="00627E78"/>
    <w:rsid w:val="00627EC0"/>
    <w:rsid w:val="00627FB6"/>
    <w:rsid w:val="00630657"/>
    <w:rsid w:val="006309A3"/>
    <w:rsid w:val="00630B7B"/>
    <w:rsid w:val="006311EC"/>
    <w:rsid w:val="00631461"/>
    <w:rsid w:val="00632B85"/>
    <w:rsid w:val="00633FDD"/>
    <w:rsid w:val="00634489"/>
    <w:rsid w:val="00634589"/>
    <w:rsid w:val="00634B88"/>
    <w:rsid w:val="00634C12"/>
    <w:rsid w:val="0063528D"/>
    <w:rsid w:val="00635421"/>
    <w:rsid w:val="00635810"/>
    <w:rsid w:val="00636202"/>
    <w:rsid w:val="0063637B"/>
    <w:rsid w:val="00636453"/>
    <w:rsid w:val="00636559"/>
    <w:rsid w:val="006367FA"/>
    <w:rsid w:val="00636A32"/>
    <w:rsid w:val="006374D8"/>
    <w:rsid w:val="006377A7"/>
    <w:rsid w:val="0063790A"/>
    <w:rsid w:val="006379FE"/>
    <w:rsid w:val="006404B3"/>
    <w:rsid w:val="0064060B"/>
    <w:rsid w:val="006409F4"/>
    <w:rsid w:val="00641080"/>
    <w:rsid w:val="006411D2"/>
    <w:rsid w:val="00641486"/>
    <w:rsid w:val="00641766"/>
    <w:rsid w:val="00641B6B"/>
    <w:rsid w:val="0064200D"/>
    <w:rsid w:val="00642117"/>
    <w:rsid w:val="006436E5"/>
    <w:rsid w:val="006443C3"/>
    <w:rsid w:val="006445E2"/>
    <w:rsid w:val="00644CD8"/>
    <w:rsid w:val="006455C2"/>
    <w:rsid w:val="00645BFE"/>
    <w:rsid w:val="00646377"/>
    <w:rsid w:val="00646653"/>
    <w:rsid w:val="0064737C"/>
    <w:rsid w:val="006477A5"/>
    <w:rsid w:val="0065026B"/>
    <w:rsid w:val="00650597"/>
    <w:rsid w:val="00650B4B"/>
    <w:rsid w:val="0065117D"/>
    <w:rsid w:val="0065138D"/>
    <w:rsid w:val="006514CA"/>
    <w:rsid w:val="006518B9"/>
    <w:rsid w:val="00651D2E"/>
    <w:rsid w:val="00651DAB"/>
    <w:rsid w:val="006525E6"/>
    <w:rsid w:val="00652FBF"/>
    <w:rsid w:val="0065321F"/>
    <w:rsid w:val="00653399"/>
    <w:rsid w:val="0065343F"/>
    <w:rsid w:val="00653690"/>
    <w:rsid w:val="00655919"/>
    <w:rsid w:val="00655FB2"/>
    <w:rsid w:val="006564FF"/>
    <w:rsid w:val="0065653A"/>
    <w:rsid w:val="00656E77"/>
    <w:rsid w:val="0065737D"/>
    <w:rsid w:val="00660371"/>
    <w:rsid w:val="00660403"/>
    <w:rsid w:val="006605C5"/>
    <w:rsid w:val="006609BA"/>
    <w:rsid w:val="00660C20"/>
    <w:rsid w:val="00660FFF"/>
    <w:rsid w:val="0066148B"/>
    <w:rsid w:val="0066154A"/>
    <w:rsid w:val="00661840"/>
    <w:rsid w:val="00661F2C"/>
    <w:rsid w:val="0066236A"/>
    <w:rsid w:val="0066282E"/>
    <w:rsid w:val="00663279"/>
    <w:rsid w:val="006634FA"/>
    <w:rsid w:val="0066393B"/>
    <w:rsid w:val="00664A93"/>
    <w:rsid w:val="00664B72"/>
    <w:rsid w:val="00664CC6"/>
    <w:rsid w:val="00664D63"/>
    <w:rsid w:val="006656CE"/>
    <w:rsid w:val="00665807"/>
    <w:rsid w:val="006659C6"/>
    <w:rsid w:val="00665A76"/>
    <w:rsid w:val="0066659D"/>
    <w:rsid w:val="0066677E"/>
    <w:rsid w:val="00666936"/>
    <w:rsid w:val="00666CFF"/>
    <w:rsid w:val="00667110"/>
    <w:rsid w:val="0066713D"/>
    <w:rsid w:val="00667700"/>
    <w:rsid w:val="0066797F"/>
    <w:rsid w:val="00667BC8"/>
    <w:rsid w:val="006700CC"/>
    <w:rsid w:val="006700D2"/>
    <w:rsid w:val="00670223"/>
    <w:rsid w:val="006702B3"/>
    <w:rsid w:val="006708BA"/>
    <w:rsid w:val="006709C8"/>
    <w:rsid w:val="00670F34"/>
    <w:rsid w:val="0067199C"/>
    <w:rsid w:val="006719A1"/>
    <w:rsid w:val="00671A34"/>
    <w:rsid w:val="00671D0F"/>
    <w:rsid w:val="006725B1"/>
    <w:rsid w:val="00673B05"/>
    <w:rsid w:val="00673C03"/>
    <w:rsid w:val="00673D97"/>
    <w:rsid w:val="00673DF0"/>
    <w:rsid w:val="00674327"/>
    <w:rsid w:val="00674871"/>
    <w:rsid w:val="006749FC"/>
    <w:rsid w:val="00674E9F"/>
    <w:rsid w:val="00674FEE"/>
    <w:rsid w:val="00675A1E"/>
    <w:rsid w:val="00675CD3"/>
    <w:rsid w:val="00675FBC"/>
    <w:rsid w:val="00676017"/>
    <w:rsid w:val="00676C86"/>
    <w:rsid w:val="006800C3"/>
    <w:rsid w:val="00680281"/>
    <w:rsid w:val="006803AD"/>
    <w:rsid w:val="00680A02"/>
    <w:rsid w:val="00680B1A"/>
    <w:rsid w:val="00680D9A"/>
    <w:rsid w:val="00680E1F"/>
    <w:rsid w:val="00680F72"/>
    <w:rsid w:val="0068104E"/>
    <w:rsid w:val="00682092"/>
    <w:rsid w:val="00682D30"/>
    <w:rsid w:val="00682E17"/>
    <w:rsid w:val="0068342F"/>
    <w:rsid w:val="006837FF"/>
    <w:rsid w:val="00683C65"/>
    <w:rsid w:val="00683E4C"/>
    <w:rsid w:val="006845D6"/>
    <w:rsid w:val="00684675"/>
    <w:rsid w:val="006849C4"/>
    <w:rsid w:val="00685173"/>
    <w:rsid w:val="006854F5"/>
    <w:rsid w:val="0068593A"/>
    <w:rsid w:val="00685D85"/>
    <w:rsid w:val="006861F8"/>
    <w:rsid w:val="006864D8"/>
    <w:rsid w:val="0068675B"/>
    <w:rsid w:val="00686AD9"/>
    <w:rsid w:val="00686DF0"/>
    <w:rsid w:val="00686FC0"/>
    <w:rsid w:val="006878F5"/>
    <w:rsid w:val="00687916"/>
    <w:rsid w:val="00690969"/>
    <w:rsid w:val="00690EED"/>
    <w:rsid w:val="00691297"/>
    <w:rsid w:val="006913A9"/>
    <w:rsid w:val="00691741"/>
    <w:rsid w:val="006917AA"/>
    <w:rsid w:val="00691C4A"/>
    <w:rsid w:val="00691E1D"/>
    <w:rsid w:val="00691EED"/>
    <w:rsid w:val="0069236B"/>
    <w:rsid w:val="00692547"/>
    <w:rsid w:val="00692678"/>
    <w:rsid w:val="006927BB"/>
    <w:rsid w:val="0069294B"/>
    <w:rsid w:val="00692E06"/>
    <w:rsid w:val="0069353F"/>
    <w:rsid w:val="00693B1C"/>
    <w:rsid w:val="00693CF9"/>
    <w:rsid w:val="00693E5D"/>
    <w:rsid w:val="006943BD"/>
    <w:rsid w:val="006946A7"/>
    <w:rsid w:val="0069474A"/>
    <w:rsid w:val="00694845"/>
    <w:rsid w:val="00694F00"/>
    <w:rsid w:val="0069565E"/>
    <w:rsid w:val="00695957"/>
    <w:rsid w:val="00695C66"/>
    <w:rsid w:val="0069670B"/>
    <w:rsid w:val="00696AC9"/>
    <w:rsid w:val="00696D06"/>
    <w:rsid w:val="00696FFE"/>
    <w:rsid w:val="0069726F"/>
    <w:rsid w:val="0069737C"/>
    <w:rsid w:val="00697400"/>
    <w:rsid w:val="0069790D"/>
    <w:rsid w:val="00697CB2"/>
    <w:rsid w:val="006A0198"/>
    <w:rsid w:val="006A0233"/>
    <w:rsid w:val="006A0431"/>
    <w:rsid w:val="006A0C35"/>
    <w:rsid w:val="006A0C56"/>
    <w:rsid w:val="006A0CBA"/>
    <w:rsid w:val="006A0D60"/>
    <w:rsid w:val="006A1CB5"/>
    <w:rsid w:val="006A23BC"/>
    <w:rsid w:val="006A240B"/>
    <w:rsid w:val="006A2EDE"/>
    <w:rsid w:val="006A38EF"/>
    <w:rsid w:val="006A397A"/>
    <w:rsid w:val="006A3A88"/>
    <w:rsid w:val="006A47FA"/>
    <w:rsid w:val="006A4A77"/>
    <w:rsid w:val="006A4AEE"/>
    <w:rsid w:val="006A4DBC"/>
    <w:rsid w:val="006A5851"/>
    <w:rsid w:val="006A58C4"/>
    <w:rsid w:val="006A5985"/>
    <w:rsid w:val="006A5B7D"/>
    <w:rsid w:val="006A5E1B"/>
    <w:rsid w:val="006A644D"/>
    <w:rsid w:val="006A6581"/>
    <w:rsid w:val="006A6895"/>
    <w:rsid w:val="006A6934"/>
    <w:rsid w:val="006A6FCA"/>
    <w:rsid w:val="006A7480"/>
    <w:rsid w:val="006A74EC"/>
    <w:rsid w:val="006A757F"/>
    <w:rsid w:val="006A7817"/>
    <w:rsid w:val="006A7852"/>
    <w:rsid w:val="006A78CE"/>
    <w:rsid w:val="006A7C83"/>
    <w:rsid w:val="006A7CC6"/>
    <w:rsid w:val="006A7EA6"/>
    <w:rsid w:val="006B01AC"/>
    <w:rsid w:val="006B01F7"/>
    <w:rsid w:val="006B0A86"/>
    <w:rsid w:val="006B0DF8"/>
    <w:rsid w:val="006B173A"/>
    <w:rsid w:val="006B1786"/>
    <w:rsid w:val="006B1983"/>
    <w:rsid w:val="006B1AFD"/>
    <w:rsid w:val="006B1B02"/>
    <w:rsid w:val="006B203E"/>
    <w:rsid w:val="006B20DA"/>
    <w:rsid w:val="006B22A2"/>
    <w:rsid w:val="006B25B2"/>
    <w:rsid w:val="006B2A8E"/>
    <w:rsid w:val="006B2D9C"/>
    <w:rsid w:val="006B33C0"/>
    <w:rsid w:val="006B4592"/>
    <w:rsid w:val="006B48B9"/>
    <w:rsid w:val="006B49CC"/>
    <w:rsid w:val="006B4AFF"/>
    <w:rsid w:val="006B535B"/>
    <w:rsid w:val="006B649D"/>
    <w:rsid w:val="006B6D7A"/>
    <w:rsid w:val="006B6DC9"/>
    <w:rsid w:val="006B7BF1"/>
    <w:rsid w:val="006B7ED8"/>
    <w:rsid w:val="006C0C13"/>
    <w:rsid w:val="006C0CC4"/>
    <w:rsid w:val="006C1162"/>
    <w:rsid w:val="006C1643"/>
    <w:rsid w:val="006C1DB0"/>
    <w:rsid w:val="006C227D"/>
    <w:rsid w:val="006C237A"/>
    <w:rsid w:val="006C25DC"/>
    <w:rsid w:val="006C2C8C"/>
    <w:rsid w:val="006C2C91"/>
    <w:rsid w:val="006C2DEF"/>
    <w:rsid w:val="006C303F"/>
    <w:rsid w:val="006C3284"/>
    <w:rsid w:val="006C359A"/>
    <w:rsid w:val="006C3AB0"/>
    <w:rsid w:val="006C3B92"/>
    <w:rsid w:val="006C3D89"/>
    <w:rsid w:val="006C42A2"/>
    <w:rsid w:val="006C4369"/>
    <w:rsid w:val="006C46BD"/>
    <w:rsid w:val="006C4AB9"/>
    <w:rsid w:val="006C5072"/>
    <w:rsid w:val="006C547D"/>
    <w:rsid w:val="006C5542"/>
    <w:rsid w:val="006C61AE"/>
    <w:rsid w:val="006C640F"/>
    <w:rsid w:val="006C6F75"/>
    <w:rsid w:val="006C72C0"/>
    <w:rsid w:val="006C7A5C"/>
    <w:rsid w:val="006D00EB"/>
    <w:rsid w:val="006D070E"/>
    <w:rsid w:val="006D09B7"/>
    <w:rsid w:val="006D0C26"/>
    <w:rsid w:val="006D1355"/>
    <w:rsid w:val="006D19B8"/>
    <w:rsid w:val="006D1F0E"/>
    <w:rsid w:val="006D242D"/>
    <w:rsid w:val="006D2A58"/>
    <w:rsid w:val="006D2B22"/>
    <w:rsid w:val="006D33D1"/>
    <w:rsid w:val="006D38D7"/>
    <w:rsid w:val="006D50D0"/>
    <w:rsid w:val="006D5437"/>
    <w:rsid w:val="006D5584"/>
    <w:rsid w:val="006D5DD0"/>
    <w:rsid w:val="006D668A"/>
    <w:rsid w:val="006D70ED"/>
    <w:rsid w:val="006D721D"/>
    <w:rsid w:val="006D7A77"/>
    <w:rsid w:val="006D7E23"/>
    <w:rsid w:val="006E03A7"/>
    <w:rsid w:val="006E0639"/>
    <w:rsid w:val="006E07B6"/>
    <w:rsid w:val="006E0D3A"/>
    <w:rsid w:val="006E1056"/>
    <w:rsid w:val="006E158C"/>
    <w:rsid w:val="006E1B0C"/>
    <w:rsid w:val="006E1D85"/>
    <w:rsid w:val="006E224C"/>
    <w:rsid w:val="006E2448"/>
    <w:rsid w:val="006E2E36"/>
    <w:rsid w:val="006E30B9"/>
    <w:rsid w:val="006E33ED"/>
    <w:rsid w:val="006E3B1A"/>
    <w:rsid w:val="006E3C24"/>
    <w:rsid w:val="006E449F"/>
    <w:rsid w:val="006E48A7"/>
    <w:rsid w:val="006E4965"/>
    <w:rsid w:val="006E4A39"/>
    <w:rsid w:val="006E4B77"/>
    <w:rsid w:val="006E4FEB"/>
    <w:rsid w:val="006E54FA"/>
    <w:rsid w:val="006E610B"/>
    <w:rsid w:val="006E6B00"/>
    <w:rsid w:val="006F0639"/>
    <w:rsid w:val="006F063F"/>
    <w:rsid w:val="006F078B"/>
    <w:rsid w:val="006F0AEE"/>
    <w:rsid w:val="006F0B21"/>
    <w:rsid w:val="006F0C68"/>
    <w:rsid w:val="006F17F7"/>
    <w:rsid w:val="006F1AFC"/>
    <w:rsid w:val="006F1BC0"/>
    <w:rsid w:val="006F3194"/>
    <w:rsid w:val="006F35CC"/>
    <w:rsid w:val="006F3D40"/>
    <w:rsid w:val="006F41CF"/>
    <w:rsid w:val="006F4AE4"/>
    <w:rsid w:val="006F4F89"/>
    <w:rsid w:val="006F51DF"/>
    <w:rsid w:val="006F5304"/>
    <w:rsid w:val="006F6839"/>
    <w:rsid w:val="006F7431"/>
    <w:rsid w:val="006F75CF"/>
    <w:rsid w:val="006F7719"/>
    <w:rsid w:val="006F7FDC"/>
    <w:rsid w:val="00700577"/>
    <w:rsid w:val="0070072D"/>
    <w:rsid w:val="00700824"/>
    <w:rsid w:val="00700D76"/>
    <w:rsid w:val="00700E71"/>
    <w:rsid w:val="0070156D"/>
    <w:rsid w:val="0070167D"/>
    <w:rsid w:val="007019EE"/>
    <w:rsid w:val="007019F4"/>
    <w:rsid w:val="00701FBA"/>
    <w:rsid w:val="00702B1F"/>
    <w:rsid w:val="00702D12"/>
    <w:rsid w:val="00703389"/>
    <w:rsid w:val="007039C6"/>
    <w:rsid w:val="00703C87"/>
    <w:rsid w:val="00703FDF"/>
    <w:rsid w:val="0070440B"/>
    <w:rsid w:val="00704B54"/>
    <w:rsid w:val="00704C5B"/>
    <w:rsid w:val="00705041"/>
    <w:rsid w:val="007051D1"/>
    <w:rsid w:val="00705427"/>
    <w:rsid w:val="00705431"/>
    <w:rsid w:val="007057FB"/>
    <w:rsid w:val="00705A10"/>
    <w:rsid w:val="00705C70"/>
    <w:rsid w:val="007062A9"/>
    <w:rsid w:val="007062D6"/>
    <w:rsid w:val="007063E1"/>
    <w:rsid w:val="007065AD"/>
    <w:rsid w:val="007067E9"/>
    <w:rsid w:val="00707049"/>
    <w:rsid w:val="00707318"/>
    <w:rsid w:val="00707546"/>
    <w:rsid w:val="00707669"/>
    <w:rsid w:val="00707910"/>
    <w:rsid w:val="00707DD2"/>
    <w:rsid w:val="00707FED"/>
    <w:rsid w:val="0071023C"/>
    <w:rsid w:val="00710516"/>
    <w:rsid w:val="00710CD4"/>
    <w:rsid w:val="00711102"/>
    <w:rsid w:val="007114AA"/>
    <w:rsid w:val="007116A8"/>
    <w:rsid w:val="00711D1B"/>
    <w:rsid w:val="007121CB"/>
    <w:rsid w:val="00712B23"/>
    <w:rsid w:val="00712B83"/>
    <w:rsid w:val="0071342C"/>
    <w:rsid w:val="00713B00"/>
    <w:rsid w:val="00713B62"/>
    <w:rsid w:val="00713B65"/>
    <w:rsid w:val="007143ED"/>
    <w:rsid w:val="00714A0B"/>
    <w:rsid w:val="00714AA7"/>
    <w:rsid w:val="00714D06"/>
    <w:rsid w:val="00716040"/>
    <w:rsid w:val="0071660A"/>
    <w:rsid w:val="00716617"/>
    <w:rsid w:val="00716A41"/>
    <w:rsid w:val="0071716D"/>
    <w:rsid w:val="007171A6"/>
    <w:rsid w:val="007171C4"/>
    <w:rsid w:val="00717200"/>
    <w:rsid w:val="00717438"/>
    <w:rsid w:val="00717AE4"/>
    <w:rsid w:val="007200EE"/>
    <w:rsid w:val="007203E3"/>
    <w:rsid w:val="007205D5"/>
    <w:rsid w:val="00720E90"/>
    <w:rsid w:val="00720EA1"/>
    <w:rsid w:val="007210BA"/>
    <w:rsid w:val="007211E9"/>
    <w:rsid w:val="00721A9E"/>
    <w:rsid w:val="00721BF2"/>
    <w:rsid w:val="00721DC6"/>
    <w:rsid w:val="0072254D"/>
    <w:rsid w:val="00722552"/>
    <w:rsid w:val="007225C9"/>
    <w:rsid w:val="007227BF"/>
    <w:rsid w:val="00722880"/>
    <w:rsid w:val="007228FC"/>
    <w:rsid w:val="007230C7"/>
    <w:rsid w:val="007231B4"/>
    <w:rsid w:val="00723426"/>
    <w:rsid w:val="00723725"/>
    <w:rsid w:val="007238DF"/>
    <w:rsid w:val="00723A24"/>
    <w:rsid w:val="007245A6"/>
    <w:rsid w:val="0072495B"/>
    <w:rsid w:val="00724B01"/>
    <w:rsid w:val="00724DCF"/>
    <w:rsid w:val="00724EAF"/>
    <w:rsid w:val="00725089"/>
    <w:rsid w:val="0072599E"/>
    <w:rsid w:val="00725B36"/>
    <w:rsid w:val="00725C92"/>
    <w:rsid w:val="00725E70"/>
    <w:rsid w:val="0072640E"/>
    <w:rsid w:val="00726697"/>
    <w:rsid w:val="007269F8"/>
    <w:rsid w:val="00726BF3"/>
    <w:rsid w:val="007279D7"/>
    <w:rsid w:val="00727A4C"/>
    <w:rsid w:val="00727AED"/>
    <w:rsid w:val="00727F47"/>
    <w:rsid w:val="007300A3"/>
    <w:rsid w:val="00730CC9"/>
    <w:rsid w:val="00730FF0"/>
    <w:rsid w:val="00731118"/>
    <w:rsid w:val="00731B69"/>
    <w:rsid w:val="00731D9B"/>
    <w:rsid w:val="00731EBE"/>
    <w:rsid w:val="00732462"/>
    <w:rsid w:val="00732502"/>
    <w:rsid w:val="007325C0"/>
    <w:rsid w:val="0073330B"/>
    <w:rsid w:val="00734009"/>
    <w:rsid w:val="00734519"/>
    <w:rsid w:val="0073454F"/>
    <w:rsid w:val="00734E16"/>
    <w:rsid w:val="00734F1B"/>
    <w:rsid w:val="00735505"/>
    <w:rsid w:val="007355EB"/>
    <w:rsid w:val="007356DE"/>
    <w:rsid w:val="00735868"/>
    <w:rsid w:val="00735A09"/>
    <w:rsid w:val="00735DD8"/>
    <w:rsid w:val="0073626F"/>
    <w:rsid w:val="00737229"/>
    <w:rsid w:val="00737598"/>
    <w:rsid w:val="00737977"/>
    <w:rsid w:val="00737E23"/>
    <w:rsid w:val="00740997"/>
    <w:rsid w:val="007409AC"/>
    <w:rsid w:val="007416F9"/>
    <w:rsid w:val="00742209"/>
    <w:rsid w:val="007424D1"/>
    <w:rsid w:val="007427F5"/>
    <w:rsid w:val="00742C50"/>
    <w:rsid w:val="00743129"/>
    <w:rsid w:val="0074313A"/>
    <w:rsid w:val="0074331B"/>
    <w:rsid w:val="00743577"/>
    <w:rsid w:val="0074382B"/>
    <w:rsid w:val="0074392A"/>
    <w:rsid w:val="00743ABC"/>
    <w:rsid w:val="00743AF2"/>
    <w:rsid w:val="00743B15"/>
    <w:rsid w:val="00743D36"/>
    <w:rsid w:val="00744979"/>
    <w:rsid w:val="00744A2A"/>
    <w:rsid w:val="00744AAE"/>
    <w:rsid w:val="00744B97"/>
    <w:rsid w:val="00745496"/>
    <w:rsid w:val="007458D1"/>
    <w:rsid w:val="00745BE6"/>
    <w:rsid w:val="00745FBC"/>
    <w:rsid w:val="0074657C"/>
    <w:rsid w:val="0074678B"/>
    <w:rsid w:val="00746CBF"/>
    <w:rsid w:val="00747476"/>
    <w:rsid w:val="0074756C"/>
    <w:rsid w:val="00747814"/>
    <w:rsid w:val="007479D2"/>
    <w:rsid w:val="00747EA1"/>
    <w:rsid w:val="007500A1"/>
    <w:rsid w:val="007500C0"/>
    <w:rsid w:val="00750762"/>
    <w:rsid w:val="00750A61"/>
    <w:rsid w:val="00750C51"/>
    <w:rsid w:val="00751141"/>
    <w:rsid w:val="007511BB"/>
    <w:rsid w:val="00751836"/>
    <w:rsid w:val="007518B6"/>
    <w:rsid w:val="00751933"/>
    <w:rsid w:val="00751E46"/>
    <w:rsid w:val="007520AE"/>
    <w:rsid w:val="007529A5"/>
    <w:rsid w:val="00752BA7"/>
    <w:rsid w:val="00752C8C"/>
    <w:rsid w:val="007530B6"/>
    <w:rsid w:val="007533A7"/>
    <w:rsid w:val="00753437"/>
    <w:rsid w:val="007540A3"/>
    <w:rsid w:val="00754112"/>
    <w:rsid w:val="00754812"/>
    <w:rsid w:val="00754D35"/>
    <w:rsid w:val="00754DF7"/>
    <w:rsid w:val="00754EAC"/>
    <w:rsid w:val="007555BA"/>
    <w:rsid w:val="007557D8"/>
    <w:rsid w:val="00755C89"/>
    <w:rsid w:val="00756127"/>
    <w:rsid w:val="00756424"/>
    <w:rsid w:val="00756844"/>
    <w:rsid w:val="00756A57"/>
    <w:rsid w:val="00756E45"/>
    <w:rsid w:val="00756EEA"/>
    <w:rsid w:val="00757331"/>
    <w:rsid w:val="007606B4"/>
    <w:rsid w:val="00760D7D"/>
    <w:rsid w:val="00760F38"/>
    <w:rsid w:val="00761140"/>
    <w:rsid w:val="00761316"/>
    <w:rsid w:val="0076149A"/>
    <w:rsid w:val="0076163D"/>
    <w:rsid w:val="007619B4"/>
    <w:rsid w:val="00761BD4"/>
    <w:rsid w:val="00761EFA"/>
    <w:rsid w:val="00762142"/>
    <w:rsid w:val="007622FB"/>
    <w:rsid w:val="0076251B"/>
    <w:rsid w:val="00762821"/>
    <w:rsid w:val="00762B4F"/>
    <w:rsid w:val="00762C5E"/>
    <w:rsid w:val="00762C73"/>
    <w:rsid w:val="00762D0B"/>
    <w:rsid w:val="007637EA"/>
    <w:rsid w:val="007638C3"/>
    <w:rsid w:val="007643C4"/>
    <w:rsid w:val="007643D8"/>
    <w:rsid w:val="00764475"/>
    <w:rsid w:val="0076455A"/>
    <w:rsid w:val="0076481F"/>
    <w:rsid w:val="00764F11"/>
    <w:rsid w:val="00764F87"/>
    <w:rsid w:val="0076505A"/>
    <w:rsid w:val="00765EC2"/>
    <w:rsid w:val="007661EE"/>
    <w:rsid w:val="00766219"/>
    <w:rsid w:val="007666D0"/>
    <w:rsid w:val="00766D3F"/>
    <w:rsid w:val="00766E25"/>
    <w:rsid w:val="00766FEA"/>
    <w:rsid w:val="00767756"/>
    <w:rsid w:val="00767A78"/>
    <w:rsid w:val="00767A7F"/>
    <w:rsid w:val="00767E8A"/>
    <w:rsid w:val="0077001A"/>
    <w:rsid w:val="00770249"/>
    <w:rsid w:val="007706C3"/>
    <w:rsid w:val="00771988"/>
    <w:rsid w:val="007719C2"/>
    <w:rsid w:val="00771EA8"/>
    <w:rsid w:val="00772B03"/>
    <w:rsid w:val="00773323"/>
    <w:rsid w:val="00773875"/>
    <w:rsid w:val="00773C47"/>
    <w:rsid w:val="00774507"/>
    <w:rsid w:val="00774C4F"/>
    <w:rsid w:val="00774C92"/>
    <w:rsid w:val="00774D3A"/>
    <w:rsid w:val="007755E8"/>
    <w:rsid w:val="00775A12"/>
    <w:rsid w:val="00775C12"/>
    <w:rsid w:val="00775D0D"/>
    <w:rsid w:val="00775F87"/>
    <w:rsid w:val="007767C8"/>
    <w:rsid w:val="007768A1"/>
    <w:rsid w:val="00776DEE"/>
    <w:rsid w:val="0077731D"/>
    <w:rsid w:val="0077791A"/>
    <w:rsid w:val="00777A0F"/>
    <w:rsid w:val="00777A9D"/>
    <w:rsid w:val="00777CFF"/>
    <w:rsid w:val="00777ECA"/>
    <w:rsid w:val="00777F9A"/>
    <w:rsid w:val="00777FF1"/>
    <w:rsid w:val="0078020F"/>
    <w:rsid w:val="00780A2A"/>
    <w:rsid w:val="0078104C"/>
    <w:rsid w:val="00781164"/>
    <w:rsid w:val="00781B49"/>
    <w:rsid w:val="00781B78"/>
    <w:rsid w:val="00781E17"/>
    <w:rsid w:val="00782266"/>
    <w:rsid w:val="00782F42"/>
    <w:rsid w:val="007831C1"/>
    <w:rsid w:val="00783723"/>
    <w:rsid w:val="00783811"/>
    <w:rsid w:val="00783DA7"/>
    <w:rsid w:val="00783DE0"/>
    <w:rsid w:val="007840B6"/>
    <w:rsid w:val="007840F9"/>
    <w:rsid w:val="007844E0"/>
    <w:rsid w:val="007845C1"/>
    <w:rsid w:val="00784728"/>
    <w:rsid w:val="00784907"/>
    <w:rsid w:val="00784A69"/>
    <w:rsid w:val="00784BC7"/>
    <w:rsid w:val="007851F2"/>
    <w:rsid w:val="00785265"/>
    <w:rsid w:val="007855CA"/>
    <w:rsid w:val="00785843"/>
    <w:rsid w:val="00785AFE"/>
    <w:rsid w:val="00785DBC"/>
    <w:rsid w:val="007865EC"/>
    <w:rsid w:val="007866F3"/>
    <w:rsid w:val="0078678A"/>
    <w:rsid w:val="00786B41"/>
    <w:rsid w:val="00786E3A"/>
    <w:rsid w:val="007871CC"/>
    <w:rsid w:val="00787702"/>
    <w:rsid w:val="0079008E"/>
    <w:rsid w:val="007900AA"/>
    <w:rsid w:val="007905AB"/>
    <w:rsid w:val="007911C6"/>
    <w:rsid w:val="007922EB"/>
    <w:rsid w:val="00792827"/>
    <w:rsid w:val="00792F54"/>
    <w:rsid w:val="00792FD0"/>
    <w:rsid w:val="00793026"/>
    <w:rsid w:val="0079302C"/>
    <w:rsid w:val="00793E11"/>
    <w:rsid w:val="00795119"/>
    <w:rsid w:val="00795D8C"/>
    <w:rsid w:val="00795F5F"/>
    <w:rsid w:val="00796005"/>
    <w:rsid w:val="00796078"/>
    <w:rsid w:val="00796487"/>
    <w:rsid w:val="00796989"/>
    <w:rsid w:val="00796CC9"/>
    <w:rsid w:val="0079789E"/>
    <w:rsid w:val="007A00DF"/>
    <w:rsid w:val="007A01DF"/>
    <w:rsid w:val="007A03DE"/>
    <w:rsid w:val="007A1119"/>
    <w:rsid w:val="007A21C5"/>
    <w:rsid w:val="007A240F"/>
    <w:rsid w:val="007A294F"/>
    <w:rsid w:val="007A2C71"/>
    <w:rsid w:val="007A39A4"/>
    <w:rsid w:val="007A3C89"/>
    <w:rsid w:val="007A432A"/>
    <w:rsid w:val="007A4C67"/>
    <w:rsid w:val="007A51E1"/>
    <w:rsid w:val="007A5ADE"/>
    <w:rsid w:val="007A5B7F"/>
    <w:rsid w:val="007A5C49"/>
    <w:rsid w:val="007A5E10"/>
    <w:rsid w:val="007A5E5D"/>
    <w:rsid w:val="007A5F8B"/>
    <w:rsid w:val="007A6298"/>
    <w:rsid w:val="007A6351"/>
    <w:rsid w:val="007A63FF"/>
    <w:rsid w:val="007A675D"/>
    <w:rsid w:val="007A777B"/>
    <w:rsid w:val="007A7A31"/>
    <w:rsid w:val="007A7CBE"/>
    <w:rsid w:val="007A7E41"/>
    <w:rsid w:val="007A7F1F"/>
    <w:rsid w:val="007A7F51"/>
    <w:rsid w:val="007B1216"/>
    <w:rsid w:val="007B14AD"/>
    <w:rsid w:val="007B1C13"/>
    <w:rsid w:val="007B2713"/>
    <w:rsid w:val="007B2936"/>
    <w:rsid w:val="007B30BC"/>
    <w:rsid w:val="007B356D"/>
    <w:rsid w:val="007B37B6"/>
    <w:rsid w:val="007B38CC"/>
    <w:rsid w:val="007B3A4E"/>
    <w:rsid w:val="007B3AE1"/>
    <w:rsid w:val="007B3C2A"/>
    <w:rsid w:val="007B3E39"/>
    <w:rsid w:val="007B44D5"/>
    <w:rsid w:val="007B44DE"/>
    <w:rsid w:val="007B45DF"/>
    <w:rsid w:val="007B48EC"/>
    <w:rsid w:val="007B5422"/>
    <w:rsid w:val="007B5705"/>
    <w:rsid w:val="007B58D6"/>
    <w:rsid w:val="007B5AE4"/>
    <w:rsid w:val="007B5C78"/>
    <w:rsid w:val="007B6317"/>
    <w:rsid w:val="007B6BAF"/>
    <w:rsid w:val="007B6C13"/>
    <w:rsid w:val="007B6EE9"/>
    <w:rsid w:val="007B7006"/>
    <w:rsid w:val="007B7372"/>
    <w:rsid w:val="007B745E"/>
    <w:rsid w:val="007B756F"/>
    <w:rsid w:val="007B7DAD"/>
    <w:rsid w:val="007C041A"/>
    <w:rsid w:val="007C07DD"/>
    <w:rsid w:val="007C082C"/>
    <w:rsid w:val="007C13DB"/>
    <w:rsid w:val="007C1C46"/>
    <w:rsid w:val="007C2239"/>
    <w:rsid w:val="007C2703"/>
    <w:rsid w:val="007C2896"/>
    <w:rsid w:val="007C2C07"/>
    <w:rsid w:val="007C3248"/>
    <w:rsid w:val="007C35AE"/>
    <w:rsid w:val="007C36A5"/>
    <w:rsid w:val="007C3D43"/>
    <w:rsid w:val="007C4759"/>
    <w:rsid w:val="007C4AB0"/>
    <w:rsid w:val="007C4DF3"/>
    <w:rsid w:val="007C4EF8"/>
    <w:rsid w:val="007C5346"/>
    <w:rsid w:val="007C5B09"/>
    <w:rsid w:val="007C5B60"/>
    <w:rsid w:val="007C72DE"/>
    <w:rsid w:val="007D078B"/>
    <w:rsid w:val="007D0867"/>
    <w:rsid w:val="007D090D"/>
    <w:rsid w:val="007D0AB2"/>
    <w:rsid w:val="007D0B16"/>
    <w:rsid w:val="007D0C58"/>
    <w:rsid w:val="007D0DEE"/>
    <w:rsid w:val="007D0F20"/>
    <w:rsid w:val="007D1D8B"/>
    <w:rsid w:val="007D1EF0"/>
    <w:rsid w:val="007D27B7"/>
    <w:rsid w:val="007D2876"/>
    <w:rsid w:val="007D3289"/>
    <w:rsid w:val="007D36AD"/>
    <w:rsid w:val="007D3E32"/>
    <w:rsid w:val="007D470B"/>
    <w:rsid w:val="007D49D4"/>
    <w:rsid w:val="007D50D2"/>
    <w:rsid w:val="007D5935"/>
    <w:rsid w:val="007D5959"/>
    <w:rsid w:val="007D5BC5"/>
    <w:rsid w:val="007D5C03"/>
    <w:rsid w:val="007D6227"/>
    <w:rsid w:val="007D6297"/>
    <w:rsid w:val="007D66D5"/>
    <w:rsid w:val="007D6FB1"/>
    <w:rsid w:val="007D7297"/>
    <w:rsid w:val="007D7B7B"/>
    <w:rsid w:val="007D7BBF"/>
    <w:rsid w:val="007D7E5B"/>
    <w:rsid w:val="007D7EF5"/>
    <w:rsid w:val="007E0317"/>
    <w:rsid w:val="007E0416"/>
    <w:rsid w:val="007E09E5"/>
    <w:rsid w:val="007E0C72"/>
    <w:rsid w:val="007E1692"/>
    <w:rsid w:val="007E17A5"/>
    <w:rsid w:val="007E19D8"/>
    <w:rsid w:val="007E2306"/>
    <w:rsid w:val="007E2553"/>
    <w:rsid w:val="007E276D"/>
    <w:rsid w:val="007E28F8"/>
    <w:rsid w:val="007E32D8"/>
    <w:rsid w:val="007E3521"/>
    <w:rsid w:val="007E4D12"/>
    <w:rsid w:val="007E522A"/>
    <w:rsid w:val="007E6390"/>
    <w:rsid w:val="007E6563"/>
    <w:rsid w:val="007E662A"/>
    <w:rsid w:val="007E69E4"/>
    <w:rsid w:val="007E7152"/>
    <w:rsid w:val="007E7166"/>
    <w:rsid w:val="007E7500"/>
    <w:rsid w:val="007E7C97"/>
    <w:rsid w:val="007F0036"/>
    <w:rsid w:val="007F0037"/>
    <w:rsid w:val="007F10E3"/>
    <w:rsid w:val="007F12AB"/>
    <w:rsid w:val="007F12BB"/>
    <w:rsid w:val="007F1A15"/>
    <w:rsid w:val="007F20B2"/>
    <w:rsid w:val="007F2511"/>
    <w:rsid w:val="007F289E"/>
    <w:rsid w:val="007F2ED6"/>
    <w:rsid w:val="007F34CD"/>
    <w:rsid w:val="007F3626"/>
    <w:rsid w:val="007F3800"/>
    <w:rsid w:val="007F4846"/>
    <w:rsid w:val="007F4C5C"/>
    <w:rsid w:val="007F5370"/>
    <w:rsid w:val="007F5876"/>
    <w:rsid w:val="007F59C1"/>
    <w:rsid w:val="007F63B2"/>
    <w:rsid w:val="007F6861"/>
    <w:rsid w:val="007F6927"/>
    <w:rsid w:val="007F6995"/>
    <w:rsid w:val="007F69AD"/>
    <w:rsid w:val="007F6B03"/>
    <w:rsid w:val="007F76BE"/>
    <w:rsid w:val="007F76CC"/>
    <w:rsid w:val="008006EC"/>
    <w:rsid w:val="00801420"/>
    <w:rsid w:val="0080179E"/>
    <w:rsid w:val="00801CAE"/>
    <w:rsid w:val="00801DEA"/>
    <w:rsid w:val="00802434"/>
    <w:rsid w:val="00802C09"/>
    <w:rsid w:val="00802C63"/>
    <w:rsid w:val="00803DAC"/>
    <w:rsid w:val="00804850"/>
    <w:rsid w:val="00804C95"/>
    <w:rsid w:val="00805136"/>
    <w:rsid w:val="0080520F"/>
    <w:rsid w:val="00805FC1"/>
    <w:rsid w:val="00806073"/>
    <w:rsid w:val="008065B7"/>
    <w:rsid w:val="008067A0"/>
    <w:rsid w:val="00806820"/>
    <w:rsid w:val="00807D1D"/>
    <w:rsid w:val="00810187"/>
    <w:rsid w:val="0081021A"/>
    <w:rsid w:val="0081096B"/>
    <w:rsid w:val="0081150A"/>
    <w:rsid w:val="00811538"/>
    <w:rsid w:val="008115BA"/>
    <w:rsid w:val="00811649"/>
    <w:rsid w:val="0081169D"/>
    <w:rsid w:val="00811761"/>
    <w:rsid w:val="00811967"/>
    <w:rsid w:val="00812082"/>
    <w:rsid w:val="00812515"/>
    <w:rsid w:val="00812919"/>
    <w:rsid w:val="00812CD0"/>
    <w:rsid w:val="00813621"/>
    <w:rsid w:val="008150D7"/>
    <w:rsid w:val="0081562F"/>
    <w:rsid w:val="0081580B"/>
    <w:rsid w:val="008169FF"/>
    <w:rsid w:val="00816A29"/>
    <w:rsid w:val="008176DC"/>
    <w:rsid w:val="00817AD2"/>
    <w:rsid w:val="00820178"/>
    <w:rsid w:val="008202E8"/>
    <w:rsid w:val="008204B2"/>
    <w:rsid w:val="0082050B"/>
    <w:rsid w:val="00820E40"/>
    <w:rsid w:val="0082108D"/>
    <w:rsid w:val="008211C3"/>
    <w:rsid w:val="00821508"/>
    <w:rsid w:val="00822DB7"/>
    <w:rsid w:val="00823461"/>
    <w:rsid w:val="00823630"/>
    <w:rsid w:val="008236D5"/>
    <w:rsid w:val="00824946"/>
    <w:rsid w:val="00824D66"/>
    <w:rsid w:val="00825687"/>
    <w:rsid w:val="00825830"/>
    <w:rsid w:val="008259FD"/>
    <w:rsid w:val="008268D4"/>
    <w:rsid w:val="00827BF3"/>
    <w:rsid w:val="00830267"/>
    <w:rsid w:val="00830679"/>
    <w:rsid w:val="00830DCB"/>
    <w:rsid w:val="0083112C"/>
    <w:rsid w:val="008317B0"/>
    <w:rsid w:val="00831F82"/>
    <w:rsid w:val="0083244F"/>
    <w:rsid w:val="00832FE5"/>
    <w:rsid w:val="0083312F"/>
    <w:rsid w:val="008335F9"/>
    <w:rsid w:val="00833666"/>
    <w:rsid w:val="00833D38"/>
    <w:rsid w:val="00833E0A"/>
    <w:rsid w:val="0083419D"/>
    <w:rsid w:val="00834971"/>
    <w:rsid w:val="00834B22"/>
    <w:rsid w:val="00834D51"/>
    <w:rsid w:val="00834EE8"/>
    <w:rsid w:val="00835408"/>
    <w:rsid w:val="008354DC"/>
    <w:rsid w:val="008355B5"/>
    <w:rsid w:val="00835DB3"/>
    <w:rsid w:val="00836131"/>
    <w:rsid w:val="00836750"/>
    <w:rsid w:val="00836DE1"/>
    <w:rsid w:val="00836EA8"/>
    <w:rsid w:val="00836F5F"/>
    <w:rsid w:val="00836FB4"/>
    <w:rsid w:val="00836FE4"/>
    <w:rsid w:val="00837179"/>
    <w:rsid w:val="008371AA"/>
    <w:rsid w:val="00837428"/>
    <w:rsid w:val="00837FF1"/>
    <w:rsid w:val="0084042C"/>
    <w:rsid w:val="008405C2"/>
    <w:rsid w:val="00840C72"/>
    <w:rsid w:val="00840D4D"/>
    <w:rsid w:val="008413F0"/>
    <w:rsid w:val="008416BE"/>
    <w:rsid w:val="00841945"/>
    <w:rsid w:val="00841CDB"/>
    <w:rsid w:val="00842CF9"/>
    <w:rsid w:val="0084336E"/>
    <w:rsid w:val="0084350B"/>
    <w:rsid w:val="00844405"/>
    <w:rsid w:val="008446C6"/>
    <w:rsid w:val="00844B0B"/>
    <w:rsid w:val="00844C67"/>
    <w:rsid w:val="00844D71"/>
    <w:rsid w:val="00844DD0"/>
    <w:rsid w:val="0084518B"/>
    <w:rsid w:val="0084564E"/>
    <w:rsid w:val="008457D8"/>
    <w:rsid w:val="00845C25"/>
    <w:rsid w:val="00845D71"/>
    <w:rsid w:val="00846247"/>
    <w:rsid w:val="008466DC"/>
    <w:rsid w:val="008469F3"/>
    <w:rsid w:val="00846A56"/>
    <w:rsid w:val="0084713B"/>
    <w:rsid w:val="0084727A"/>
    <w:rsid w:val="00847D6B"/>
    <w:rsid w:val="00847EC9"/>
    <w:rsid w:val="008504DA"/>
    <w:rsid w:val="008504E6"/>
    <w:rsid w:val="0085059D"/>
    <w:rsid w:val="00850EBC"/>
    <w:rsid w:val="00851884"/>
    <w:rsid w:val="00851C72"/>
    <w:rsid w:val="0085214C"/>
    <w:rsid w:val="0085220E"/>
    <w:rsid w:val="0085245F"/>
    <w:rsid w:val="00852937"/>
    <w:rsid w:val="00852A68"/>
    <w:rsid w:val="00852A8F"/>
    <w:rsid w:val="00852F33"/>
    <w:rsid w:val="0085333A"/>
    <w:rsid w:val="00853606"/>
    <w:rsid w:val="00853B40"/>
    <w:rsid w:val="00853C8A"/>
    <w:rsid w:val="00854194"/>
    <w:rsid w:val="0085469D"/>
    <w:rsid w:val="0085475F"/>
    <w:rsid w:val="00854E10"/>
    <w:rsid w:val="00855AE7"/>
    <w:rsid w:val="008560B9"/>
    <w:rsid w:val="008565D9"/>
    <w:rsid w:val="008573BA"/>
    <w:rsid w:val="008575D2"/>
    <w:rsid w:val="00857F26"/>
    <w:rsid w:val="0086061F"/>
    <w:rsid w:val="0086086A"/>
    <w:rsid w:val="00860AA5"/>
    <w:rsid w:val="00861CB7"/>
    <w:rsid w:val="00861D2F"/>
    <w:rsid w:val="00861FAF"/>
    <w:rsid w:val="00862117"/>
    <w:rsid w:val="00862198"/>
    <w:rsid w:val="0086292D"/>
    <w:rsid w:val="00863143"/>
    <w:rsid w:val="008632FE"/>
    <w:rsid w:val="008643E2"/>
    <w:rsid w:val="00864834"/>
    <w:rsid w:val="00864A7A"/>
    <w:rsid w:val="0086509C"/>
    <w:rsid w:val="00865720"/>
    <w:rsid w:val="0086657C"/>
    <w:rsid w:val="008667BC"/>
    <w:rsid w:val="00866A62"/>
    <w:rsid w:val="00867418"/>
    <w:rsid w:val="00867D62"/>
    <w:rsid w:val="00870722"/>
    <w:rsid w:val="00870AED"/>
    <w:rsid w:val="00870B12"/>
    <w:rsid w:val="008716AA"/>
    <w:rsid w:val="008719AB"/>
    <w:rsid w:val="00871AC0"/>
    <w:rsid w:val="00872330"/>
    <w:rsid w:val="00872441"/>
    <w:rsid w:val="008727F4"/>
    <w:rsid w:val="00872C77"/>
    <w:rsid w:val="00872F8C"/>
    <w:rsid w:val="008738B7"/>
    <w:rsid w:val="00873B00"/>
    <w:rsid w:val="00873C6E"/>
    <w:rsid w:val="00873CC9"/>
    <w:rsid w:val="00873E71"/>
    <w:rsid w:val="00874162"/>
    <w:rsid w:val="00874173"/>
    <w:rsid w:val="00874711"/>
    <w:rsid w:val="008750A3"/>
    <w:rsid w:val="00875C0C"/>
    <w:rsid w:val="00875D05"/>
    <w:rsid w:val="00875D22"/>
    <w:rsid w:val="0087626A"/>
    <w:rsid w:val="008768C5"/>
    <w:rsid w:val="00877362"/>
    <w:rsid w:val="00877695"/>
    <w:rsid w:val="00880BC6"/>
    <w:rsid w:val="0088135F"/>
    <w:rsid w:val="00881C38"/>
    <w:rsid w:val="00881D62"/>
    <w:rsid w:val="008825FB"/>
    <w:rsid w:val="00883339"/>
    <w:rsid w:val="008836DA"/>
    <w:rsid w:val="00883C56"/>
    <w:rsid w:val="00883D69"/>
    <w:rsid w:val="008846FD"/>
    <w:rsid w:val="00884944"/>
    <w:rsid w:val="00884E1A"/>
    <w:rsid w:val="00884E77"/>
    <w:rsid w:val="008862A9"/>
    <w:rsid w:val="0088637F"/>
    <w:rsid w:val="00886482"/>
    <w:rsid w:val="008869BE"/>
    <w:rsid w:val="00886A6A"/>
    <w:rsid w:val="00887F66"/>
    <w:rsid w:val="00887FAF"/>
    <w:rsid w:val="00890EAB"/>
    <w:rsid w:val="00891298"/>
    <w:rsid w:val="0089203C"/>
    <w:rsid w:val="00892138"/>
    <w:rsid w:val="008926C4"/>
    <w:rsid w:val="0089272E"/>
    <w:rsid w:val="00893533"/>
    <w:rsid w:val="008939D1"/>
    <w:rsid w:val="00893C92"/>
    <w:rsid w:val="008940DB"/>
    <w:rsid w:val="0089449F"/>
    <w:rsid w:val="0089495D"/>
    <w:rsid w:val="00894C2F"/>
    <w:rsid w:val="0089545B"/>
    <w:rsid w:val="008954F5"/>
    <w:rsid w:val="00895B66"/>
    <w:rsid w:val="00895BEF"/>
    <w:rsid w:val="00895C5E"/>
    <w:rsid w:val="00895F55"/>
    <w:rsid w:val="0089689C"/>
    <w:rsid w:val="00896D14"/>
    <w:rsid w:val="00897350"/>
    <w:rsid w:val="00897538"/>
    <w:rsid w:val="00897540"/>
    <w:rsid w:val="0089769C"/>
    <w:rsid w:val="00897BA0"/>
    <w:rsid w:val="008A01C8"/>
    <w:rsid w:val="008A01F8"/>
    <w:rsid w:val="008A03BC"/>
    <w:rsid w:val="008A05DA"/>
    <w:rsid w:val="008A05E6"/>
    <w:rsid w:val="008A0812"/>
    <w:rsid w:val="008A117B"/>
    <w:rsid w:val="008A1335"/>
    <w:rsid w:val="008A134B"/>
    <w:rsid w:val="008A1B53"/>
    <w:rsid w:val="008A1DCC"/>
    <w:rsid w:val="008A1DF5"/>
    <w:rsid w:val="008A2F5C"/>
    <w:rsid w:val="008A3142"/>
    <w:rsid w:val="008A3242"/>
    <w:rsid w:val="008A3404"/>
    <w:rsid w:val="008A3765"/>
    <w:rsid w:val="008A3992"/>
    <w:rsid w:val="008A3AB6"/>
    <w:rsid w:val="008A3F16"/>
    <w:rsid w:val="008A40BB"/>
    <w:rsid w:val="008A46DE"/>
    <w:rsid w:val="008A4BB3"/>
    <w:rsid w:val="008A4E69"/>
    <w:rsid w:val="008A4F22"/>
    <w:rsid w:val="008A5007"/>
    <w:rsid w:val="008A52FD"/>
    <w:rsid w:val="008A562D"/>
    <w:rsid w:val="008A5768"/>
    <w:rsid w:val="008A5CE6"/>
    <w:rsid w:val="008A7484"/>
    <w:rsid w:val="008A7A89"/>
    <w:rsid w:val="008B019A"/>
    <w:rsid w:val="008B0C45"/>
    <w:rsid w:val="008B15BD"/>
    <w:rsid w:val="008B17C3"/>
    <w:rsid w:val="008B19D4"/>
    <w:rsid w:val="008B1EB3"/>
    <w:rsid w:val="008B2284"/>
    <w:rsid w:val="008B2B53"/>
    <w:rsid w:val="008B3B35"/>
    <w:rsid w:val="008B3DE5"/>
    <w:rsid w:val="008B4227"/>
    <w:rsid w:val="008B442C"/>
    <w:rsid w:val="008B45FE"/>
    <w:rsid w:val="008B47C3"/>
    <w:rsid w:val="008B4888"/>
    <w:rsid w:val="008B4900"/>
    <w:rsid w:val="008B4B66"/>
    <w:rsid w:val="008B5109"/>
    <w:rsid w:val="008B5DAE"/>
    <w:rsid w:val="008B61D4"/>
    <w:rsid w:val="008B64C3"/>
    <w:rsid w:val="008B6722"/>
    <w:rsid w:val="008B6F0E"/>
    <w:rsid w:val="008B71BA"/>
    <w:rsid w:val="008B7303"/>
    <w:rsid w:val="008B7A79"/>
    <w:rsid w:val="008B7D35"/>
    <w:rsid w:val="008B7E99"/>
    <w:rsid w:val="008B7F98"/>
    <w:rsid w:val="008C0640"/>
    <w:rsid w:val="008C2568"/>
    <w:rsid w:val="008C273F"/>
    <w:rsid w:val="008C288D"/>
    <w:rsid w:val="008C2CBC"/>
    <w:rsid w:val="008C34BA"/>
    <w:rsid w:val="008C3B0C"/>
    <w:rsid w:val="008C3F3B"/>
    <w:rsid w:val="008C4836"/>
    <w:rsid w:val="008C4E5B"/>
    <w:rsid w:val="008C506D"/>
    <w:rsid w:val="008C58C5"/>
    <w:rsid w:val="008C5B9A"/>
    <w:rsid w:val="008C5EE3"/>
    <w:rsid w:val="008C6E57"/>
    <w:rsid w:val="008C6F5E"/>
    <w:rsid w:val="008C73F5"/>
    <w:rsid w:val="008C7A99"/>
    <w:rsid w:val="008D03E3"/>
    <w:rsid w:val="008D07F9"/>
    <w:rsid w:val="008D080A"/>
    <w:rsid w:val="008D0F5E"/>
    <w:rsid w:val="008D1006"/>
    <w:rsid w:val="008D1510"/>
    <w:rsid w:val="008D1811"/>
    <w:rsid w:val="008D34B3"/>
    <w:rsid w:val="008D478A"/>
    <w:rsid w:val="008D47BA"/>
    <w:rsid w:val="008D484D"/>
    <w:rsid w:val="008D4E31"/>
    <w:rsid w:val="008D4FA3"/>
    <w:rsid w:val="008D544F"/>
    <w:rsid w:val="008D5538"/>
    <w:rsid w:val="008D5868"/>
    <w:rsid w:val="008D5E3E"/>
    <w:rsid w:val="008D61D2"/>
    <w:rsid w:val="008D625F"/>
    <w:rsid w:val="008D63DA"/>
    <w:rsid w:val="008D7AE2"/>
    <w:rsid w:val="008E0016"/>
    <w:rsid w:val="008E0059"/>
    <w:rsid w:val="008E0142"/>
    <w:rsid w:val="008E02FD"/>
    <w:rsid w:val="008E07FF"/>
    <w:rsid w:val="008E0DC0"/>
    <w:rsid w:val="008E14EF"/>
    <w:rsid w:val="008E1581"/>
    <w:rsid w:val="008E1830"/>
    <w:rsid w:val="008E19E7"/>
    <w:rsid w:val="008E1ACA"/>
    <w:rsid w:val="008E1C2F"/>
    <w:rsid w:val="008E2267"/>
    <w:rsid w:val="008E2906"/>
    <w:rsid w:val="008E2DFE"/>
    <w:rsid w:val="008E31AF"/>
    <w:rsid w:val="008E3384"/>
    <w:rsid w:val="008E3C38"/>
    <w:rsid w:val="008E3C3A"/>
    <w:rsid w:val="008E3E84"/>
    <w:rsid w:val="008E4119"/>
    <w:rsid w:val="008E48F7"/>
    <w:rsid w:val="008E4F5C"/>
    <w:rsid w:val="008E501E"/>
    <w:rsid w:val="008E5462"/>
    <w:rsid w:val="008E553A"/>
    <w:rsid w:val="008E5717"/>
    <w:rsid w:val="008E5938"/>
    <w:rsid w:val="008E5A62"/>
    <w:rsid w:val="008E61EB"/>
    <w:rsid w:val="008E697B"/>
    <w:rsid w:val="008E7B91"/>
    <w:rsid w:val="008F02B7"/>
    <w:rsid w:val="008F0989"/>
    <w:rsid w:val="008F1311"/>
    <w:rsid w:val="008F14F5"/>
    <w:rsid w:val="008F17A6"/>
    <w:rsid w:val="008F1841"/>
    <w:rsid w:val="008F193C"/>
    <w:rsid w:val="008F1A21"/>
    <w:rsid w:val="008F2279"/>
    <w:rsid w:val="008F245F"/>
    <w:rsid w:val="008F2D60"/>
    <w:rsid w:val="008F34E4"/>
    <w:rsid w:val="008F3765"/>
    <w:rsid w:val="008F4123"/>
    <w:rsid w:val="008F4312"/>
    <w:rsid w:val="008F4BFE"/>
    <w:rsid w:val="008F4EF2"/>
    <w:rsid w:val="008F532D"/>
    <w:rsid w:val="008F562C"/>
    <w:rsid w:val="008F574E"/>
    <w:rsid w:val="008F5B87"/>
    <w:rsid w:val="008F6161"/>
    <w:rsid w:val="008F617F"/>
    <w:rsid w:val="008F6540"/>
    <w:rsid w:val="008F692E"/>
    <w:rsid w:val="008F72D3"/>
    <w:rsid w:val="008F760A"/>
    <w:rsid w:val="00900393"/>
    <w:rsid w:val="00900F3A"/>
    <w:rsid w:val="009010F2"/>
    <w:rsid w:val="009015EF"/>
    <w:rsid w:val="00901C50"/>
    <w:rsid w:val="00901F4D"/>
    <w:rsid w:val="009020A2"/>
    <w:rsid w:val="009022E7"/>
    <w:rsid w:val="009023E1"/>
    <w:rsid w:val="00902C9E"/>
    <w:rsid w:val="00902F37"/>
    <w:rsid w:val="00903282"/>
    <w:rsid w:val="009038A8"/>
    <w:rsid w:val="00903BFC"/>
    <w:rsid w:val="0090518B"/>
    <w:rsid w:val="0090527E"/>
    <w:rsid w:val="0090529F"/>
    <w:rsid w:val="009053F9"/>
    <w:rsid w:val="00905503"/>
    <w:rsid w:val="00905799"/>
    <w:rsid w:val="00905CA4"/>
    <w:rsid w:val="00906047"/>
    <w:rsid w:val="00906A3C"/>
    <w:rsid w:val="00906B3F"/>
    <w:rsid w:val="009078C0"/>
    <w:rsid w:val="00907A04"/>
    <w:rsid w:val="00907CDA"/>
    <w:rsid w:val="009102AF"/>
    <w:rsid w:val="009106D3"/>
    <w:rsid w:val="00911822"/>
    <w:rsid w:val="00911A2F"/>
    <w:rsid w:val="00911CA1"/>
    <w:rsid w:val="00911CE9"/>
    <w:rsid w:val="00911D50"/>
    <w:rsid w:val="0091200D"/>
    <w:rsid w:val="00912C31"/>
    <w:rsid w:val="00912C49"/>
    <w:rsid w:val="00913340"/>
    <w:rsid w:val="009135A5"/>
    <w:rsid w:val="00913695"/>
    <w:rsid w:val="00913836"/>
    <w:rsid w:val="00913C3A"/>
    <w:rsid w:val="0091457F"/>
    <w:rsid w:val="00914731"/>
    <w:rsid w:val="00914AF9"/>
    <w:rsid w:val="00914B69"/>
    <w:rsid w:val="0091512E"/>
    <w:rsid w:val="0091534A"/>
    <w:rsid w:val="00915570"/>
    <w:rsid w:val="00915C29"/>
    <w:rsid w:val="0091619D"/>
    <w:rsid w:val="00916DAA"/>
    <w:rsid w:val="00917112"/>
    <w:rsid w:val="00917365"/>
    <w:rsid w:val="00920614"/>
    <w:rsid w:val="00920991"/>
    <w:rsid w:val="00920A6A"/>
    <w:rsid w:val="00920C02"/>
    <w:rsid w:val="00920C6D"/>
    <w:rsid w:val="0092111D"/>
    <w:rsid w:val="009216EC"/>
    <w:rsid w:val="009218F2"/>
    <w:rsid w:val="00921AA5"/>
    <w:rsid w:val="00921AB4"/>
    <w:rsid w:val="00922135"/>
    <w:rsid w:val="009221CB"/>
    <w:rsid w:val="0092343E"/>
    <w:rsid w:val="00923802"/>
    <w:rsid w:val="00923AE6"/>
    <w:rsid w:val="00923CE6"/>
    <w:rsid w:val="009243C0"/>
    <w:rsid w:val="0092446D"/>
    <w:rsid w:val="009248D1"/>
    <w:rsid w:val="00924CB0"/>
    <w:rsid w:val="00924CF5"/>
    <w:rsid w:val="009250FE"/>
    <w:rsid w:val="00925179"/>
    <w:rsid w:val="00925364"/>
    <w:rsid w:val="00925A0F"/>
    <w:rsid w:val="00925B29"/>
    <w:rsid w:val="0092691F"/>
    <w:rsid w:val="00926BC2"/>
    <w:rsid w:val="00926D77"/>
    <w:rsid w:val="009271BF"/>
    <w:rsid w:val="009276DD"/>
    <w:rsid w:val="009278EC"/>
    <w:rsid w:val="00927B3A"/>
    <w:rsid w:val="00927DF9"/>
    <w:rsid w:val="0093001E"/>
    <w:rsid w:val="00930046"/>
    <w:rsid w:val="0093034F"/>
    <w:rsid w:val="009305AE"/>
    <w:rsid w:val="009305D5"/>
    <w:rsid w:val="00930B31"/>
    <w:rsid w:val="009317AA"/>
    <w:rsid w:val="00932503"/>
    <w:rsid w:val="00932557"/>
    <w:rsid w:val="00932996"/>
    <w:rsid w:val="00933256"/>
    <w:rsid w:val="00933418"/>
    <w:rsid w:val="00933F69"/>
    <w:rsid w:val="00934213"/>
    <w:rsid w:val="00934388"/>
    <w:rsid w:val="00934BF7"/>
    <w:rsid w:val="00934E53"/>
    <w:rsid w:val="0093505B"/>
    <w:rsid w:val="00935249"/>
    <w:rsid w:val="009355C8"/>
    <w:rsid w:val="00935B54"/>
    <w:rsid w:val="009368F8"/>
    <w:rsid w:val="00937024"/>
    <w:rsid w:val="009375D6"/>
    <w:rsid w:val="00937E4D"/>
    <w:rsid w:val="009408DD"/>
    <w:rsid w:val="0094160C"/>
    <w:rsid w:val="00941795"/>
    <w:rsid w:val="00941A83"/>
    <w:rsid w:val="009425B5"/>
    <w:rsid w:val="00942650"/>
    <w:rsid w:val="00942AE0"/>
    <w:rsid w:val="00942E10"/>
    <w:rsid w:val="0094306B"/>
    <w:rsid w:val="00943AC6"/>
    <w:rsid w:val="0094434E"/>
    <w:rsid w:val="009454DB"/>
    <w:rsid w:val="00945783"/>
    <w:rsid w:val="0094598E"/>
    <w:rsid w:val="00945A04"/>
    <w:rsid w:val="00945AF1"/>
    <w:rsid w:val="00945BC9"/>
    <w:rsid w:val="009464DE"/>
    <w:rsid w:val="00946F7A"/>
    <w:rsid w:val="00950121"/>
    <w:rsid w:val="009501E5"/>
    <w:rsid w:val="00950D26"/>
    <w:rsid w:val="00950E73"/>
    <w:rsid w:val="00950F69"/>
    <w:rsid w:val="00950F7B"/>
    <w:rsid w:val="0095120B"/>
    <w:rsid w:val="009513BA"/>
    <w:rsid w:val="00951DE6"/>
    <w:rsid w:val="0095278F"/>
    <w:rsid w:val="00952A47"/>
    <w:rsid w:val="00952B61"/>
    <w:rsid w:val="00952EBF"/>
    <w:rsid w:val="0095320B"/>
    <w:rsid w:val="009532CC"/>
    <w:rsid w:val="009534B2"/>
    <w:rsid w:val="0095354D"/>
    <w:rsid w:val="0095387C"/>
    <w:rsid w:val="00953DAA"/>
    <w:rsid w:val="00953ED7"/>
    <w:rsid w:val="00953F13"/>
    <w:rsid w:val="009543E1"/>
    <w:rsid w:val="009546F8"/>
    <w:rsid w:val="00954820"/>
    <w:rsid w:val="00955325"/>
    <w:rsid w:val="0095572F"/>
    <w:rsid w:val="009557AE"/>
    <w:rsid w:val="0095605E"/>
    <w:rsid w:val="009569D2"/>
    <w:rsid w:val="0095782E"/>
    <w:rsid w:val="00957E68"/>
    <w:rsid w:val="00960231"/>
    <w:rsid w:val="00960420"/>
    <w:rsid w:val="009605F4"/>
    <w:rsid w:val="00960B95"/>
    <w:rsid w:val="0096174D"/>
    <w:rsid w:val="0096195F"/>
    <w:rsid w:val="00962732"/>
    <w:rsid w:val="009628A5"/>
    <w:rsid w:val="00963705"/>
    <w:rsid w:val="00963C8B"/>
    <w:rsid w:val="00964297"/>
    <w:rsid w:val="00964321"/>
    <w:rsid w:val="0096487A"/>
    <w:rsid w:val="00964A0E"/>
    <w:rsid w:val="00965157"/>
    <w:rsid w:val="00966297"/>
    <w:rsid w:val="0096637D"/>
    <w:rsid w:val="00966511"/>
    <w:rsid w:val="00966645"/>
    <w:rsid w:val="00966791"/>
    <w:rsid w:val="00966815"/>
    <w:rsid w:val="00966AEF"/>
    <w:rsid w:val="00966BEE"/>
    <w:rsid w:val="00966EE0"/>
    <w:rsid w:val="00966F5E"/>
    <w:rsid w:val="00967231"/>
    <w:rsid w:val="00967445"/>
    <w:rsid w:val="0096748B"/>
    <w:rsid w:val="00970051"/>
    <w:rsid w:val="00970054"/>
    <w:rsid w:val="0097006A"/>
    <w:rsid w:val="009704CE"/>
    <w:rsid w:val="00970516"/>
    <w:rsid w:val="00970646"/>
    <w:rsid w:val="0097087F"/>
    <w:rsid w:val="00971029"/>
    <w:rsid w:val="00971095"/>
    <w:rsid w:val="009714CC"/>
    <w:rsid w:val="0097155C"/>
    <w:rsid w:val="009719D3"/>
    <w:rsid w:val="009726DD"/>
    <w:rsid w:val="009728B1"/>
    <w:rsid w:val="00972A8B"/>
    <w:rsid w:val="00972A99"/>
    <w:rsid w:val="00972B9F"/>
    <w:rsid w:val="0097371A"/>
    <w:rsid w:val="00973D2B"/>
    <w:rsid w:val="009747C8"/>
    <w:rsid w:val="00975080"/>
    <w:rsid w:val="009754DE"/>
    <w:rsid w:val="009760DB"/>
    <w:rsid w:val="009769EF"/>
    <w:rsid w:val="00976A6E"/>
    <w:rsid w:val="00976C36"/>
    <w:rsid w:val="00976D3E"/>
    <w:rsid w:val="00977060"/>
    <w:rsid w:val="009772B6"/>
    <w:rsid w:val="00977FD9"/>
    <w:rsid w:val="0098002C"/>
    <w:rsid w:val="0098070A"/>
    <w:rsid w:val="00980E08"/>
    <w:rsid w:val="00981341"/>
    <w:rsid w:val="009816BA"/>
    <w:rsid w:val="00981FA1"/>
    <w:rsid w:val="00982024"/>
    <w:rsid w:val="00982159"/>
    <w:rsid w:val="009829FE"/>
    <w:rsid w:val="0098300B"/>
    <w:rsid w:val="0098366D"/>
    <w:rsid w:val="009836E8"/>
    <w:rsid w:val="009839A4"/>
    <w:rsid w:val="00983C8D"/>
    <w:rsid w:val="00983D66"/>
    <w:rsid w:val="00983E38"/>
    <w:rsid w:val="009840A7"/>
    <w:rsid w:val="009844C7"/>
    <w:rsid w:val="00984883"/>
    <w:rsid w:val="0098545B"/>
    <w:rsid w:val="009856D4"/>
    <w:rsid w:val="00985A03"/>
    <w:rsid w:val="00985AE3"/>
    <w:rsid w:val="00986178"/>
    <w:rsid w:val="00986289"/>
    <w:rsid w:val="00986667"/>
    <w:rsid w:val="00986728"/>
    <w:rsid w:val="00986AE4"/>
    <w:rsid w:val="00986B00"/>
    <w:rsid w:val="00986E00"/>
    <w:rsid w:val="00987172"/>
    <w:rsid w:val="0098748B"/>
    <w:rsid w:val="0098762D"/>
    <w:rsid w:val="00987C43"/>
    <w:rsid w:val="00987EDF"/>
    <w:rsid w:val="0099012B"/>
    <w:rsid w:val="00990748"/>
    <w:rsid w:val="00990786"/>
    <w:rsid w:val="00990855"/>
    <w:rsid w:val="00990D5B"/>
    <w:rsid w:val="00990F83"/>
    <w:rsid w:val="00990FD3"/>
    <w:rsid w:val="0099112C"/>
    <w:rsid w:val="009911AB"/>
    <w:rsid w:val="00991305"/>
    <w:rsid w:val="00991421"/>
    <w:rsid w:val="00991E1C"/>
    <w:rsid w:val="009920BA"/>
    <w:rsid w:val="009925A1"/>
    <w:rsid w:val="0099372A"/>
    <w:rsid w:val="00993C1A"/>
    <w:rsid w:val="00993E35"/>
    <w:rsid w:val="0099455B"/>
    <w:rsid w:val="00994860"/>
    <w:rsid w:val="00995E4F"/>
    <w:rsid w:val="00996269"/>
    <w:rsid w:val="00997605"/>
    <w:rsid w:val="00997EA0"/>
    <w:rsid w:val="009A0722"/>
    <w:rsid w:val="009A0E68"/>
    <w:rsid w:val="009A1B26"/>
    <w:rsid w:val="009A1E23"/>
    <w:rsid w:val="009A24A8"/>
    <w:rsid w:val="009A28AE"/>
    <w:rsid w:val="009A2E11"/>
    <w:rsid w:val="009A33FB"/>
    <w:rsid w:val="009A3860"/>
    <w:rsid w:val="009A4096"/>
    <w:rsid w:val="009A44BA"/>
    <w:rsid w:val="009A4F06"/>
    <w:rsid w:val="009A50CC"/>
    <w:rsid w:val="009A5197"/>
    <w:rsid w:val="009A544B"/>
    <w:rsid w:val="009A5739"/>
    <w:rsid w:val="009A5DFD"/>
    <w:rsid w:val="009A5FA2"/>
    <w:rsid w:val="009A6CEA"/>
    <w:rsid w:val="009A6D32"/>
    <w:rsid w:val="009A703C"/>
    <w:rsid w:val="009A70B9"/>
    <w:rsid w:val="009B0609"/>
    <w:rsid w:val="009B08F6"/>
    <w:rsid w:val="009B0C45"/>
    <w:rsid w:val="009B0CD0"/>
    <w:rsid w:val="009B0D03"/>
    <w:rsid w:val="009B175E"/>
    <w:rsid w:val="009B19BF"/>
    <w:rsid w:val="009B1A7B"/>
    <w:rsid w:val="009B262E"/>
    <w:rsid w:val="009B273A"/>
    <w:rsid w:val="009B2B3F"/>
    <w:rsid w:val="009B2DC7"/>
    <w:rsid w:val="009B2F21"/>
    <w:rsid w:val="009B30D1"/>
    <w:rsid w:val="009B31F3"/>
    <w:rsid w:val="009B343F"/>
    <w:rsid w:val="009B38BB"/>
    <w:rsid w:val="009B3CCE"/>
    <w:rsid w:val="009B4155"/>
    <w:rsid w:val="009B4E49"/>
    <w:rsid w:val="009B53B0"/>
    <w:rsid w:val="009B63D9"/>
    <w:rsid w:val="009B6DCC"/>
    <w:rsid w:val="009B6E76"/>
    <w:rsid w:val="009B7503"/>
    <w:rsid w:val="009B75E8"/>
    <w:rsid w:val="009B7644"/>
    <w:rsid w:val="009B77B7"/>
    <w:rsid w:val="009C0001"/>
    <w:rsid w:val="009C0402"/>
    <w:rsid w:val="009C0778"/>
    <w:rsid w:val="009C0863"/>
    <w:rsid w:val="009C0A00"/>
    <w:rsid w:val="009C0E98"/>
    <w:rsid w:val="009C11F6"/>
    <w:rsid w:val="009C123E"/>
    <w:rsid w:val="009C1301"/>
    <w:rsid w:val="009C16F3"/>
    <w:rsid w:val="009C1D4F"/>
    <w:rsid w:val="009C29CD"/>
    <w:rsid w:val="009C29DF"/>
    <w:rsid w:val="009C2C98"/>
    <w:rsid w:val="009C2E38"/>
    <w:rsid w:val="009C3801"/>
    <w:rsid w:val="009C41C3"/>
    <w:rsid w:val="009C421E"/>
    <w:rsid w:val="009C4CC6"/>
    <w:rsid w:val="009C4F14"/>
    <w:rsid w:val="009C5225"/>
    <w:rsid w:val="009C526C"/>
    <w:rsid w:val="009C6054"/>
    <w:rsid w:val="009C6837"/>
    <w:rsid w:val="009C68BD"/>
    <w:rsid w:val="009C69A8"/>
    <w:rsid w:val="009C6B78"/>
    <w:rsid w:val="009D11AC"/>
    <w:rsid w:val="009D13B0"/>
    <w:rsid w:val="009D1C66"/>
    <w:rsid w:val="009D24F4"/>
    <w:rsid w:val="009D2617"/>
    <w:rsid w:val="009D2815"/>
    <w:rsid w:val="009D2A08"/>
    <w:rsid w:val="009D3007"/>
    <w:rsid w:val="009D39D2"/>
    <w:rsid w:val="009D3ADB"/>
    <w:rsid w:val="009D40CE"/>
    <w:rsid w:val="009D465D"/>
    <w:rsid w:val="009D4D67"/>
    <w:rsid w:val="009D540F"/>
    <w:rsid w:val="009D55DD"/>
    <w:rsid w:val="009D5809"/>
    <w:rsid w:val="009D61E9"/>
    <w:rsid w:val="009D664E"/>
    <w:rsid w:val="009D7928"/>
    <w:rsid w:val="009E121E"/>
    <w:rsid w:val="009E1615"/>
    <w:rsid w:val="009E2159"/>
    <w:rsid w:val="009E286D"/>
    <w:rsid w:val="009E2916"/>
    <w:rsid w:val="009E2B3C"/>
    <w:rsid w:val="009E2E0A"/>
    <w:rsid w:val="009E362B"/>
    <w:rsid w:val="009E3B35"/>
    <w:rsid w:val="009E4885"/>
    <w:rsid w:val="009E4B65"/>
    <w:rsid w:val="009E4F37"/>
    <w:rsid w:val="009E4F70"/>
    <w:rsid w:val="009E4FA9"/>
    <w:rsid w:val="009E57E9"/>
    <w:rsid w:val="009E63DB"/>
    <w:rsid w:val="009E6B00"/>
    <w:rsid w:val="009E74C2"/>
    <w:rsid w:val="009E755B"/>
    <w:rsid w:val="009E78FF"/>
    <w:rsid w:val="009E7B40"/>
    <w:rsid w:val="009F0470"/>
    <w:rsid w:val="009F05CA"/>
    <w:rsid w:val="009F07DD"/>
    <w:rsid w:val="009F0D40"/>
    <w:rsid w:val="009F10CB"/>
    <w:rsid w:val="009F1220"/>
    <w:rsid w:val="009F157A"/>
    <w:rsid w:val="009F1D3F"/>
    <w:rsid w:val="009F202A"/>
    <w:rsid w:val="009F2662"/>
    <w:rsid w:val="009F299B"/>
    <w:rsid w:val="009F2A49"/>
    <w:rsid w:val="009F2BDF"/>
    <w:rsid w:val="009F2EB1"/>
    <w:rsid w:val="009F35D7"/>
    <w:rsid w:val="009F3719"/>
    <w:rsid w:val="009F3ECF"/>
    <w:rsid w:val="009F3FA4"/>
    <w:rsid w:val="009F3FF7"/>
    <w:rsid w:val="009F403B"/>
    <w:rsid w:val="009F40B5"/>
    <w:rsid w:val="009F4C5C"/>
    <w:rsid w:val="009F4DE7"/>
    <w:rsid w:val="009F58B4"/>
    <w:rsid w:val="009F5AFC"/>
    <w:rsid w:val="009F5B72"/>
    <w:rsid w:val="009F6B26"/>
    <w:rsid w:val="009F6F39"/>
    <w:rsid w:val="009F7D35"/>
    <w:rsid w:val="00A0101D"/>
    <w:rsid w:val="00A0145D"/>
    <w:rsid w:val="00A01B1A"/>
    <w:rsid w:val="00A01CE0"/>
    <w:rsid w:val="00A02058"/>
    <w:rsid w:val="00A0272B"/>
    <w:rsid w:val="00A02CB1"/>
    <w:rsid w:val="00A02FA5"/>
    <w:rsid w:val="00A033FD"/>
    <w:rsid w:val="00A03522"/>
    <w:rsid w:val="00A03560"/>
    <w:rsid w:val="00A044E8"/>
    <w:rsid w:val="00A04B1E"/>
    <w:rsid w:val="00A04D02"/>
    <w:rsid w:val="00A05281"/>
    <w:rsid w:val="00A058A1"/>
    <w:rsid w:val="00A05924"/>
    <w:rsid w:val="00A05CF2"/>
    <w:rsid w:val="00A05E97"/>
    <w:rsid w:val="00A05F60"/>
    <w:rsid w:val="00A060C1"/>
    <w:rsid w:val="00A06108"/>
    <w:rsid w:val="00A063AE"/>
    <w:rsid w:val="00A065D0"/>
    <w:rsid w:val="00A06826"/>
    <w:rsid w:val="00A0759B"/>
    <w:rsid w:val="00A076E1"/>
    <w:rsid w:val="00A077E6"/>
    <w:rsid w:val="00A07AEE"/>
    <w:rsid w:val="00A107D2"/>
    <w:rsid w:val="00A10942"/>
    <w:rsid w:val="00A10B8E"/>
    <w:rsid w:val="00A10CAE"/>
    <w:rsid w:val="00A10FC6"/>
    <w:rsid w:val="00A11054"/>
    <w:rsid w:val="00A112D3"/>
    <w:rsid w:val="00A11A4A"/>
    <w:rsid w:val="00A11B18"/>
    <w:rsid w:val="00A1278E"/>
    <w:rsid w:val="00A129F2"/>
    <w:rsid w:val="00A12A6F"/>
    <w:rsid w:val="00A12BD0"/>
    <w:rsid w:val="00A12F23"/>
    <w:rsid w:val="00A13A18"/>
    <w:rsid w:val="00A144F9"/>
    <w:rsid w:val="00A14569"/>
    <w:rsid w:val="00A14695"/>
    <w:rsid w:val="00A14C74"/>
    <w:rsid w:val="00A152A1"/>
    <w:rsid w:val="00A15319"/>
    <w:rsid w:val="00A15723"/>
    <w:rsid w:val="00A1712A"/>
    <w:rsid w:val="00A17A01"/>
    <w:rsid w:val="00A17A34"/>
    <w:rsid w:val="00A17E1C"/>
    <w:rsid w:val="00A202ED"/>
    <w:rsid w:val="00A20B2E"/>
    <w:rsid w:val="00A20B8B"/>
    <w:rsid w:val="00A21484"/>
    <w:rsid w:val="00A21551"/>
    <w:rsid w:val="00A21B53"/>
    <w:rsid w:val="00A21DC5"/>
    <w:rsid w:val="00A21E82"/>
    <w:rsid w:val="00A222D6"/>
    <w:rsid w:val="00A2259F"/>
    <w:rsid w:val="00A22817"/>
    <w:rsid w:val="00A22952"/>
    <w:rsid w:val="00A22EDE"/>
    <w:rsid w:val="00A22F5A"/>
    <w:rsid w:val="00A23119"/>
    <w:rsid w:val="00A2336C"/>
    <w:rsid w:val="00A23815"/>
    <w:rsid w:val="00A23960"/>
    <w:rsid w:val="00A244B1"/>
    <w:rsid w:val="00A254BF"/>
    <w:rsid w:val="00A258FE"/>
    <w:rsid w:val="00A262E7"/>
    <w:rsid w:val="00A26584"/>
    <w:rsid w:val="00A2658D"/>
    <w:rsid w:val="00A26C75"/>
    <w:rsid w:val="00A2741C"/>
    <w:rsid w:val="00A27557"/>
    <w:rsid w:val="00A2758A"/>
    <w:rsid w:val="00A27F0C"/>
    <w:rsid w:val="00A300DF"/>
    <w:rsid w:val="00A30560"/>
    <w:rsid w:val="00A3065A"/>
    <w:rsid w:val="00A307EA"/>
    <w:rsid w:val="00A30C43"/>
    <w:rsid w:val="00A3185F"/>
    <w:rsid w:val="00A3188B"/>
    <w:rsid w:val="00A32126"/>
    <w:rsid w:val="00A323E1"/>
    <w:rsid w:val="00A32938"/>
    <w:rsid w:val="00A33049"/>
    <w:rsid w:val="00A33280"/>
    <w:rsid w:val="00A332C3"/>
    <w:rsid w:val="00A3330A"/>
    <w:rsid w:val="00A336CA"/>
    <w:rsid w:val="00A33709"/>
    <w:rsid w:val="00A3414C"/>
    <w:rsid w:val="00A357CA"/>
    <w:rsid w:val="00A35984"/>
    <w:rsid w:val="00A35B83"/>
    <w:rsid w:val="00A3632D"/>
    <w:rsid w:val="00A364C3"/>
    <w:rsid w:val="00A36974"/>
    <w:rsid w:val="00A36A09"/>
    <w:rsid w:val="00A37810"/>
    <w:rsid w:val="00A37A0F"/>
    <w:rsid w:val="00A37FCE"/>
    <w:rsid w:val="00A40345"/>
    <w:rsid w:val="00A406E7"/>
    <w:rsid w:val="00A40824"/>
    <w:rsid w:val="00A40926"/>
    <w:rsid w:val="00A40CD6"/>
    <w:rsid w:val="00A4238D"/>
    <w:rsid w:val="00A423A9"/>
    <w:rsid w:val="00A426DE"/>
    <w:rsid w:val="00A42D22"/>
    <w:rsid w:val="00A42E29"/>
    <w:rsid w:val="00A42FAE"/>
    <w:rsid w:val="00A43A40"/>
    <w:rsid w:val="00A43B4B"/>
    <w:rsid w:val="00A43D95"/>
    <w:rsid w:val="00A44A8A"/>
    <w:rsid w:val="00A44EC9"/>
    <w:rsid w:val="00A44F39"/>
    <w:rsid w:val="00A44FF8"/>
    <w:rsid w:val="00A450D6"/>
    <w:rsid w:val="00A450E2"/>
    <w:rsid w:val="00A451DF"/>
    <w:rsid w:val="00A45A21"/>
    <w:rsid w:val="00A45CC4"/>
    <w:rsid w:val="00A45FAD"/>
    <w:rsid w:val="00A46352"/>
    <w:rsid w:val="00A46A88"/>
    <w:rsid w:val="00A46C69"/>
    <w:rsid w:val="00A4787E"/>
    <w:rsid w:val="00A47E94"/>
    <w:rsid w:val="00A47F3F"/>
    <w:rsid w:val="00A50024"/>
    <w:rsid w:val="00A5013E"/>
    <w:rsid w:val="00A50B6C"/>
    <w:rsid w:val="00A514F4"/>
    <w:rsid w:val="00A51834"/>
    <w:rsid w:val="00A518D9"/>
    <w:rsid w:val="00A51EE8"/>
    <w:rsid w:val="00A52047"/>
    <w:rsid w:val="00A52A18"/>
    <w:rsid w:val="00A52C46"/>
    <w:rsid w:val="00A52CF9"/>
    <w:rsid w:val="00A52D04"/>
    <w:rsid w:val="00A52FD0"/>
    <w:rsid w:val="00A53D42"/>
    <w:rsid w:val="00A54584"/>
    <w:rsid w:val="00A5468F"/>
    <w:rsid w:val="00A546A3"/>
    <w:rsid w:val="00A547E6"/>
    <w:rsid w:val="00A54FCB"/>
    <w:rsid w:val="00A555ED"/>
    <w:rsid w:val="00A559B1"/>
    <w:rsid w:val="00A55D1C"/>
    <w:rsid w:val="00A55DBB"/>
    <w:rsid w:val="00A55E35"/>
    <w:rsid w:val="00A561B7"/>
    <w:rsid w:val="00A57100"/>
    <w:rsid w:val="00A573F7"/>
    <w:rsid w:val="00A57735"/>
    <w:rsid w:val="00A57F1D"/>
    <w:rsid w:val="00A605E2"/>
    <w:rsid w:val="00A60E65"/>
    <w:rsid w:val="00A6126F"/>
    <w:rsid w:val="00A61752"/>
    <w:rsid w:val="00A61E2A"/>
    <w:rsid w:val="00A61E9E"/>
    <w:rsid w:val="00A61F01"/>
    <w:rsid w:val="00A62460"/>
    <w:rsid w:val="00A6285E"/>
    <w:rsid w:val="00A62B97"/>
    <w:rsid w:val="00A62CDD"/>
    <w:rsid w:val="00A62DB3"/>
    <w:rsid w:val="00A63144"/>
    <w:rsid w:val="00A63265"/>
    <w:rsid w:val="00A632CD"/>
    <w:rsid w:val="00A63462"/>
    <w:rsid w:val="00A63F62"/>
    <w:rsid w:val="00A63FB3"/>
    <w:rsid w:val="00A640BC"/>
    <w:rsid w:val="00A6427A"/>
    <w:rsid w:val="00A6479F"/>
    <w:rsid w:val="00A64C89"/>
    <w:rsid w:val="00A65631"/>
    <w:rsid w:val="00A65852"/>
    <w:rsid w:val="00A6587B"/>
    <w:rsid w:val="00A65AFB"/>
    <w:rsid w:val="00A65F6C"/>
    <w:rsid w:val="00A661CD"/>
    <w:rsid w:val="00A6677B"/>
    <w:rsid w:val="00A67041"/>
    <w:rsid w:val="00A671E0"/>
    <w:rsid w:val="00A67274"/>
    <w:rsid w:val="00A67751"/>
    <w:rsid w:val="00A67AD3"/>
    <w:rsid w:val="00A705F5"/>
    <w:rsid w:val="00A70699"/>
    <w:rsid w:val="00A70D34"/>
    <w:rsid w:val="00A70FF1"/>
    <w:rsid w:val="00A710CB"/>
    <w:rsid w:val="00A72986"/>
    <w:rsid w:val="00A72B88"/>
    <w:rsid w:val="00A739E4"/>
    <w:rsid w:val="00A74B52"/>
    <w:rsid w:val="00A75964"/>
    <w:rsid w:val="00A75E8C"/>
    <w:rsid w:val="00A76118"/>
    <w:rsid w:val="00A76122"/>
    <w:rsid w:val="00A7622A"/>
    <w:rsid w:val="00A764CE"/>
    <w:rsid w:val="00A76940"/>
    <w:rsid w:val="00A76AF8"/>
    <w:rsid w:val="00A76FCC"/>
    <w:rsid w:val="00A772D2"/>
    <w:rsid w:val="00A778F6"/>
    <w:rsid w:val="00A77C3F"/>
    <w:rsid w:val="00A80C11"/>
    <w:rsid w:val="00A810AF"/>
    <w:rsid w:val="00A813B8"/>
    <w:rsid w:val="00A81700"/>
    <w:rsid w:val="00A821EB"/>
    <w:rsid w:val="00A8234A"/>
    <w:rsid w:val="00A823F5"/>
    <w:rsid w:val="00A826E1"/>
    <w:rsid w:val="00A82C3D"/>
    <w:rsid w:val="00A83083"/>
    <w:rsid w:val="00A83282"/>
    <w:rsid w:val="00A83417"/>
    <w:rsid w:val="00A84381"/>
    <w:rsid w:val="00A84889"/>
    <w:rsid w:val="00A84941"/>
    <w:rsid w:val="00A85282"/>
    <w:rsid w:val="00A8543B"/>
    <w:rsid w:val="00A857FC"/>
    <w:rsid w:val="00A85A8A"/>
    <w:rsid w:val="00A85DE2"/>
    <w:rsid w:val="00A86116"/>
    <w:rsid w:val="00A86284"/>
    <w:rsid w:val="00A865F8"/>
    <w:rsid w:val="00A86667"/>
    <w:rsid w:val="00A869C0"/>
    <w:rsid w:val="00A86C9B"/>
    <w:rsid w:val="00A86CCD"/>
    <w:rsid w:val="00A871BE"/>
    <w:rsid w:val="00A87783"/>
    <w:rsid w:val="00A87CE8"/>
    <w:rsid w:val="00A900A5"/>
    <w:rsid w:val="00A9080E"/>
    <w:rsid w:val="00A9088F"/>
    <w:rsid w:val="00A90C9A"/>
    <w:rsid w:val="00A90CE6"/>
    <w:rsid w:val="00A90CF9"/>
    <w:rsid w:val="00A90F11"/>
    <w:rsid w:val="00A910FD"/>
    <w:rsid w:val="00A914DD"/>
    <w:rsid w:val="00A91708"/>
    <w:rsid w:val="00A91DC7"/>
    <w:rsid w:val="00A91F88"/>
    <w:rsid w:val="00A91FBF"/>
    <w:rsid w:val="00A92C8C"/>
    <w:rsid w:val="00A940B7"/>
    <w:rsid w:val="00A943A9"/>
    <w:rsid w:val="00A943CD"/>
    <w:rsid w:val="00A944DD"/>
    <w:rsid w:val="00A9452E"/>
    <w:rsid w:val="00A951E6"/>
    <w:rsid w:val="00A953DD"/>
    <w:rsid w:val="00A95609"/>
    <w:rsid w:val="00A95A40"/>
    <w:rsid w:val="00A95A82"/>
    <w:rsid w:val="00A95CEF"/>
    <w:rsid w:val="00A96128"/>
    <w:rsid w:val="00A961E6"/>
    <w:rsid w:val="00A96656"/>
    <w:rsid w:val="00A96782"/>
    <w:rsid w:val="00A96A99"/>
    <w:rsid w:val="00A96EA1"/>
    <w:rsid w:val="00A9759B"/>
    <w:rsid w:val="00A97CA4"/>
    <w:rsid w:val="00A97E49"/>
    <w:rsid w:val="00AA0C4B"/>
    <w:rsid w:val="00AA1450"/>
    <w:rsid w:val="00AA1A8B"/>
    <w:rsid w:val="00AA1BC1"/>
    <w:rsid w:val="00AA250B"/>
    <w:rsid w:val="00AA2981"/>
    <w:rsid w:val="00AA2BAD"/>
    <w:rsid w:val="00AA3176"/>
    <w:rsid w:val="00AA3402"/>
    <w:rsid w:val="00AA34CA"/>
    <w:rsid w:val="00AA3769"/>
    <w:rsid w:val="00AA3D22"/>
    <w:rsid w:val="00AA3D56"/>
    <w:rsid w:val="00AA4BC6"/>
    <w:rsid w:val="00AA4C7F"/>
    <w:rsid w:val="00AA53A5"/>
    <w:rsid w:val="00AA5BBF"/>
    <w:rsid w:val="00AA63BD"/>
    <w:rsid w:val="00AA6FB2"/>
    <w:rsid w:val="00AA78D8"/>
    <w:rsid w:val="00AA7F1B"/>
    <w:rsid w:val="00AB05C2"/>
    <w:rsid w:val="00AB0821"/>
    <w:rsid w:val="00AB098A"/>
    <w:rsid w:val="00AB0A13"/>
    <w:rsid w:val="00AB172F"/>
    <w:rsid w:val="00AB17D1"/>
    <w:rsid w:val="00AB232E"/>
    <w:rsid w:val="00AB23EA"/>
    <w:rsid w:val="00AB2556"/>
    <w:rsid w:val="00AB2CAD"/>
    <w:rsid w:val="00AB2D21"/>
    <w:rsid w:val="00AB320D"/>
    <w:rsid w:val="00AB3AFB"/>
    <w:rsid w:val="00AB3DAC"/>
    <w:rsid w:val="00AB3E03"/>
    <w:rsid w:val="00AB4310"/>
    <w:rsid w:val="00AB5273"/>
    <w:rsid w:val="00AB583A"/>
    <w:rsid w:val="00AB59A4"/>
    <w:rsid w:val="00AB5FE3"/>
    <w:rsid w:val="00AB610B"/>
    <w:rsid w:val="00AB649E"/>
    <w:rsid w:val="00AB6602"/>
    <w:rsid w:val="00AB6D84"/>
    <w:rsid w:val="00AB6E0F"/>
    <w:rsid w:val="00AB6F2F"/>
    <w:rsid w:val="00AB79F3"/>
    <w:rsid w:val="00AC0E19"/>
    <w:rsid w:val="00AC1006"/>
    <w:rsid w:val="00AC2050"/>
    <w:rsid w:val="00AC247C"/>
    <w:rsid w:val="00AC2689"/>
    <w:rsid w:val="00AC292D"/>
    <w:rsid w:val="00AC2DAA"/>
    <w:rsid w:val="00AC2DAB"/>
    <w:rsid w:val="00AC2FE5"/>
    <w:rsid w:val="00AC33A8"/>
    <w:rsid w:val="00AC3B10"/>
    <w:rsid w:val="00AC3F98"/>
    <w:rsid w:val="00AC3FA9"/>
    <w:rsid w:val="00AC4911"/>
    <w:rsid w:val="00AC4E3D"/>
    <w:rsid w:val="00AC565D"/>
    <w:rsid w:val="00AC6229"/>
    <w:rsid w:val="00AC632D"/>
    <w:rsid w:val="00AC63C4"/>
    <w:rsid w:val="00AC6446"/>
    <w:rsid w:val="00AC666D"/>
    <w:rsid w:val="00AC66CF"/>
    <w:rsid w:val="00AC67B2"/>
    <w:rsid w:val="00AC6A37"/>
    <w:rsid w:val="00AC7651"/>
    <w:rsid w:val="00AC7990"/>
    <w:rsid w:val="00AC7EBC"/>
    <w:rsid w:val="00AD0287"/>
    <w:rsid w:val="00AD070A"/>
    <w:rsid w:val="00AD0838"/>
    <w:rsid w:val="00AD0FB8"/>
    <w:rsid w:val="00AD10DC"/>
    <w:rsid w:val="00AD14C7"/>
    <w:rsid w:val="00AD2037"/>
    <w:rsid w:val="00AD21EB"/>
    <w:rsid w:val="00AD2C0D"/>
    <w:rsid w:val="00AD3011"/>
    <w:rsid w:val="00AD3959"/>
    <w:rsid w:val="00AD3D46"/>
    <w:rsid w:val="00AD40DE"/>
    <w:rsid w:val="00AD40F6"/>
    <w:rsid w:val="00AD452B"/>
    <w:rsid w:val="00AD49ED"/>
    <w:rsid w:val="00AD4B4E"/>
    <w:rsid w:val="00AD5246"/>
    <w:rsid w:val="00AD548D"/>
    <w:rsid w:val="00AD565E"/>
    <w:rsid w:val="00AD59DF"/>
    <w:rsid w:val="00AD66B6"/>
    <w:rsid w:val="00AD7167"/>
    <w:rsid w:val="00AD75C4"/>
    <w:rsid w:val="00AD75D2"/>
    <w:rsid w:val="00AD78B3"/>
    <w:rsid w:val="00AD78F2"/>
    <w:rsid w:val="00AD7F8A"/>
    <w:rsid w:val="00AE0026"/>
    <w:rsid w:val="00AE0079"/>
    <w:rsid w:val="00AE0213"/>
    <w:rsid w:val="00AE1135"/>
    <w:rsid w:val="00AE1363"/>
    <w:rsid w:val="00AE1475"/>
    <w:rsid w:val="00AE1AC9"/>
    <w:rsid w:val="00AE2004"/>
    <w:rsid w:val="00AE21C5"/>
    <w:rsid w:val="00AE3B6A"/>
    <w:rsid w:val="00AE3F30"/>
    <w:rsid w:val="00AE437A"/>
    <w:rsid w:val="00AE4678"/>
    <w:rsid w:val="00AE4793"/>
    <w:rsid w:val="00AE4AC1"/>
    <w:rsid w:val="00AE4CDF"/>
    <w:rsid w:val="00AE4EAF"/>
    <w:rsid w:val="00AE523A"/>
    <w:rsid w:val="00AE5576"/>
    <w:rsid w:val="00AE5971"/>
    <w:rsid w:val="00AE61EE"/>
    <w:rsid w:val="00AE679B"/>
    <w:rsid w:val="00AE67DD"/>
    <w:rsid w:val="00AE6DC3"/>
    <w:rsid w:val="00AE7343"/>
    <w:rsid w:val="00AE7A0E"/>
    <w:rsid w:val="00AF0015"/>
    <w:rsid w:val="00AF04B0"/>
    <w:rsid w:val="00AF0505"/>
    <w:rsid w:val="00AF09A3"/>
    <w:rsid w:val="00AF10FA"/>
    <w:rsid w:val="00AF1430"/>
    <w:rsid w:val="00AF1523"/>
    <w:rsid w:val="00AF1E7F"/>
    <w:rsid w:val="00AF2488"/>
    <w:rsid w:val="00AF263C"/>
    <w:rsid w:val="00AF277F"/>
    <w:rsid w:val="00AF27E8"/>
    <w:rsid w:val="00AF315C"/>
    <w:rsid w:val="00AF3652"/>
    <w:rsid w:val="00AF39EE"/>
    <w:rsid w:val="00AF4026"/>
    <w:rsid w:val="00AF46F4"/>
    <w:rsid w:val="00AF4B25"/>
    <w:rsid w:val="00AF4DCF"/>
    <w:rsid w:val="00AF5308"/>
    <w:rsid w:val="00AF5684"/>
    <w:rsid w:val="00AF572A"/>
    <w:rsid w:val="00AF5BB2"/>
    <w:rsid w:val="00AF7129"/>
    <w:rsid w:val="00AF743C"/>
    <w:rsid w:val="00AF75AD"/>
    <w:rsid w:val="00B00374"/>
    <w:rsid w:val="00B00854"/>
    <w:rsid w:val="00B0160F"/>
    <w:rsid w:val="00B018AB"/>
    <w:rsid w:val="00B01B28"/>
    <w:rsid w:val="00B02774"/>
    <w:rsid w:val="00B02909"/>
    <w:rsid w:val="00B02925"/>
    <w:rsid w:val="00B0311E"/>
    <w:rsid w:val="00B03560"/>
    <w:rsid w:val="00B04872"/>
    <w:rsid w:val="00B048A6"/>
    <w:rsid w:val="00B05AD6"/>
    <w:rsid w:val="00B05FCB"/>
    <w:rsid w:val="00B065A9"/>
    <w:rsid w:val="00B0662A"/>
    <w:rsid w:val="00B069F2"/>
    <w:rsid w:val="00B06C3B"/>
    <w:rsid w:val="00B06D46"/>
    <w:rsid w:val="00B06DA4"/>
    <w:rsid w:val="00B07881"/>
    <w:rsid w:val="00B1007A"/>
    <w:rsid w:val="00B1008B"/>
    <w:rsid w:val="00B105E2"/>
    <w:rsid w:val="00B10858"/>
    <w:rsid w:val="00B117EE"/>
    <w:rsid w:val="00B11F7D"/>
    <w:rsid w:val="00B1242E"/>
    <w:rsid w:val="00B1288A"/>
    <w:rsid w:val="00B12D35"/>
    <w:rsid w:val="00B12F15"/>
    <w:rsid w:val="00B12FAB"/>
    <w:rsid w:val="00B13102"/>
    <w:rsid w:val="00B1344C"/>
    <w:rsid w:val="00B137C3"/>
    <w:rsid w:val="00B13A75"/>
    <w:rsid w:val="00B13E69"/>
    <w:rsid w:val="00B1433C"/>
    <w:rsid w:val="00B14621"/>
    <w:rsid w:val="00B14D9C"/>
    <w:rsid w:val="00B150D5"/>
    <w:rsid w:val="00B151F2"/>
    <w:rsid w:val="00B1550A"/>
    <w:rsid w:val="00B15554"/>
    <w:rsid w:val="00B15661"/>
    <w:rsid w:val="00B16018"/>
    <w:rsid w:val="00B1729B"/>
    <w:rsid w:val="00B17586"/>
    <w:rsid w:val="00B202F5"/>
    <w:rsid w:val="00B2038F"/>
    <w:rsid w:val="00B2057E"/>
    <w:rsid w:val="00B20F70"/>
    <w:rsid w:val="00B218F0"/>
    <w:rsid w:val="00B22D64"/>
    <w:rsid w:val="00B23B27"/>
    <w:rsid w:val="00B23C93"/>
    <w:rsid w:val="00B23E18"/>
    <w:rsid w:val="00B23EEE"/>
    <w:rsid w:val="00B24080"/>
    <w:rsid w:val="00B24363"/>
    <w:rsid w:val="00B24B70"/>
    <w:rsid w:val="00B24E3C"/>
    <w:rsid w:val="00B2502A"/>
    <w:rsid w:val="00B254E9"/>
    <w:rsid w:val="00B25709"/>
    <w:rsid w:val="00B25D62"/>
    <w:rsid w:val="00B25F68"/>
    <w:rsid w:val="00B261C1"/>
    <w:rsid w:val="00B26ED4"/>
    <w:rsid w:val="00B2714E"/>
    <w:rsid w:val="00B275C9"/>
    <w:rsid w:val="00B2784B"/>
    <w:rsid w:val="00B27C10"/>
    <w:rsid w:val="00B27C72"/>
    <w:rsid w:val="00B27DAE"/>
    <w:rsid w:val="00B27DCE"/>
    <w:rsid w:val="00B301EF"/>
    <w:rsid w:val="00B304C0"/>
    <w:rsid w:val="00B31128"/>
    <w:rsid w:val="00B315BD"/>
    <w:rsid w:val="00B31814"/>
    <w:rsid w:val="00B318DF"/>
    <w:rsid w:val="00B318E5"/>
    <w:rsid w:val="00B31C3C"/>
    <w:rsid w:val="00B31DB1"/>
    <w:rsid w:val="00B3213C"/>
    <w:rsid w:val="00B3229E"/>
    <w:rsid w:val="00B32C50"/>
    <w:rsid w:val="00B32E7B"/>
    <w:rsid w:val="00B332A3"/>
    <w:rsid w:val="00B3340F"/>
    <w:rsid w:val="00B3355A"/>
    <w:rsid w:val="00B337BB"/>
    <w:rsid w:val="00B33A0B"/>
    <w:rsid w:val="00B33A5F"/>
    <w:rsid w:val="00B33BC8"/>
    <w:rsid w:val="00B34186"/>
    <w:rsid w:val="00B34D2A"/>
    <w:rsid w:val="00B34E2A"/>
    <w:rsid w:val="00B3542C"/>
    <w:rsid w:val="00B35A37"/>
    <w:rsid w:val="00B36B70"/>
    <w:rsid w:val="00B36DEE"/>
    <w:rsid w:val="00B36E7E"/>
    <w:rsid w:val="00B371E3"/>
    <w:rsid w:val="00B3746A"/>
    <w:rsid w:val="00B3775F"/>
    <w:rsid w:val="00B378F3"/>
    <w:rsid w:val="00B379C7"/>
    <w:rsid w:val="00B37A16"/>
    <w:rsid w:val="00B37CC9"/>
    <w:rsid w:val="00B37FF8"/>
    <w:rsid w:val="00B400E1"/>
    <w:rsid w:val="00B406B5"/>
    <w:rsid w:val="00B406C1"/>
    <w:rsid w:val="00B4075D"/>
    <w:rsid w:val="00B40D20"/>
    <w:rsid w:val="00B41113"/>
    <w:rsid w:val="00B41379"/>
    <w:rsid w:val="00B41EF9"/>
    <w:rsid w:val="00B42D7C"/>
    <w:rsid w:val="00B436DB"/>
    <w:rsid w:val="00B438C6"/>
    <w:rsid w:val="00B43DEF"/>
    <w:rsid w:val="00B43F0E"/>
    <w:rsid w:val="00B44603"/>
    <w:rsid w:val="00B44620"/>
    <w:rsid w:val="00B44852"/>
    <w:rsid w:val="00B4492D"/>
    <w:rsid w:val="00B449EB"/>
    <w:rsid w:val="00B44B2D"/>
    <w:rsid w:val="00B44BF9"/>
    <w:rsid w:val="00B451E6"/>
    <w:rsid w:val="00B452FB"/>
    <w:rsid w:val="00B454A6"/>
    <w:rsid w:val="00B45EF4"/>
    <w:rsid w:val="00B46140"/>
    <w:rsid w:val="00B4670A"/>
    <w:rsid w:val="00B46B28"/>
    <w:rsid w:val="00B474A5"/>
    <w:rsid w:val="00B47EA7"/>
    <w:rsid w:val="00B502CE"/>
    <w:rsid w:val="00B50770"/>
    <w:rsid w:val="00B508D1"/>
    <w:rsid w:val="00B50D7E"/>
    <w:rsid w:val="00B50E0D"/>
    <w:rsid w:val="00B51797"/>
    <w:rsid w:val="00B52629"/>
    <w:rsid w:val="00B52EE5"/>
    <w:rsid w:val="00B53994"/>
    <w:rsid w:val="00B544A2"/>
    <w:rsid w:val="00B54689"/>
    <w:rsid w:val="00B554DE"/>
    <w:rsid w:val="00B5578A"/>
    <w:rsid w:val="00B557C2"/>
    <w:rsid w:val="00B557C6"/>
    <w:rsid w:val="00B56717"/>
    <w:rsid w:val="00B568C4"/>
    <w:rsid w:val="00B57579"/>
    <w:rsid w:val="00B575E0"/>
    <w:rsid w:val="00B576B8"/>
    <w:rsid w:val="00B57FDC"/>
    <w:rsid w:val="00B6060B"/>
    <w:rsid w:val="00B60A7B"/>
    <w:rsid w:val="00B60AFF"/>
    <w:rsid w:val="00B611EF"/>
    <w:rsid w:val="00B6143C"/>
    <w:rsid w:val="00B61935"/>
    <w:rsid w:val="00B61D13"/>
    <w:rsid w:val="00B61E59"/>
    <w:rsid w:val="00B61F2C"/>
    <w:rsid w:val="00B62872"/>
    <w:rsid w:val="00B629A6"/>
    <w:rsid w:val="00B6302C"/>
    <w:rsid w:val="00B639BF"/>
    <w:rsid w:val="00B63F31"/>
    <w:rsid w:val="00B63FD8"/>
    <w:rsid w:val="00B64040"/>
    <w:rsid w:val="00B6473D"/>
    <w:rsid w:val="00B6500F"/>
    <w:rsid w:val="00B65158"/>
    <w:rsid w:val="00B65161"/>
    <w:rsid w:val="00B65C08"/>
    <w:rsid w:val="00B65F80"/>
    <w:rsid w:val="00B6618B"/>
    <w:rsid w:val="00B66221"/>
    <w:rsid w:val="00B66BC2"/>
    <w:rsid w:val="00B66BCC"/>
    <w:rsid w:val="00B66CFA"/>
    <w:rsid w:val="00B67188"/>
    <w:rsid w:val="00B67483"/>
    <w:rsid w:val="00B677B8"/>
    <w:rsid w:val="00B67B63"/>
    <w:rsid w:val="00B67BC1"/>
    <w:rsid w:val="00B67BED"/>
    <w:rsid w:val="00B67F3B"/>
    <w:rsid w:val="00B70BB5"/>
    <w:rsid w:val="00B70C24"/>
    <w:rsid w:val="00B70F84"/>
    <w:rsid w:val="00B71614"/>
    <w:rsid w:val="00B72664"/>
    <w:rsid w:val="00B72A76"/>
    <w:rsid w:val="00B72ABE"/>
    <w:rsid w:val="00B72AE6"/>
    <w:rsid w:val="00B72D94"/>
    <w:rsid w:val="00B7396B"/>
    <w:rsid w:val="00B74007"/>
    <w:rsid w:val="00B747E4"/>
    <w:rsid w:val="00B753C5"/>
    <w:rsid w:val="00B7573B"/>
    <w:rsid w:val="00B76056"/>
    <w:rsid w:val="00B76C2B"/>
    <w:rsid w:val="00B76FD9"/>
    <w:rsid w:val="00B770BC"/>
    <w:rsid w:val="00B7718F"/>
    <w:rsid w:val="00B8048C"/>
    <w:rsid w:val="00B804A2"/>
    <w:rsid w:val="00B8059D"/>
    <w:rsid w:val="00B80CF6"/>
    <w:rsid w:val="00B80DDB"/>
    <w:rsid w:val="00B810EC"/>
    <w:rsid w:val="00B81264"/>
    <w:rsid w:val="00B817BF"/>
    <w:rsid w:val="00B81E05"/>
    <w:rsid w:val="00B82001"/>
    <w:rsid w:val="00B824DA"/>
    <w:rsid w:val="00B8261D"/>
    <w:rsid w:val="00B82773"/>
    <w:rsid w:val="00B82E28"/>
    <w:rsid w:val="00B8305D"/>
    <w:rsid w:val="00B83AB0"/>
    <w:rsid w:val="00B85736"/>
    <w:rsid w:val="00B85CC0"/>
    <w:rsid w:val="00B85D9E"/>
    <w:rsid w:val="00B86424"/>
    <w:rsid w:val="00B8691B"/>
    <w:rsid w:val="00B86A30"/>
    <w:rsid w:val="00B86D24"/>
    <w:rsid w:val="00B86E40"/>
    <w:rsid w:val="00B873CD"/>
    <w:rsid w:val="00B87664"/>
    <w:rsid w:val="00B876C1"/>
    <w:rsid w:val="00B87B63"/>
    <w:rsid w:val="00B87FBE"/>
    <w:rsid w:val="00B9027D"/>
    <w:rsid w:val="00B90512"/>
    <w:rsid w:val="00B9075B"/>
    <w:rsid w:val="00B908E3"/>
    <w:rsid w:val="00B90B92"/>
    <w:rsid w:val="00B90BE6"/>
    <w:rsid w:val="00B90DB1"/>
    <w:rsid w:val="00B90E75"/>
    <w:rsid w:val="00B9152A"/>
    <w:rsid w:val="00B91603"/>
    <w:rsid w:val="00B917ED"/>
    <w:rsid w:val="00B91F97"/>
    <w:rsid w:val="00B92103"/>
    <w:rsid w:val="00B92426"/>
    <w:rsid w:val="00B927C3"/>
    <w:rsid w:val="00B936C3"/>
    <w:rsid w:val="00B93808"/>
    <w:rsid w:val="00B93D55"/>
    <w:rsid w:val="00B94196"/>
    <w:rsid w:val="00B9425D"/>
    <w:rsid w:val="00B942C3"/>
    <w:rsid w:val="00B949D6"/>
    <w:rsid w:val="00B94E44"/>
    <w:rsid w:val="00B9590F"/>
    <w:rsid w:val="00B96686"/>
    <w:rsid w:val="00B96942"/>
    <w:rsid w:val="00B96F94"/>
    <w:rsid w:val="00B97359"/>
    <w:rsid w:val="00B97376"/>
    <w:rsid w:val="00B9743E"/>
    <w:rsid w:val="00B976CA"/>
    <w:rsid w:val="00B9771A"/>
    <w:rsid w:val="00B9783D"/>
    <w:rsid w:val="00B97B2C"/>
    <w:rsid w:val="00BA07E7"/>
    <w:rsid w:val="00BA0C5F"/>
    <w:rsid w:val="00BA0F9B"/>
    <w:rsid w:val="00BA10E6"/>
    <w:rsid w:val="00BA13AE"/>
    <w:rsid w:val="00BA1720"/>
    <w:rsid w:val="00BA192E"/>
    <w:rsid w:val="00BA1B31"/>
    <w:rsid w:val="00BA1C75"/>
    <w:rsid w:val="00BA1D78"/>
    <w:rsid w:val="00BA1E3F"/>
    <w:rsid w:val="00BA1F0F"/>
    <w:rsid w:val="00BA2CA1"/>
    <w:rsid w:val="00BA2DF9"/>
    <w:rsid w:val="00BA32AE"/>
    <w:rsid w:val="00BA345B"/>
    <w:rsid w:val="00BA35B3"/>
    <w:rsid w:val="00BA36EB"/>
    <w:rsid w:val="00BA38FE"/>
    <w:rsid w:val="00BA4006"/>
    <w:rsid w:val="00BA40E1"/>
    <w:rsid w:val="00BA4234"/>
    <w:rsid w:val="00BA458D"/>
    <w:rsid w:val="00BA465C"/>
    <w:rsid w:val="00BA48E3"/>
    <w:rsid w:val="00BA4DBF"/>
    <w:rsid w:val="00BA5626"/>
    <w:rsid w:val="00BA5DC0"/>
    <w:rsid w:val="00BA6004"/>
    <w:rsid w:val="00BA6015"/>
    <w:rsid w:val="00BA6353"/>
    <w:rsid w:val="00BA6BD1"/>
    <w:rsid w:val="00BA7201"/>
    <w:rsid w:val="00BA7616"/>
    <w:rsid w:val="00BA7EFD"/>
    <w:rsid w:val="00BB0062"/>
    <w:rsid w:val="00BB010D"/>
    <w:rsid w:val="00BB0277"/>
    <w:rsid w:val="00BB0556"/>
    <w:rsid w:val="00BB074E"/>
    <w:rsid w:val="00BB182A"/>
    <w:rsid w:val="00BB1B48"/>
    <w:rsid w:val="00BB24E0"/>
    <w:rsid w:val="00BB27D3"/>
    <w:rsid w:val="00BB28E8"/>
    <w:rsid w:val="00BB2E5F"/>
    <w:rsid w:val="00BB2F15"/>
    <w:rsid w:val="00BB3459"/>
    <w:rsid w:val="00BB3B8C"/>
    <w:rsid w:val="00BB3E2B"/>
    <w:rsid w:val="00BB43CF"/>
    <w:rsid w:val="00BB46C8"/>
    <w:rsid w:val="00BB50A7"/>
    <w:rsid w:val="00BB56F4"/>
    <w:rsid w:val="00BB59E1"/>
    <w:rsid w:val="00BB5BDB"/>
    <w:rsid w:val="00BB5E4E"/>
    <w:rsid w:val="00BB6B1F"/>
    <w:rsid w:val="00BB6CC2"/>
    <w:rsid w:val="00BB7087"/>
    <w:rsid w:val="00BB7614"/>
    <w:rsid w:val="00BB784A"/>
    <w:rsid w:val="00BB79A6"/>
    <w:rsid w:val="00BB7A70"/>
    <w:rsid w:val="00BB7CE3"/>
    <w:rsid w:val="00BB7EEF"/>
    <w:rsid w:val="00BC00E7"/>
    <w:rsid w:val="00BC00EA"/>
    <w:rsid w:val="00BC02BF"/>
    <w:rsid w:val="00BC05CC"/>
    <w:rsid w:val="00BC0C1C"/>
    <w:rsid w:val="00BC15D7"/>
    <w:rsid w:val="00BC1B06"/>
    <w:rsid w:val="00BC23A5"/>
    <w:rsid w:val="00BC295F"/>
    <w:rsid w:val="00BC2CA3"/>
    <w:rsid w:val="00BC2E2D"/>
    <w:rsid w:val="00BC3792"/>
    <w:rsid w:val="00BC3933"/>
    <w:rsid w:val="00BC3A10"/>
    <w:rsid w:val="00BC55E9"/>
    <w:rsid w:val="00BC632C"/>
    <w:rsid w:val="00BC69AD"/>
    <w:rsid w:val="00BC6FBD"/>
    <w:rsid w:val="00BC7570"/>
    <w:rsid w:val="00BC76CF"/>
    <w:rsid w:val="00BC7B15"/>
    <w:rsid w:val="00BD0676"/>
    <w:rsid w:val="00BD07D9"/>
    <w:rsid w:val="00BD08DE"/>
    <w:rsid w:val="00BD0C0D"/>
    <w:rsid w:val="00BD0E60"/>
    <w:rsid w:val="00BD1C7C"/>
    <w:rsid w:val="00BD1F0D"/>
    <w:rsid w:val="00BD1FA4"/>
    <w:rsid w:val="00BD2220"/>
    <w:rsid w:val="00BD26FD"/>
    <w:rsid w:val="00BD2747"/>
    <w:rsid w:val="00BD2C55"/>
    <w:rsid w:val="00BD31FE"/>
    <w:rsid w:val="00BD3422"/>
    <w:rsid w:val="00BD372A"/>
    <w:rsid w:val="00BD3A1E"/>
    <w:rsid w:val="00BD3F0F"/>
    <w:rsid w:val="00BD42D7"/>
    <w:rsid w:val="00BD4343"/>
    <w:rsid w:val="00BD5317"/>
    <w:rsid w:val="00BD5E42"/>
    <w:rsid w:val="00BD6382"/>
    <w:rsid w:val="00BD6C63"/>
    <w:rsid w:val="00BD70E9"/>
    <w:rsid w:val="00BD72C4"/>
    <w:rsid w:val="00BD7A9F"/>
    <w:rsid w:val="00BE00CC"/>
    <w:rsid w:val="00BE069B"/>
    <w:rsid w:val="00BE080C"/>
    <w:rsid w:val="00BE191E"/>
    <w:rsid w:val="00BE1B38"/>
    <w:rsid w:val="00BE1D49"/>
    <w:rsid w:val="00BE2005"/>
    <w:rsid w:val="00BE2354"/>
    <w:rsid w:val="00BE295C"/>
    <w:rsid w:val="00BE2ED1"/>
    <w:rsid w:val="00BE3192"/>
    <w:rsid w:val="00BE3737"/>
    <w:rsid w:val="00BE3D38"/>
    <w:rsid w:val="00BE3D5F"/>
    <w:rsid w:val="00BE416C"/>
    <w:rsid w:val="00BE41F6"/>
    <w:rsid w:val="00BE451D"/>
    <w:rsid w:val="00BE4560"/>
    <w:rsid w:val="00BE4935"/>
    <w:rsid w:val="00BE510B"/>
    <w:rsid w:val="00BE5552"/>
    <w:rsid w:val="00BE557C"/>
    <w:rsid w:val="00BE57D1"/>
    <w:rsid w:val="00BE5921"/>
    <w:rsid w:val="00BE6209"/>
    <w:rsid w:val="00BE63CD"/>
    <w:rsid w:val="00BE64BE"/>
    <w:rsid w:val="00BE6C7E"/>
    <w:rsid w:val="00BE6CF6"/>
    <w:rsid w:val="00BE6EA8"/>
    <w:rsid w:val="00BE7613"/>
    <w:rsid w:val="00BE7BCC"/>
    <w:rsid w:val="00BE7CF3"/>
    <w:rsid w:val="00BF0526"/>
    <w:rsid w:val="00BF05FA"/>
    <w:rsid w:val="00BF0977"/>
    <w:rsid w:val="00BF0E8A"/>
    <w:rsid w:val="00BF0EA7"/>
    <w:rsid w:val="00BF1BF8"/>
    <w:rsid w:val="00BF2238"/>
    <w:rsid w:val="00BF2450"/>
    <w:rsid w:val="00BF2778"/>
    <w:rsid w:val="00BF311B"/>
    <w:rsid w:val="00BF36DC"/>
    <w:rsid w:val="00BF3716"/>
    <w:rsid w:val="00BF3AB9"/>
    <w:rsid w:val="00BF4025"/>
    <w:rsid w:val="00BF4317"/>
    <w:rsid w:val="00BF464D"/>
    <w:rsid w:val="00BF46D2"/>
    <w:rsid w:val="00BF519B"/>
    <w:rsid w:val="00BF56A2"/>
    <w:rsid w:val="00BF58BB"/>
    <w:rsid w:val="00BF5991"/>
    <w:rsid w:val="00BF59F5"/>
    <w:rsid w:val="00BF5AE0"/>
    <w:rsid w:val="00BF5B81"/>
    <w:rsid w:val="00BF5E12"/>
    <w:rsid w:val="00BF6865"/>
    <w:rsid w:val="00C007D0"/>
    <w:rsid w:val="00C00A31"/>
    <w:rsid w:val="00C012EB"/>
    <w:rsid w:val="00C01E6F"/>
    <w:rsid w:val="00C021ED"/>
    <w:rsid w:val="00C02596"/>
    <w:rsid w:val="00C02B46"/>
    <w:rsid w:val="00C02B5E"/>
    <w:rsid w:val="00C02D4C"/>
    <w:rsid w:val="00C034E3"/>
    <w:rsid w:val="00C03540"/>
    <w:rsid w:val="00C03CAE"/>
    <w:rsid w:val="00C05123"/>
    <w:rsid w:val="00C05601"/>
    <w:rsid w:val="00C05827"/>
    <w:rsid w:val="00C05D2B"/>
    <w:rsid w:val="00C060FE"/>
    <w:rsid w:val="00C06183"/>
    <w:rsid w:val="00C0633C"/>
    <w:rsid w:val="00C06ED7"/>
    <w:rsid w:val="00C06F71"/>
    <w:rsid w:val="00C070CE"/>
    <w:rsid w:val="00C07593"/>
    <w:rsid w:val="00C10035"/>
    <w:rsid w:val="00C10083"/>
    <w:rsid w:val="00C107E7"/>
    <w:rsid w:val="00C10BD2"/>
    <w:rsid w:val="00C10CEF"/>
    <w:rsid w:val="00C10DB9"/>
    <w:rsid w:val="00C11696"/>
    <w:rsid w:val="00C116E7"/>
    <w:rsid w:val="00C11C2D"/>
    <w:rsid w:val="00C11DAC"/>
    <w:rsid w:val="00C12607"/>
    <w:rsid w:val="00C1274A"/>
    <w:rsid w:val="00C130C5"/>
    <w:rsid w:val="00C13497"/>
    <w:rsid w:val="00C16983"/>
    <w:rsid w:val="00C16DF6"/>
    <w:rsid w:val="00C17026"/>
    <w:rsid w:val="00C17085"/>
    <w:rsid w:val="00C171ED"/>
    <w:rsid w:val="00C17567"/>
    <w:rsid w:val="00C17756"/>
    <w:rsid w:val="00C17974"/>
    <w:rsid w:val="00C17D96"/>
    <w:rsid w:val="00C20385"/>
    <w:rsid w:val="00C20B28"/>
    <w:rsid w:val="00C20D55"/>
    <w:rsid w:val="00C20F27"/>
    <w:rsid w:val="00C2169E"/>
    <w:rsid w:val="00C217BE"/>
    <w:rsid w:val="00C221A2"/>
    <w:rsid w:val="00C22515"/>
    <w:rsid w:val="00C226FD"/>
    <w:rsid w:val="00C2337A"/>
    <w:rsid w:val="00C238E4"/>
    <w:rsid w:val="00C23D9F"/>
    <w:rsid w:val="00C23E38"/>
    <w:rsid w:val="00C24408"/>
    <w:rsid w:val="00C2440B"/>
    <w:rsid w:val="00C24B34"/>
    <w:rsid w:val="00C24C0D"/>
    <w:rsid w:val="00C24FF5"/>
    <w:rsid w:val="00C25DC8"/>
    <w:rsid w:val="00C25EA4"/>
    <w:rsid w:val="00C26061"/>
    <w:rsid w:val="00C261BA"/>
    <w:rsid w:val="00C261CE"/>
    <w:rsid w:val="00C268A9"/>
    <w:rsid w:val="00C27080"/>
    <w:rsid w:val="00C27087"/>
    <w:rsid w:val="00C2733C"/>
    <w:rsid w:val="00C279A4"/>
    <w:rsid w:val="00C27A82"/>
    <w:rsid w:val="00C27AB3"/>
    <w:rsid w:val="00C27CD1"/>
    <w:rsid w:val="00C30169"/>
    <w:rsid w:val="00C301C0"/>
    <w:rsid w:val="00C30243"/>
    <w:rsid w:val="00C30366"/>
    <w:rsid w:val="00C31110"/>
    <w:rsid w:val="00C3180E"/>
    <w:rsid w:val="00C31B8E"/>
    <w:rsid w:val="00C32108"/>
    <w:rsid w:val="00C323EF"/>
    <w:rsid w:val="00C32B4E"/>
    <w:rsid w:val="00C33056"/>
    <w:rsid w:val="00C333B9"/>
    <w:rsid w:val="00C33A88"/>
    <w:rsid w:val="00C34176"/>
    <w:rsid w:val="00C34AFC"/>
    <w:rsid w:val="00C34DB4"/>
    <w:rsid w:val="00C34DF8"/>
    <w:rsid w:val="00C3567B"/>
    <w:rsid w:val="00C3568B"/>
    <w:rsid w:val="00C35B09"/>
    <w:rsid w:val="00C36026"/>
    <w:rsid w:val="00C36047"/>
    <w:rsid w:val="00C360E5"/>
    <w:rsid w:val="00C367AE"/>
    <w:rsid w:val="00C371A7"/>
    <w:rsid w:val="00C408B0"/>
    <w:rsid w:val="00C40C49"/>
    <w:rsid w:val="00C418D8"/>
    <w:rsid w:val="00C41F12"/>
    <w:rsid w:val="00C41F97"/>
    <w:rsid w:val="00C42270"/>
    <w:rsid w:val="00C422B1"/>
    <w:rsid w:val="00C422FF"/>
    <w:rsid w:val="00C42651"/>
    <w:rsid w:val="00C42C10"/>
    <w:rsid w:val="00C433A1"/>
    <w:rsid w:val="00C43C6B"/>
    <w:rsid w:val="00C4449F"/>
    <w:rsid w:val="00C44751"/>
    <w:rsid w:val="00C447AB"/>
    <w:rsid w:val="00C447F5"/>
    <w:rsid w:val="00C44F78"/>
    <w:rsid w:val="00C456D7"/>
    <w:rsid w:val="00C45E57"/>
    <w:rsid w:val="00C4646A"/>
    <w:rsid w:val="00C471AD"/>
    <w:rsid w:val="00C471F6"/>
    <w:rsid w:val="00C474D0"/>
    <w:rsid w:val="00C4791B"/>
    <w:rsid w:val="00C47B19"/>
    <w:rsid w:val="00C47FF5"/>
    <w:rsid w:val="00C50BCA"/>
    <w:rsid w:val="00C50CDE"/>
    <w:rsid w:val="00C50CFB"/>
    <w:rsid w:val="00C518FE"/>
    <w:rsid w:val="00C51AB1"/>
    <w:rsid w:val="00C51E57"/>
    <w:rsid w:val="00C520B6"/>
    <w:rsid w:val="00C520F8"/>
    <w:rsid w:val="00C529D5"/>
    <w:rsid w:val="00C52F67"/>
    <w:rsid w:val="00C52FD2"/>
    <w:rsid w:val="00C53D45"/>
    <w:rsid w:val="00C541E8"/>
    <w:rsid w:val="00C542CF"/>
    <w:rsid w:val="00C54349"/>
    <w:rsid w:val="00C54A1C"/>
    <w:rsid w:val="00C54BB0"/>
    <w:rsid w:val="00C554D7"/>
    <w:rsid w:val="00C555EB"/>
    <w:rsid w:val="00C55913"/>
    <w:rsid w:val="00C568D0"/>
    <w:rsid w:val="00C56BFB"/>
    <w:rsid w:val="00C5759D"/>
    <w:rsid w:val="00C5774B"/>
    <w:rsid w:val="00C578D0"/>
    <w:rsid w:val="00C578DD"/>
    <w:rsid w:val="00C57A81"/>
    <w:rsid w:val="00C601A3"/>
    <w:rsid w:val="00C6040B"/>
    <w:rsid w:val="00C60823"/>
    <w:rsid w:val="00C608E6"/>
    <w:rsid w:val="00C60A68"/>
    <w:rsid w:val="00C60DE9"/>
    <w:rsid w:val="00C61200"/>
    <w:rsid w:val="00C61404"/>
    <w:rsid w:val="00C6167C"/>
    <w:rsid w:val="00C62371"/>
    <w:rsid w:val="00C62445"/>
    <w:rsid w:val="00C63825"/>
    <w:rsid w:val="00C6395F"/>
    <w:rsid w:val="00C63F1C"/>
    <w:rsid w:val="00C6487D"/>
    <w:rsid w:val="00C64C2A"/>
    <w:rsid w:val="00C64CEC"/>
    <w:rsid w:val="00C64DDA"/>
    <w:rsid w:val="00C64E35"/>
    <w:rsid w:val="00C64EAE"/>
    <w:rsid w:val="00C650C3"/>
    <w:rsid w:val="00C65913"/>
    <w:rsid w:val="00C65CAE"/>
    <w:rsid w:val="00C6617C"/>
    <w:rsid w:val="00C66652"/>
    <w:rsid w:val="00C677B3"/>
    <w:rsid w:val="00C678BE"/>
    <w:rsid w:val="00C67DB7"/>
    <w:rsid w:val="00C67FAC"/>
    <w:rsid w:val="00C701C4"/>
    <w:rsid w:val="00C71576"/>
    <w:rsid w:val="00C71EF3"/>
    <w:rsid w:val="00C71F93"/>
    <w:rsid w:val="00C72109"/>
    <w:rsid w:val="00C725FB"/>
    <w:rsid w:val="00C72B6A"/>
    <w:rsid w:val="00C72CC7"/>
    <w:rsid w:val="00C72E7A"/>
    <w:rsid w:val="00C73337"/>
    <w:rsid w:val="00C73498"/>
    <w:rsid w:val="00C740DE"/>
    <w:rsid w:val="00C743A8"/>
    <w:rsid w:val="00C74EF2"/>
    <w:rsid w:val="00C75207"/>
    <w:rsid w:val="00C7529E"/>
    <w:rsid w:val="00C75A8F"/>
    <w:rsid w:val="00C75DF0"/>
    <w:rsid w:val="00C7607C"/>
    <w:rsid w:val="00C763A3"/>
    <w:rsid w:val="00C77134"/>
    <w:rsid w:val="00C77545"/>
    <w:rsid w:val="00C77576"/>
    <w:rsid w:val="00C77922"/>
    <w:rsid w:val="00C77C55"/>
    <w:rsid w:val="00C77D66"/>
    <w:rsid w:val="00C801A4"/>
    <w:rsid w:val="00C8059B"/>
    <w:rsid w:val="00C806BC"/>
    <w:rsid w:val="00C80F8B"/>
    <w:rsid w:val="00C81746"/>
    <w:rsid w:val="00C81AD7"/>
    <w:rsid w:val="00C81C0B"/>
    <w:rsid w:val="00C81F58"/>
    <w:rsid w:val="00C8210E"/>
    <w:rsid w:val="00C821BA"/>
    <w:rsid w:val="00C82C12"/>
    <w:rsid w:val="00C83144"/>
    <w:rsid w:val="00C83353"/>
    <w:rsid w:val="00C83A5B"/>
    <w:rsid w:val="00C83B86"/>
    <w:rsid w:val="00C83CD6"/>
    <w:rsid w:val="00C83E1F"/>
    <w:rsid w:val="00C841EC"/>
    <w:rsid w:val="00C8421B"/>
    <w:rsid w:val="00C84702"/>
    <w:rsid w:val="00C84B27"/>
    <w:rsid w:val="00C84BD0"/>
    <w:rsid w:val="00C85000"/>
    <w:rsid w:val="00C852B6"/>
    <w:rsid w:val="00C8545A"/>
    <w:rsid w:val="00C85463"/>
    <w:rsid w:val="00C857EF"/>
    <w:rsid w:val="00C85C4D"/>
    <w:rsid w:val="00C86333"/>
    <w:rsid w:val="00C86559"/>
    <w:rsid w:val="00C865F5"/>
    <w:rsid w:val="00C86A4C"/>
    <w:rsid w:val="00C86E0B"/>
    <w:rsid w:val="00C86F73"/>
    <w:rsid w:val="00C91270"/>
    <w:rsid w:val="00C91A88"/>
    <w:rsid w:val="00C9217F"/>
    <w:rsid w:val="00C924FB"/>
    <w:rsid w:val="00C9257A"/>
    <w:rsid w:val="00C92DCA"/>
    <w:rsid w:val="00C92F73"/>
    <w:rsid w:val="00C934AE"/>
    <w:rsid w:val="00C939F4"/>
    <w:rsid w:val="00C93ADF"/>
    <w:rsid w:val="00C93E64"/>
    <w:rsid w:val="00C93F59"/>
    <w:rsid w:val="00C94055"/>
    <w:rsid w:val="00C94272"/>
    <w:rsid w:val="00C94569"/>
    <w:rsid w:val="00C9519E"/>
    <w:rsid w:val="00C95565"/>
    <w:rsid w:val="00C956DA"/>
    <w:rsid w:val="00C956E7"/>
    <w:rsid w:val="00C9589F"/>
    <w:rsid w:val="00C95CE3"/>
    <w:rsid w:val="00C96686"/>
    <w:rsid w:val="00C96AB7"/>
    <w:rsid w:val="00C96C10"/>
    <w:rsid w:val="00C96D67"/>
    <w:rsid w:val="00C96E05"/>
    <w:rsid w:val="00C97121"/>
    <w:rsid w:val="00C97C41"/>
    <w:rsid w:val="00CA0892"/>
    <w:rsid w:val="00CA1177"/>
    <w:rsid w:val="00CA146C"/>
    <w:rsid w:val="00CA18BA"/>
    <w:rsid w:val="00CA2187"/>
    <w:rsid w:val="00CA2CB0"/>
    <w:rsid w:val="00CA2F25"/>
    <w:rsid w:val="00CA340B"/>
    <w:rsid w:val="00CA354F"/>
    <w:rsid w:val="00CA408B"/>
    <w:rsid w:val="00CA40C5"/>
    <w:rsid w:val="00CA455A"/>
    <w:rsid w:val="00CA46EE"/>
    <w:rsid w:val="00CA4C5E"/>
    <w:rsid w:val="00CA5392"/>
    <w:rsid w:val="00CA5543"/>
    <w:rsid w:val="00CA5A33"/>
    <w:rsid w:val="00CA5DA3"/>
    <w:rsid w:val="00CA604F"/>
    <w:rsid w:val="00CA6DBE"/>
    <w:rsid w:val="00CA6E84"/>
    <w:rsid w:val="00CA7491"/>
    <w:rsid w:val="00CA7B9A"/>
    <w:rsid w:val="00CB0209"/>
    <w:rsid w:val="00CB0A99"/>
    <w:rsid w:val="00CB0CAE"/>
    <w:rsid w:val="00CB129A"/>
    <w:rsid w:val="00CB1448"/>
    <w:rsid w:val="00CB1525"/>
    <w:rsid w:val="00CB1857"/>
    <w:rsid w:val="00CB18D0"/>
    <w:rsid w:val="00CB1937"/>
    <w:rsid w:val="00CB19FC"/>
    <w:rsid w:val="00CB1E57"/>
    <w:rsid w:val="00CB2015"/>
    <w:rsid w:val="00CB2059"/>
    <w:rsid w:val="00CB22EE"/>
    <w:rsid w:val="00CB281B"/>
    <w:rsid w:val="00CB2E91"/>
    <w:rsid w:val="00CB3C53"/>
    <w:rsid w:val="00CB3EED"/>
    <w:rsid w:val="00CB40A7"/>
    <w:rsid w:val="00CB4200"/>
    <w:rsid w:val="00CB498B"/>
    <w:rsid w:val="00CB53C1"/>
    <w:rsid w:val="00CB561F"/>
    <w:rsid w:val="00CB583A"/>
    <w:rsid w:val="00CB5B3D"/>
    <w:rsid w:val="00CB608B"/>
    <w:rsid w:val="00CB61E7"/>
    <w:rsid w:val="00CB66CB"/>
    <w:rsid w:val="00CB7190"/>
    <w:rsid w:val="00CB7207"/>
    <w:rsid w:val="00CB7239"/>
    <w:rsid w:val="00CB75FB"/>
    <w:rsid w:val="00CB7864"/>
    <w:rsid w:val="00CB7C19"/>
    <w:rsid w:val="00CC0C9D"/>
    <w:rsid w:val="00CC1024"/>
    <w:rsid w:val="00CC110A"/>
    <w:rsid w:val="00CC13EC"/>
    <w:rsid w:val="00CC1615"/>
    <w:rsid w:val="00CC1C99"/>
    <w:rsid w:val="00CC1DA3"/>
    <w:rsid w:val="00CC2065"/>
    <w:rsid w:val="00CC228F"/>
    <w:rsid w:val="00CC22A5"/>
    <w:rsid w:val="00CC22BD"/>
    <w:rsid w:val="00CC2787"/>
    <w:rsid w:val="00CC2EA1"/>
    <w:rsid w:val="00CC35BD"/>
    <w:rsid w:val="00CC3DF9"/>
    <w:rsid w:val="00CC42EB"/>
    <w:rsid w:val="00CC4D72"/>
    <w:rsid w:val="00CC4F1E"/>
    <w:rsid w:val="00CC4FF9"/>
    <w:rsid w:val="00CC500C"/>
    <w:rsid w:val="00CC5120"/>
    <w:rsid w:val="00CC538A"/>
    <w:rsid w:val="00CC5762"/>
    <w:rsid w:val="00CC583D"/>
    <w:rsid w:val="00CC5C31"/>
    <w:rsid w:val="00CC5CCD"/>
    <w:rsid w:val="00CC60D5"/>
    <w:rsid w:val="00CC6388"/>
    <w:rsid w:val="00CC64C6"/>
    <w:rsid w:val="00CC650B"/>
    <w:rsid w:val="00CC667B"/>
    <w:rsid w:val="00CC6959"/>
    <w:rsid w:val="00CC6B83"/>
    <w:rsid w:val="00CC6C5A"/>
    <w:rsid w:val="00CC6DEF"/>
    <w:rsid w:val="00CC7109"/>
    <w:rsid w:val="00CC72B8"/>
    <w:rsid w:val="00CC75C8"/>
    <w:rsid w:val="00CC76DF"/>
    <w:rsid w:val="00CC7E4A"/>
    <w:rsid w:val="00CC7E75"/>
    <w:rsid w:val="00CC7FD0"/>
    <w:rsid w:val="00CD0330"/>
    <w:rsid w:val="00CD0594"/>
    <w:rsid w:val="00CD09F7"/>
    <w:rsid w:val="00CD0C64"/>
    <w:rsid w:val="00CD1013"/>
    <w:rsid w:val="00CD1049"/>
    <w:rsid w:val="00CD167D"/>
    <w:rsid w:val="00CD188B"/>
    <w:rsid w:val="00CD1C72"/>
    <w:rsid w:val="00CD1D22"/>
    <w:rsid w:val="00CD213C"/>
    <w:rsid w:val="00CD2227"/>
    <w:rsid w:val="00CD238A"/>
    <w:rsid w:val="00CD251A"/>
    <w:rsid w:val="00CD2765"/>
    <w:rsid w:val="00CD34FC"/>
    <w:rsid w:val="00CD3D5B"/>
    <w:rsid w:val="00CD3FE9"/>
    <w:rsid w:val="00CD49B6"/>
    <w:rsid w:val="00CD4AA9"/>
    <w:rsid w:val="00CD50A3"/>
    <w:rsid w:val="00CD519D"/>
    <w:rsid w:val="00CD68C8"/>
    <w:rsid w:val="00CD69B4"/>
    <w:rsid w:val="00CD74D5"/>
    <w:rsid w:val="00CD7EC6"/>
    <w:rsid w:val="00CE0074"/>
    <w:rsid w:val="00CE06CF"/>
    <w:rsid w:val="00CE075B"/>
    <w:rsid w:val="00CE0B76"/>
    <w:rsid w:val="00CE0F8B"/>
    <w:rsid w:val="00CE15B3"/>
    <w:rsid w:val="00CE1B0B"/>
    <w:rsid w:val="00CE1E75"/>
    <w:rsid w:val="00CE201D"/>
    <w:rsid w:val="00CE226A"/>
    <w:rsid w:val="00CE2B20"/>
    <w:rsid w:val="00CE2B75"/>
    <w:rsid w:val="00CE3100"/>
    <w:rsid w:val="00CE37C0"/>
    <w:rsid w:val="00CE3884"/>
    <w:rsid w:val="00CE493E"/>
    <w:rsid w:val="00CE4BBF"/>
    <w:rsid w:val="00CE4BD9"/>
    <w:rsid w:val="00CE5027"/>
    <w:rsid w:val="00CE53DC"/>
    <w:rsid w:val="00CE5E84"/>
    <w:rsid w:val="00CE6374"/>
    <w:rsid w:val="00CE6627"/>
    <w:rsid w:val="00CE680B"/>
    <w:rsid w:val="00CE6F6F"/>
    <w:rsid w:val="00CE7DD1"/>
    <w:rsid w:val="00CF02E4"/>
    <w:rsid w:val="00CF03E6"/>
    <w:rsid w:val="00CF0401"/>
    <w:rsid w:val="00CF1427"/>
    <w:rsid w:val="00CF1583"/>
    <w:rsid w:val="00CF18E9"/>
    <w:rsid w:val="00CF190B"/>
    <w:rsid w:val="00CF23E7"/>
    <w:rsid w:val="00CF276F"/>
    <w:rsid w:val="00CF29EF"/>
    <w:rsid w:val="00CF3C37"/>
    <w:rsid w:val="00CF3C91"/>
    <w:rsid w:val="00CF446C"/>
    <w:rsid w:val="00CF4BFD"/>
    <w:rsid w:val="00CF4FD5"/>
    <w:rsid w:val="00CF57B2"/>
    <w:rsid w:val="00CF5EF9"/>
    <w:rsid w:val="00CF61C4"/>
    <w:rsid w:val="00CF65DD"/>
    <w:rsid w:val="00CF67B7"/>
    <w:rsid w:val="00CF680F"/>
    <w:rsid w:val="00CF6983"/>
    <w:rsid w:val="00CF704F"/>
    <w:rsid w:val="00CF76AD"/>
    <w:rsid w:val="00CF7A16"/>
    <w:rsid w:val="00CF7C42"/>
    <w:rsid w:val="00D0000D"/>
    <w:rsid w:val="00D00CA7"/>
    <w:rsid w:val="00D00FF4"/>
    <w:rsid w:val="00D01709"/>
    <w:rsid w:val="00D01C0F"/>
    <w:rsid w:val="00D01DF2"/>
    <w:rsid w:val="00D02BB5"/>
    <w:rsid w:val="00D02E31"/>
    <w:rsid w:val="00D033A0"/>
    <w:rsid w:val="00D034F1"/>
    <w:rsid w:val="00D03652"/>
    <w:rsid w:val="00D03673"/>
    <w:rsid w:val="00D0369F"/>
    <w:rsid w:val="00D03807"/>
    <w:rsid w:val="00D039DE"/>
    <w:rsid w:val="00D04261"/>
    <w:rsid w:val="00D04280"/>
    <w:rsid w:val="00D0451C"/>
    <w:rsid w:val="00D046BD"/>
    <w:rsid w:val="00D054DE"/>
    <w:rsid w:val="00D0567F"/>
    <w:rsid w:val="00D06356"/>
    <w:rsid w:val="00D065A4"/>
    <w:rsid w:val="00D067DA"/>
    <w:rsid w:val="00D06DF5"/>
    <w:rsid w:val="00D07110"/>
    <w:rsid w:val="00D07783"/>
    <w:rsid w:val="00D0792F"/>
    <w:rsid w:val="00D07E79"/>
    <w:rsid w:val="00D1044B"/>
    <w:rsid w:val="00D10CDD"/>
    <w:rsid w:val="00D1154C"/>
    <w:rsid w:val="00D118EF"/>
    <w:rsid w:val="00D11F7C"/>
    <w:rsid w:val="00D11FAA"/>
    <w:rsid w:val="00D1293A"/>
    <w:rsid w:val="00D12ACF"/>
    <w:rsid w:val="00D12BDB"/>
    <w:rsid w:val="00D13083"/>
    <w:rsid w:val="00D13291"/>
    <w:rsid w:val="00D133CF"/>
    <w:rsid w:val="00D13412"/>
    <w:rsid w:val="00D1347B"/>
    <w:rsid w:val="00D13CE9"/>
    <w:rsid w:val="00D13D57"/>
    <w:rsid w:val="00D1411C"/>
    <w:rsid w:val="00D1423C"/>
    <w:rsid w:val="00D143C1"/>
    <w:rsid w:val="00D1524D"/>
    <w:rsid w:val="00D15506"/>
    <w:rsid w:val="00D159DD"/>
    <w:rsid w:val="00D15C63"/>
    <w:rsid w:val="00D168F8"/>
    <w:rsid w:val="00D17AD7"/>
    <w:rsid w:val="00D17E8A"/>
    <w:rsid w:val="00D2064F"/>
    <w:rsid w:val="00D20AD1"/>
    <w:rsid w:val="00D20B60"/>
    <w:rsid w:val="00D20EE4"/>
    <w:rsid w:val="00D2174B"/>
    <w:rsid w:val="00D21908"/>
    <w:rsid w:val="00D224A1"/>
    <w:rsid w:val="00D22DEA"/>
    <w:rsid w:val="00D2311D"/>
    <w:rsid w:val="00D23465"/>
    <w:rsid w:val="00D238A2"/>
    <w:rsid w:val="00D238E5"/>
    <w:rsid w:val="00D240FF"/>
    <w:rsid w:val="00D24194"/>
    <w:rsid w:val="00D24D6B"/>
    <w:rsid w:val="00D25406"/>
    <w:rsid w:val="00D259E9"/>
    <w:rsid w:val="00D25AC4"/>
    <w:rsid w:val="00D25B4E"/>
    <w:rsid w:val="00D26247"/>
    <w:rsid w:val="00D268FD"/>
    <w:rsid w:val="00D26CFD"/>
    <w:rsid w:val="00D26EA7"/>
    <w:rsid w:val="00D26FE6"/>
    <w:rsid w:val="00D271A8"/>
    <w:rsid w:val="00D272BE"/>
    <w:rsid w:val="00D27431"/>
    <w:rsid w:val="00D27491"/>
    <w:rsid w:val="00D27505"/>
    <w:rsid w:val="00D27768"/>
    <w:rsid w:val="00D278C4"/>
    <w:rsid w:val="00D278E7"/>
    <w:rsid w:val="00D27AD6"/>
    <w:rsid w:val="00D27D3A"/>
    <w:rsid w:val="00D30954"/>
    <w:rsid w:val="00D30D09"/>
    <w:rsid w:val="00D30D50"/>
    <w:rsid w:val="00D30D6E"/>
    <w:rsid w:val="00D31017"/>
    <w:rsid w:val="00D3187D"/>
    <w:rsid w:val="00D322BD"/>
    <w:rsid w:val="00D33013"/>
    <w:rsid w:val="00D330ED"/>
    <w:rsid w:val="00D33125"/>
    <w:rsid w:val="00D3316F"/>
    <w:rsid w:val="00D33589"/>
    <w:rsid w:val="00D33EDD"/>
    <w:rsid w:val="00D344AD"/>
    <w:rsid w:val="00D34569"/>
    <w:rsid w:val="00D3461C"/>
    <w:rsid w:val="00D346AD"/>
    <w:rsid w:val="00D348EE"/>
    <w:rsid w:val="00D34A55"/>
    <w:rsid w:val="00D34F5E"/>
    <w:rsid w:val="00D3517B"/>
    <w:rsid w:val="00D357E3"/>
    <w:rsid w:val="00D3695C"/>
    <w:rsid w:val="00D37818"/>
    <w:rsid w:val="00D37981"/>
    <w:rsid w:val="00D405C3"/>
    <w:rsid w:val="00D40C33"/>
    <w:rsid w:val="00D40D71"/>
    <w:rsid w:val="00D410A1"/>
    <w:rsid w:val="00D41345"/>
    <w:rsid w:val="00D41A7A"/>
    <w:rsid w:val="00D423D6"/>
    <w:rsid w:val="00D42765"/>
    <w:rsid w:val="00D42773"/>
    <w:rsid w:val="00D42997"/>
    <w:rsid w:val="00D42B0D"/>
    <w:rsid w:val="00D42D05"/>
    <w:rsid w:val="00D4301A"/>
    <w:rsid w:val="00D4311D"/>
    <w:rsid w:val="00D432C8"/>
    <w:rsid w:val="00D4397C"/>
    <w:rsid w:val="00D43A52"/>
    <w:rsid w:val="00D43A88"/>
    <w:rsid w:val="00D43B06"/>
    <w:rsid w:val="00D43B6E"/>
    <w:rsid w:val="00D44224"/>
    <w:rsid w:val="00D44F9B"/>
    <w:rsid w:val="00D45028"/>
    <w:rsid w:val="00D45100"/>
    <w:rsid w:val="00D4513B"/>
    <w:rsid w:val="00D4516A"/>
    <w:rsid w:val="00D45184"/>
    <w:rsid w:val="00D4570C"/>
    <w:rsid w:val="00D45817"/>
    <w:rsid w:val="00D4586D"/>
    <w:rsid w:val="00D45A54"/>
    <w:rsid w:val="00D45AFF"/>
    <w:rsid w:val="00D45D70"/>
    <w:rsid w:val="00D464F6"/>
    <w:rsid w:val="00D4678A"/>
    <w:rsid w:val="00D46D41"/>
    <w:rsid w:val="00D4715B"/>
    <w:rsid w:val="00D47E45"/>
    <w:rsid w:val="00D50270"/>
    <w:rsid w:val="00D503B0"/>
    <w:rsid w:val="00D50AAB"/>
    <w:rsid w:val="00D50D67"/>
    <w:rsid w:val="00D50EDF"/>
    <w:rsid w:val="00D5186C"/>
    <w:rsid w:val="00D51969"/>
    <w:rsid w:val="00D51F96"/>
    <w:rsid w:val="00D528B7"/>
    <w:rsid w:val="00D52934"/>
    <w:rsid w:val="00D52EFC"/>
    <w:rsid w:val="00D53545"/>
    <w:rsid w:val="00D53BDC"/>
    <w:rsid w:val="00D53C8E"/>
    <w:rsid w:val="00D53FB8"/>
    <w:rsid w:val="00D54148"/>
    <w:rsid w:val="00D546FE"/>
    <w:rsid w:val="00D54FBE"/>
    <w:rsid w:val="00D55080"/>
    <w:rsid w:val="00D5579A"/>
    <w:rsid w:val="00D55A36"/>
    <w:rsid w:val="00D55D18"/>
    <w:rsid w:val="00D55F4B"/>
    <w:rsid w:val="00D56332"/>
    <w:rsid w:val="00D568F3"/>
    <w:rsid w:val="00D57012"/>
    <w:rsid w:val="00D57302"/>
    <w:rsid w:val="00D574C2"/>
    <w:rsid w:val="00D57624"/>
    <w:rsid w:val="00D57D21"/>
    <w:rsid w:val="00D6020A"/>
    <w:rsid w:val="00D61344"/>
    <w:rsid w:val="00D621D3"/>
    <w:rsid w:val="00D62276"/>
    <w:rsid w:val="00D62688"/>
    <w:rsid w:val="00D63087"/>
    <w:rsid w:val="00D633B6"/>
    <w:rsid w:val="00D6362B"/>
    <w:rsid w:val="00D6428E"/>
    <w:rsid w:val="00D64413"/>
    <w:rsid w:val="00D64833"/>
    <w:rsid w:val="00D6490F"/>
    <w:rsid w:val="00D655E5"/>
    <w:rsid w:val="00D66129"/>
    <w:rsid w:val="00D666DF"/>
    <w:rsid w:val="00D667F6"/>
    <w:rsid w:val="00D66808"/>
    <w:rsid w:val="00D668F4"/>
    <w:rsid w:val="00D6694C"/>
    <w:rsid w:val="00D66B23"/>
    <w:rsid w:val="00D671A1"/>
    <w:rsid w:val="00D671CF"/>
    <w:rsid w:val="00D675AD"/>
    <w:rsid w:val="00D676F6"/>
    <w:rsid w:val="00D67ECA"/>
    <w:rsid w:val="00D70488"/>
    <w:rsid w:val="00D70DBF"/>
    <w:rsid w:val="00D71BC4"/>
    <w:rsid w:val="00D71FF7"/>
    <w:rsid w:val="00D72222"/>
    <w:rsid w:val="00D72407"/>
    <w:rsid w:val="00D725A6"/>
    <w:rsid w:val="00D73DEE"/>
    <w:rsid w:val="00D741B5"/>
    <w:rsid w:val="00D741F0"/>
    <w:rsid w:val="00D74312"/>
    <w:rsid w:val="00D748D0"/>
    <w:rsid w:val="00D74CC6"/>
    <w:rsid w:val="00D75342"/>
    <w:rsid w:val="00D75E14"/>
    <w:rsid w:val="00D763F7"/>
    <w:rsid w:val="00D7719B"/>
    <w:rsid w:val="00D771E2"/>
    <w:rsid w:val="00D77576"/>
    <w:rsid w:val="00D778C5"/>
    <w:rsid w:val="00D77951"/>
    <w:rsid w:val="00D77B02"/>
    <w:rsid w:val="00D77E66"/>
    <w:rsid w:val="00D77E9E"/>
    <w:rsid w:val="00D8032E"/>
    <w:rsid w:val="00D808F7"/>
    <w:rsid w:val="00D80AB0"/>
    <w:rsid w:val="00D80CE9"/>
    <w:rsid w:val="00D80FA7"/>
    <w:rsid w:val="00D819B6"/>
    <w:rsid w:val="00D8249C"/>
    <w:rsid w:val="00D82E3B"/>
    <w:rsid w:val="00D82F96"/>
    <w:rsid w:val="00D830F4"/>
    <w:rsid w:val="00D8325D"/>
    <w:rsid w:val="00D83B39"/>
    <w:rsid w:val="00D83CCA"/>
    <w:rsid w:val="00D83D05"/>
    <w:rsid w:val="00D83E2E"/>
    <w:rsid w:val="00D83FAB"/>
    <w:rsid w:val="00D83FDD"/>
    <w:rsid w:val="00D8418A"/>
    <w:rsid w:val="00D85119"/>
    <w:rsid w:val="00D851DC"/>
    <w:rsid w:val="00D8550B"/>
    <w:rsid w:val="00D858D1"/>
    <w:rsid w:val="00D85B6B"/>
    <w:rsid w:val="00D860AA"/>
    <w:rsid w:val="00D86770"/>
    <w:rsid w:val="00D8705A"/>
    <w:rsid w:val="00D871FC"/>
    <w:rsid w:val="00D87414"/>
    <w:rsid w:val="00D902DD"/>
    <w:rsid w:val="00D90540"/>
    <w:rsid w:val="00D90F4D"/>
    <w:rsid w:val="00D9122E"/>
    <w:rsid w:val="00D9158E"/>
    <w:rsid w:val="00D91724"/>
    <w:rsid w:val="00D91739"/>
    <w:rsid w:val="00D92010"/>
    <w:rsid w:val="00D924F7"/>
    <w:rsid w:val="00D9260A"/>
    <w:rsid w:val="00D92AD2"/>
    <w:rsid w:val="00D93A40"/>
    <w:rsid w:val="00D93CA3"/>
    <w:rsid w:val="00D93DA3"/>
    <w:rsid w:val="00D93EF8"/>
    <w:rsid w:val="00D94BBA"/>
    <w:rsid w:val="00D9503C"/>
    <w:rsid w:val="00D95D58"/>
    <w:rsid w:val="00D968F0"/>
    <w:rsid w:val="00D96A28"/>
    <w:rsid w:val="00D97365"/>
    <w:rsid w:val="00D979A2"/>
    <w:rsid w:val="00D97B36"/>
    <w:rsid w:val="00DA00AD"/>
    <w:rsid w:val="00DA0702"/>
    <w:rsid w:val="00DA0FEC"/>
    <w:rsid w:val="00DA1118"/>
    <w:rsid w:val="00DA12FD"/>
    <w:rsid w:val="00DA14A3"/>
    <w:rsid w:val="00DA18E1"/>
    <w:rsid w:val="00DA251C"/>
    <w:rsid w:val="00DA28CE"/>
    <w:rsid w:val="00DA2BAA"/>
    <w:rsid w:val="00DA2CD6"/>
    <w:rsid w:val="00DA3139"/>
    <w:rsid w:val="00DA33B8"/>
    <w:rsid w:val="00DA3A8D"/>
    <w:rsid w:val="00DA3E16"/>
    <w:rsid w:val="00DA4A13"/>
    <w:rsid w:val="00DA4E46"/>
    <w:rsid w:val="00DA4ECC"/>
    <w:rsid w:val="00DA5075"/>
    <w:rsid w:val="00DA60FB"/>
    <w:rsid w:val="00DA6358"/>
    <w:rsid w:val="00DA635E"/>
    <w:rsid w:val="00DA6FBD"/>
    <w:rsid w:val="00DA72BC"/>
    <w:rsid w:val="00DA7569"/>
    <w:rsid w:val="00DA75CE"/>
    <w:rsid w:val="00DB0012"/>
    <w:rsid w:val="00DB0916"/>
    <w:rsid w:val="00DB0A2D"/>
    <w:rsid w:val="00DB0F9A"/>
    <w:rsid w:val="00DB162F"/>
    <w:rsid w:val="00DB170C"/>
    <w:rsid w:val="00DB1910"/>
    <w:rsid w:val="00DB1E53"/>
    <w:rsid w:val="00DB230C"/>
    <w:rsid w:val="00DB29E5"/>
    <w:rsid w:val="00DB2B60"/>
    <w:rsid w:val="00DB2BB9"/>
    <w:rsid w:val="00DB3166"/>
    <w:rsid w:val="00DB3320"/>
    <w:rsid w:val="00DB395D"/>
    <w:rsid w:val="00DB3A88"/>
    <w:rsid w:val="00DB4212"/>
    <w:rsid w:val="00DB4222"/>
    <w:rsid w:val="00DB45DC"/>
    <w:rsid w:val="00DB4747"/>
    <w:rsid w:val="00DB4E8C"/>
    <w:rsid w:val="00DB5A14"/>
    <w:rsid w:val="00DB603F"/>
    <w:rsid w:val="00DB6FFE"/>
    <w:rsid w:val="00DB702B"/>
    <w:rsid w:val="00DB7855"/>
    <w:rsid w:val="00DB7E8F"/>
    <w:rsid w:val="00DC0294"/>
    <w:rsid w:val="00DC07D9"/>
    <w:rsid w:val="00DC0A1A"/>
    <w:rsid w:val="00DC100F"/>
    <w:rsid w:val="00DC1098"/>
    <w:rsid w:val="00DC120E"/>
    <w:rsid w:val="00DC18D3"/>
    <w:rsid w:val="00DC1CB9"/>
    <w:rsid w:val="00DC1EF2"/>
    <w:rsid w:val="00DC2844"/>
    <w:rsid w:val="00DC2B89"/>
    <w:rsid w:val="00DC2CF7"/>
    <w:rsid w:val="00DC2D28"/>
    <w:rsid w:val="00DC2D7A"/>
    <w:rsid w:val="00DC2D7D"/>
    <w:rsid w:val="00DC3833"/>
    <w:rsid w:val="00DC3D01"/>
    <w:rsid w:val="00DC3F2A"/>
    <w:rsid w:val="00DC3F39"/>
    <w:rsid w:val="00DC46B7"/>
    <w:rsid w:val="00DC47EC"/>
    <w:rsid w:val="00DC4A2C"/>
    <w:rsid w:val="00DC5144"/>
    <w:rsid w:val="00DC51AB"/>
    <w:rsid w:val="00DC5719"/>
    <w:rsid w:val="00DC639D"/>
    <w:rsid w:val="00DC66CA"/>
    <w:rsid w:val="00DC678B"/>
    <w:rsid w:val="00DC680B"/>
    <w:rsid w:val="00DC6B96"/>
    <w:rsid w:val="00DC7465"/>
    <w:rsid w:val="00DC77F0"/>
    <w:rsid w:val="00DC7829"/>
    <w:rsid w:val="00DD04EB"/>
    <w:rsid w:val="00DD0548"/>
    <w:rsid w:val="00DD070D"/>
    <w:rsid w:val="00DD0BE2"/>
    <w:rsid w:val="00DD14EF"/>
    <w:rsid w:val="00DD1701"/>
    <w:rsid w:val="00DD1A38"/>
    <w:rsid w:val="00DD1A66"/>
    <w:rsid w:val="00DD1D2A"/>
    <w:rsid w:val="00DD1E7B"/>
    <w:rsid w:val="00DD2048"/>
    <w:rsid w:val="00DD21AC"/>
    <w:rsid w:val="00DD222B"/>
    <w:rsid w:val="00DD227B"/>
    <w:rsid w:val="00DD2365"/>
    <w:rsid w:val="00DD23EE"/>
    <w:rsid w:val="00DD24A0"/>
    <w:rsid w:val="00DD333E"/>
    <w:rsid w:val="00DD3B65"/>
    <w:rsid w:val="00DD3E59"/>
    <w:rsid w:val="00DD4602"/>
    <w:rsid w:val="00DD46FB"/>
    <w:rsid w:val="00DD47FD"/>
    <w:rsid w:val="00DD48BF"/>
    <w:rsid w:val="00DD4BF4"/>
    <w:rsid w:val="00DD4F20"/>
    <w:rsid w:val="00DD50BB"/>
    <w:rsid w:val="00DD51F6"/>
    <w:rsid w:val="00DD54BB"/>
    <w:rsid w:val="00DD5AE7"/>
    <w:rsid w:val="00DD6004"/>
    <w:rsid w:val="00DD6A11"/>
    <w:rsid w:val="00DD6F2C"/>
    <w:rsid w:val="00DD7091"/>
    <w:rsid w:val="00DD7295"/>
    <w:rsid w:val="00DD763F"/>
    <w:rsid w:val="00DE029B"/>
    <w:rsid w:val="00DE05BE"/>
    <w:rsid w:val="00DE0711"/>
    <w:rsid w:val="00DE1987"/>
    <w:rsid w:val="00DE2158"/>
    <w:rsid w:val="00DE2372"/>
    <w:rsid w:val="00DE2891"/>
    <w:rsid w:val="00DE2D25"/>
    <w:rsid w:val="00DE2D75"/>
    <w:rsid w:val="00DE30FC"/>
    <w:rsid w:val="00DE34AA"/>
    <w:rsid w:val="00DE352C"/>
    <w:rsid w:val="00DE392E"/>
    <w:rsid w:val="00DE3A6F"/>
    <w:rsid w:val="00DE3BCC"/>
    <w:rsid w:val="00DE3C19"/>
    <w:rsid w:val="00DE3F13"/>
    <w:rsid w:val="00DE3F88"/>
    <w:rsid w:val="00DE3FA0"/>
    <w:rsid w:val="00DE40D4"/>
    <w:rsid w:val="00DE429E"/>
    <w:rsid w:val="00DE44E8"/>
    <w:rsid w:val="00DE478D"/>
    <w:rsid w:val="00DE4F99"/>
    <w:rsid w:val="00DE53C3"/>
    <w:rsid w:val="00DE5407"/>
    <w:rsid w:val="00DE5EA5"/>
    <w:rsid w:val="00DE5EE3"/>
    <w:rsid w:val="00DE7219"/>
    <w:rsid w:val="00DE750A"/>
    <w:rsid w:val="00DE7852"/>
    <w:rsid w:val="00DE7BB5"/>
    <w:rsid w:val="00DF084B"/>
    <w:rsid w:val="00DF09CD"/>
    <w:rsid w:val="00DF0C11"/>
    <w:rsid w:val="00DF0F86"/>
    <w:rsid w:val="00DF1167"/>
    <w:rsid w:val="00DF1291"/>
    <w:rsid w:val="00DF12FF"/>
    <w:rsid w:val="00DF1474"/>
    <w:rsid w:val="00DF1700"/>
    <w:rsid w:val="00DF2006"/>
    <w:rsid w:val="00DF2085"/>
    <w:rsid w:val="00DF23B7"/>
    <w:rsid w:val="00DF28EF"/>
    <w:rsid w:val="00DF3196"/>
    <w:rsid w:val="00DF33FD"/>
    <w:rsid w:val="00DF3B23"/>
    <w:rsid w:val="00DF3CBF"/>
    <w:rsid w:val="00DF40A5"/>
    <w:rsid w:val="00DF4BB0"/>
    <w:rsid w:val="00DF4C6F"/>
    <w:rsid w:val="00DF4D4F"/>
    <w:rsid w:val="00DF4D72"/>
    <w:rsid w:val="00DF4E70"/>
    <w:rsid w:val="00DF5035"/>
    <w:rsid w:val="00DF51DD"/>
    <w:rsid w:val="00DF5FF9"/>
    <w:rsid w:val="00DF6667"/>
    <w:rsid w:val="00DF69CA"/>
    <w:rsid w:val="00DF6C42"/>
    <w:rsid w:val="00DF71C2"/>
    <w:rsid w:val="00DF7312"/>
    <w:rsid w:val="00DF7485"/>
    <w:rsid w:val="00DF754E"/>
    <w:rsid w:val="00E00236"/>
    <w:rsid w:val="00E0068C"/>
    <w:rsid w:val="00E00711"/>
    <w:rsid w:val="00E00845"/>
    <w:rsid w:val="00E009F4"/>
    <w:rsid w:val="00E01E4D"/>
    <w:rsid w:val="00E020AD"/>
    <w:rsid w:val="00E021BA"/>
    <w:rsid w:val="00E02400"/>
    <w:rsid w:val="00E0247B"/>
    <w:rsid w:val="00E02511"/>
    <w:rsid w:val="00E02836"/>
    <w:rsid w:val="00E02869"/>
    <w:rsid w:val="00E0298C"/>
    <w:rsid w:val="00E02A64"/>
    <w:rsid w:val="00E02A6F"/>
    <w:rsid w:val="00E02B94"/>
    <w:rsid w:val="00E02FF9"/>
    <w:rsid w:val="00E03028"/>
    <w:rsid w:val="00E03675"/>
    <w:rsid w:val="00E03744"/>
    <w:rsid w:val="00E04173"/>
    <w:rsid w:val="00E046D5"/>
    <w:rsid w:val="00E05026"/>
    <w:rsid w:val="00E0511E"/>
    <w:rsid w:val="00E05342"/>
    <w:rsid w:val="00E059A0"/>
    <w:rsid w:val="00E06665"/>
    <w:rsid w:val="00E066CA"/>
    <w:rsid w:val="00E06ADC"/>
    <w:rsid w:val="00E06CAC"/>
    <w:rsid w:val="00E06F0B"/>
    <w:rsid w:val="00E07086"/>
    <w:rsid w:val="00E07391"/>
    <w:rsid w:val="00E078AA"/>
    <w:rsid w:val="00E0792A"/>
    <w:rsid w:val="00E07DCA"/>
    <w:rsid w:val="00E102CC"/>
    <w:rsid w:val="00E1087F"/>
    <w:rsid w:val="00E10884"/>
    <w:rsid w:val="00E10A68"/>
    <w:rsid w:val="00E10BEE"/>
    <w:rsid w:val="00E11D06"/>
    <w:rsid w:val="00E11DAD"/>
    <w:rsid w:val="00E12412"/>
    <w:rsid w:val="00E12CBD"/>
    <w:rsid w:val="00E134DE"/>
    <w:rsid w:val="00E135E8"/>
    <w:rsid w:val="00E13F9B"/>
    <w:rsid w:val="00E1402E"/>
    <w:rsid w:val="00E14283"/>
    <w:rsid w:val="00E14994"/>
    <w:rsid w:val="00E152DE"/>
    <w:rsid w:val="00E15AD2"/>
    <w:rsid w:val="00E16A60"/>
    <w:rsid w:val="00E16CBF"/>
    <w:rsid w:val="00E1729C"/>
    <w:rsid w:val="00E17842"/>
    <w:rsid w:val="00E20B8C"/>
    <w:rsid w:val="00E21178"/>
    <w:rsid w:val="00E2122B"/>
    <w:rsid w:val="00E217BB"/>
    <w:rsid w:val="00E22AAD"/>
    <w:rsid w:val="00E22D79"/>
    <w:rsid w:val="00E243B6"/>
    <w:rsid w:val="00E24790"/>
    <w:rsid w:val="00E24F29"/>
    <w:rsid w:val="00E2504A"/>
    <w:rsid w:val="00E2511C"/>
    <w:rsid w:val="00E253E8"/>
    <w:rsid w:val="00E25E7E"/>
    <w:rsid w:val="00E261E8"/>
    <w:rsid w:val="00E26820"/>
    <w:rsid w:val="00E26C68"/>
    <w:rsid w:val="00E2715D"/>
    <w:rsid w:val="00E2761C"/>
    <w:rsid w:val="00E278AB"/>
    <w:rsid w:val="00E27901"/>
    <w:rsid w:val="00E27C13"/>
    <w:rsid w:val="00E27C35"/>
    <w:rsid w:val="00E27E25"/>
    <w:rsid w:val="00E27F85"/>
    <w:rsid w:val="00E3022B"/>
    <w:rsid w:val="00E30328"/>
    <w:rsid w:val="00E3096E"/>
    <w:rsid w:val="00E30B88"/>
    <w:rsid w:val="00E30EF9"/>
    <w:rsid w:val="00E31040"/>
    <w:rsid w:val="00E315A3"/>
    <w:rsid w:val="00E317AD"/>
    <w:rsid w:val="00E31EE0"/>
    <w:rsid w:val="00E32362"/>
    <w:rsid w:val="00E32E1E"/>
    <w:rsid w:val="00E32E26"/>
    <w:rsid w:val="00E332D0"/>
    <w:rsid w:val="00E3351E"/>
    <w:rsid w:val="00E33B09"/>
    <w:rsid w:val="00E33E50"/>
    <w:rsid w:val="00E3429D"/>
    <w:rsid w:val="00E34D76"/>
    <w:rsid w:val="00E34F3C"/>
    <w:rsid w:val="00E35074"/>
    <w:rsid w:val="00E35366"/>
    <w:rsid w:val="00E35393"/>
    <w:rsid w:val="00E35A6B"/>
    <w:rsid w:val="00E35C12"/>
    <w:rsid w:val="00E3687F"/>
    <w:rsid w:val="00E3749F"/>
    <w:rsid w:val="00E37794"/>
    <w:rsid w:val="00E3787C"/>
    <w:rsid w:val="00E37BDC"/>
    <w:rsid w:val="00E37E97"/>
    <w:rsid w:val="00E37F4F"/>
    <w:rsid w:val="00E40C63"/>
    <w:rsid w:val="00E41006"/>
    <w:rsid w:val="00E410B2"/>
    <w:rsid w:val="00E412FF"/>
    <w:rsid w:val="00E41555"/>
    <w:rsid w:val="00E41624"/>
    <w:rsid w:val="00E4194D"/>
    <w:rsid w:val="00E41A1F"/>
    <w:rsid w:val="00E428BA"/>
    <w:rsid w:val="00E42D87"/>
    <w:rsid w:val="00E42E2A"/>
    <w:rsid w:val="00E430A1"/>
    <w:rsid w:val="00E4402E"/>
    <w:rsid w:val="00E44166"/>
    <w:rsid w:val="00E4444F"/>
    <w:rsid w:val="00E4480B"/>
    <w:rsid w:val="00E4481A"/>
    <w:rsid w:val="00E44A3A"/>
    <w:rsid w:val="00E44B06"/>
    <w:rsid w:val="00E44EB6"/>
    <w:rsid w:val="00E45174"/>
    <w:rsid w:val="00E45804"/>
    <w:rsid w:val="00E45B20"/>
    <w:rsid w:val="00E460AB"/>
    <w:rsid w:val="00E4668A"/>
    <w:rsid w:val="00E46A20"/>
    <w:rsid w:val="00E476E3"/>
    <w:rsid w:val="00E501A4"/>
    <w:rsid w:val="00E501D3"/>
    <w:rsid w:val="00E50642"/>
    <w:rsid w:val="00E5083B"/>
    <w:rsid w:val="00E50F16"/>
    <w:rsid w:val="00E50F90"/>
    <w:rsid w:val="00E51ECE"/>
    <w:rsid w:val="00E52102"/>
    <w:rsid w:val="00E52A99"/>
    <w:rsid w:val="00E52C6F"/>
    <w:rsid w:val="00E530B5"/>
    <w:rsid w:val="00E5322E"/>
    <w:rsid w:val="00E53282"/>
    <w:rsid w:val="00E533FD"/>
    <w:rsid w:val="00E53E5C"/>
    <w:rsid w:val="00E53FBB"/>
    <w:rsid w:val="00E54315"/>
    <w:rsid w:val="00E54543"/>
    <w:rsid w:val="00E54733"/>
    <w:rsid w:val="00E54741"/>
    <w:rsid w:val="00E5499A"/>
    <w:rsid w:val="00E54C73"/>
    <w:rsid w:val="00E551B5"/>
    <w:rsid w:val="00E552A1"/>
    <w:rsid w:val="00E55372"/>
    <w:rsid w:val="00E556E9"/>
    <w:rsid w:val="00E55939"/>
    <w:rsid w:val="00E55F2F"/>
    <w:rsid w:val="00E56025"/>
    <w:rsid w:val="00E56794"/>
    <w:rsid w:val="00E57482"/>
    <w:rsid w:val="00E5781A"/>
    <w:rsid w:val="00E57933"/>
    <w:rsid w:val="00E57A73"/>
    <w:rsid w:val="00E57BC7"/>
    <w:rsid w:val="00E60070"/>
    <w:rsid w:val="00E60CB7"/>
    <w:rsid w:val="00E612FD"/>
    <w:rsid w:val="00E61ADD"/>
    <w:rsid w:val="00E61BC2"/>
    <w:rsid w:val="00E61F4B"/>
    <w:rsid w:val="00E620EC"/>
    <w:rsid w:val="00E62669"/>
    <w:rsid w:val="00E629C1"/>
    <w:rsid w:val="00E62B78"/>
    <w:rsid w:val="00E62D33"/>
    <w:rsid w:val="00E630CF"/>
    <w:rsid w:val="00E636F1"/>
    <w:rsid w:val="00E639AD"/>
    <w:rsid w:val="00E63A7A"/>
    <w:rsid w:val="00E63CD2"/>
    <w:rsid w:val="00E64030"/>
    <w:rsid w:val="00E641FE"/>
    <w:rsid w:val="00E64A3E"/>
    <w:rsid w:val="00E64DE0"/>
    <w:rsid w:val="00E64E25"/>
    <w:rsid w:val="00E64E9B"/>
    <w:rsid w:val="00E652E3"/>
    <w:rsid w:val="00E6547F"/>
    <w:rsid w:val="00E6565B"/>
    <w:rsid w:val="00E65B1B"/>
    <w:rsid w:val="00E660D4"/>
    <w:rsid w:val="00E663D6"/>
    <w:rsid w:val="00E6668C"/>
    <w:rsid w:val="00E666AA"/>
    <w:rsid w:val="00E673E2"/>
    <w:rsid w:val="00E675F6"/>
    <w:rsid w:val="00E67B6C"/>
    <w:rsid w:val="00E67B72"/>
    <w:rsid w:val="00E67E67"/>
    <w:rsid w:val="00E67F31"/>
    <w:rsid w:val="00E70557"/>
    <w:rsid w:val="00E70AED"/>
    <w:rsid w:val="00E70F2C"/>
    <w:rsid w:val="00E71132"/>
    <w:rsid w:val="00E714B4"/>
    <w:rsid w:val="00E7159D"/>
    <w:rsid w:val="00E71AA8"/>
    <w:rsid w:val="00E71C65"/>
    <w:rsid w:val="00E71F01"/>
    <w:rsid w:val="00E71F36"/>
    <w:rsid w:val="00E72093"/>
    <w:rsid w:val="00E7215A"/>
    <w:rsid w:val="00E721D9"/>
    <w:rsid w:val="00E73210"/>
    <w:rsid w:val="00E73746"/>
    <w:rsid w:val="00E738DE"/>
    <w:rsid w:val="00E73D32"/>
    <w:rsid w:val="00E740A7"/>
    <w:rsid w:val="00E74457"/>
    <w:rsid w:val="00E749C9"/>
    <w:rsid w:val="00E74AF0"/>
    <w:rsid w:val="00E74E1C"/>
    <w:rsid w:val="00E75C48"/>
    <w:rsid w:val="00E76362"/>
    <w:rsid w:val="00E76AED"/>
    <w:rsid w:val="00E76B26"/>
    <w:rsid w:val="00E76BE4"/>
    <w:rsid w:val="00E76D27"/>
    <w:rsid w:val="00E76F83"/>
    <w:rsid w:val="00E77A1F"/>
    <w:rsid w:val="00E77B66"/>
    <w:rsid w:val="00E77D4E"/>
    <w:rsid w:val="00E80534"/>
    <w:rsid w:val="00E808CC"/>
    <w:rsid w:val="00E809FE"/>
    <w:rsid w:val="00E80DD4"/>
    <w:rsid w:val="00E80FFF"/>
    <w:rsid w:val="00E81059"/>
    <w:rsid w:val="00E81B65"/>
    <w:rsid w:val="00E8216C"/>
    <w:rsid w:val="00E822A1"/>
    <w:rsid w:val="00E82521"/>
    <w:rsid w:val="00E8253F"/>
    <w:rsid w:val="00E82587"/>
    <w:rsid w:val="00E82999"/>
    <w:rsid w:val="00E833D3"/>
    <w:rsid w:val="00E83B35"/>
    <w:rsid w:val="00E845FA"/>
    <w:rsid w:val="00E84EE3"/>
    <w:rsid w:val="00E857C1"/>
    <w:rsid w:val="00E85811"/>
    <w:rsid w:val="00E85B60"/>
    <w:rsid w:val="00E85CF1"/>
    <w:rsid w:val="00E86670"/>
    <w:rsid w:val="00E8673F"/>
    <w:rsid w:val="00E86C15"/>
    <w:rsid w:val="00E8716C"/>
    <w:rsid w:val="00E877CD"/>
    <w:rsid w:val="00E87851"/>
    <w:rsid w:val="00E8799B"/>
    <w:rsid w:val="00E87C0A"/>
    <w:rsid w:val="00E90418"/>
    <w:rsid w:val="00E90695"/>
    <w:rsid w:val="00E91067"/>
    <w:rsid w:val="00E912FE"/>
    <w:rsid w:val="00E91437"/>
    <w:rsid w:val="00E916E4"/>
    <w:rsid w:val="00E9173C"/>
    <w:rsid w:val="00E917AE"/>
    <w:rsid w:val="00E919B5"/>
    <w:rsid w:val="00E919E6"/>
    <w:rsid w:val="00E91DCF"/>
    <w:rsid w:val="00E91EC3"/>
    <w:rsid w:val="00E923E1"/>
    <w:rsid w:val="00E93848"/>
    <w:rsid w:val="00E93DA7"/>
    <w:rsid w:val="00E93E48"/>
    <w:rsid w:val="00E94216"/>
    <w:rsid w:val="00E94AD5"/>
    <w:rsid w:val="00E94D77"/>
    <w:rsid w:val="00E94FF0"/>
    <w:rsid w:val="00E95100"/>
    <w:rsid w:val="00E9537A"/>
    <w:rsid w:val="00E95603"/>
    <w:rsid w:val="00E956D4"/>
    <w:rsid w:val="00E957ED"/>
    <w:rsid w:val="00E95981"/>
    <w:rsid w:val="00E95ED9"/>
    <w:rsid w:val="00E95F1A"/>
    <w:rsid w:val="00E97263"/>
    <w:rsid w:val="00E9735E"/>
    <w:rsid w:val="00E97783"/>
    <w:rsid w:val="00E977BB"/>
    <w:rsid w:val="00E97A82"/>
    <w:rsid w:val="00EA00DE"/>
    <w:rsid w:val="00EA0289"/>
    <w:rsid w:val="00EA0505"/>
    <w:rsid w:val="00EA0789"/>
    <w:rsid w:val="00EA0BFA"/>
    <w:rsid w:val="00EA1905"/>
    <w:rsid w:val="00EA1AAE"/>
    <w:rsid w:val="00EA1B1E"/>
    <w:rsid w:val="00EA2B78"/>
    <w:rsid w:val="00EA2E21"/>
    <w:rsid w:val="00EA2EAF"/>
    <w:rsid w:val="00EA39D7"/>
    <w:rsid w:val="00EA3CBB"/>
    <w:rsid w:val="00EA3CDC"/>
    <w:rsid w:val="00EA4060"/>
    <w:rsid w:val="00EA4594"/>
    <w:rsid w:val="00EA4894"/>
    <w:rsid w:val="00EA49E8"/>
    <w:rsid w:val="00EA512E"/>
    <w:rsid w:val="00EA5761"/>
    <w:rsid w:val="00EA5C16"/>
    <w:rsid w:val="00EA6069"/>
    <w:rsid w:val="00EA633F"/>
    <w:rsid w:val="00EA68A3"/>
    <w:rsid w:val="00EA6F86"/>
    <w:rsid w:val="00EA7493"/>
    <w:rsid w:val="00EA78A8"/>
    <w:rsid w:val="00EA79A5"/>
    <w:rsid w:val="00EA7ADD"/>
    <w:rsid w:val="00EB05CE"/>
    <w:rsid w:val="00EB093E"/>
    <w:rsid w:val="00EB0A04"/>
    <w:rsid w:val="00EB0CB3"/>
    <w:rsid w:val="00EB125D"/>
    <w:rsid w:val="00EB1A4F"/>
    <w:rsid w:val="00EB1C8F"/>
    <w:rsid w:val="00EB1E4C"/>
    <w:rsid w:val="00EB225D"/>
    <w:rsid w:val="00EB2508"/>
    <w:rsid w:val="00EB34AD"/>
    <w:rsid w:val="00EB3632"/>
    <w:rsid w:val="00EB3739"/>
    <w:rsid w:val="00EB3FA9"/>
    <w:rsid w:val="00EB40B8"/>
    <w:rsid w:val="00EB40FC"/>
    <w:rsid w:val="00EB4182"/>
    <w:rsid w:val="00EB4282"/>
    <w:rsid w:val="00EB4611"/>
    <w:rsid w:val="00EB4F3C"/>
    <w:rsid w:val="00EB5549"/>
    <w:rsid w:val="00EB5595"/>
    <w:rsid w:val="00EB5C9E"/>
    <w:rsid w:val="00EB6254"/>
    <w:rsid w:val="00EB629D"/>
    <w:rsid w:val="00EB63D0"/>
    <w:rsid w:val="00EB6815"/>
    <w:rsid w:val="00EB6D4A"/>
    <w:rsid w:val="00EB6EE8"/>
    <w:rsid w:val="00EB724D"/>
    <w:rsid w:val="00EB73AE"/>
    <w:rsid w:val="00EB751C"/>
    <w:rsid w:val="00EB7959"/>
    <w:rsid w:val="00EB7B6D"/>
    <w:rsid w:val="00EB7D75"/>
    <w:rsid w:val="00EC030E"/>
    <w:rsid w:val="00EC0706"/>
    <w:rsid w:val="00EC0791"/>
    <w:rsid w:val="00EC0A16"/>
    <w:rsid w:val="00EC11E0"/>
    <w:rsid w:val="00EC1499"/>
    <w:rsid w:val="00EC2045"/>
    <w:rsid w:val="00EC20EF"/>
    <w:rsid w:val="00EC2C9C"/>
    <w:rsid w:val="00EC2DC5"/>
    <w:rsid w:val="00EC2E67"/>
    <w:rsid w:val="00EC3AE2"/>
    <w:rsid w:val="00EC3E86"/>
    <w:rsid w:val="00EC4587"/>
    <w:rsid w:val="00EC4864"/>
    <w:rsid w:val="00EC4915"/>
    <w:rsid w:val="00EC4C8D"/>
    <w:rsid w:val="00EC4D2C"/>
    <w:rsid w:val="00EC4D78"/>
    <w:rsid w:val="00EC4F5E"/>
    <w:rsid w:val="00EC57E5"/>
    <w:rsid w:val="00EC65BA"/>
    <w:rsid w:val="00EC68EB"/>
    <w:rsid w:val="00EC7371"/>
    <w:rsid w:val="00EC7769"/>
    <w:rsid w:val="00EC7863"/>
    <w:rsid w:val="00EC7BBB"/>
    <w:rsid w:val="00ED040A"/>
    <w:rsid w:val="00ED0498"/>
    <w:rsid w:val="00ED065B"/>
    <w:rsid w:val="00ED07F6"/>
    <w:rsid w:val="00ED0A06"/>
    <w:rsid w:val="00ED0CF8"/>
    <w:rsid w:val="00ED122B"/>
    <w:rsid w:val="00ED1240"/>
    <w:rsid w:val="00ED17B9"/>
    <w:rsid w:val="00ED1935"/>
    <w:rsid w:val="00ED1F50"/>
    <w:rsid w:val="00ED1FEF"/>
    <w:rsid w:val="00ED258B"/>
    <w:rsid w:val="00ED2C05"/>
    <w:rsid w:val="00ED2CAC"/>
    <w:rsid w:val="00ED2E20"/>
    <w:rsid w:val="00ED38E4"/>
    <w:rsid w:val="00ED3B2C"/>
    <w:rsid w:val="00ED45E8"/>
    <w:rsid w:val="00ED46F5"/>
    <w:rsid w:val="00ED47FB"/>
    <w:rsid w:val="00ED4F46"/>
    <w:rsid w:val="00ED5218"/>
    <w:rsid w:val="00ED5418"/>
    <w:rsid w:val="00ED54B3"/>
    <w:rsid w:val="00ED57A9"/>
    <w:rsid w:val="00ED5963"/>
    <w:rsid w:val="00ED5D36"/>
    <w:rsid w:val="00ED6646"/>
    <w:rsid w:val="00ED6AC5"/>
    <w:rsid w:val="00ED6BF1"/>
    <w:rsid w:val="00ED6F33"/>
    <w:rsid w:val="00ED72FE"/>
    <w:rsid w:val="00ED743A"/>
    <w:rsid w:val="00EE07FC"/>
    <w:rsid w:val="00EE0939"/>
    <w:rsid w:val="00EE0CAD"/>
    <w:rsid w:val="00EE14AC"/>
    <w:rsid w:val="00EE167D"/>
    <w:rsid w:val="00EE1784"/>
    <w:rsid w:val="00EE17C8"/>
    <w:rsid w:val="00EE1FF7"/>
    <w:rsid w:val="00EE203E"/>
    <w:rsid w:val="00EE2DAC"/>
    <w:rsid w:val="00EE3F02"/>
    <w:rsid w:val="00EE3F17"/>
    <w:rsid w:val="00EE42CF"/>
    <w:rsid w:val="00EE4AA5"/>
    <w:rsid w:val="00EE4F1E"/>
    <w:rsid w:val="00EE5066"/>
    <w:rsid w:val="00EE585D"/>
    <w:rsid w:val="00EE6569"/>
    <w:rsid w:val="00EE6793"/>
    <w:rsid w:val="00EE6809"/>
    <w:rsid w:val="00EE698B"/>
    <w:rsid w:val="00EE6F82"/>
    <w:rsid w:val="00EE7EC8"/>
    <w:rsid w:val="00EF024D"/>
    <w:rsid w:val="00EF07B9"/>
    <w:rsid w:val="00EF0D71"/>
    <w:rsid w:val="00EF10DE"/>
    <w:rsid w:val="00EF1391"/>
    <w:rsid w:val="00EF1AAD"/>
    <w:rsid w:val="00EF1B9C"/>
    <w:rsid w:val="00EF22B5"/>
    <w:rsid w:val="00EF289D"/>
    <w:rsid w:val="00EF2E22"/>
    <w:rsid w:val="00EF2FA0"/>
    <w:rsid w:val="00EF3D98"/>
    <w:rsid w:val="00EF4119"/>
    <w:rsid w:val="00EF4172"/>
    <w:rsid w:val="00EF420E"/>
    <w:rsid w:val="00EF42D3"/>
    <w:rsid w:val="00EF57BC"/>
    <w:rsid w:val="00EF58D4"/>
    <w:rsid w:val="00EF59CE"/>
    <w:rsid w:val="00EF5C0D"/>
    <w:rsid w:val="00EF6446"/>
    <w:rsid w:val="00EF6484"/>
    <w:rsid w:val="00EF6ED9"/>
    <w:rsid w:val="00F00013"/>
    <w:rsid w:val="00F001F2"/>
    <w:rsid w:val="00F00835"/>
    <w:rsid w:val="00F009AC"/>
    <w:rsid w:val="00F00B21"/>
    <w:rsid w:val="00F00DFF"/>
    <w:rsid w:val="00F00F49"/>
    <w:rsid w:val="00F01027"/>
    <w:rsid w:val="00F01489"/>
    <w:rsid w:val="00F018D3"/>
    <w:rsid w:val="00F01E66"/>
    <w:rsid w:val="00F01F25"/>
    <w:rsid w:val="00F01F4F"/>
    <w:rsid w:val="00F02531"/>
    <w:rsid w:val="00F026A7"/>
    <w:rsid w:val="00F032EC"/>
    <w:rsid w:val="00F04054"/>
    <w:rsid w:val="00F0419C"/>
    <w:rsid w:val="00F04389"/>
    <w:rsid w:val="00F053AC"/>
    <w:rsid w:val="00F05A50"/>
    <w:rsid w:val="00F0708B"/>
    <w:rsid w:val="00F07435"/>
    <w:rsid w:val="00F07A72"/>
    <w:rsid w:val="00F07BA8"/>
    <w:rsid w:val="00F103F3"/>
    <w:rsid w:val="00F1045C"/>
    <w:rsid w:val="00F104E9"/>
    <w:rsid w:val="00F10711"/>
    <w:rsid w:val="00F11C92"/>
    <w:rsid w:val="00F11D3E"/>
    <w:rsid w:val="00F11D9D"/>
    <w:rsid w:val="00F12C6B"/>
    <w:rsid w:val="00F13056"/>
    <w:rsid w:val="00F134A6"/>
    <w:rsid w:val="00F134F6"/>
    <w:rsid w:val="00F135EB"/>
    <w:rsid w:val="00F1383A"/>
    <w:rsid w:val="00F14203"/>
    <w:rsid w:val="00F1496C"/>
    <w:rsid w:val="00F14A9F"/>
    <w:rsid w:val="00F14D4D"/>
    <w:rsid w:val="00F14DE0"/>
    <w:rsid w:val="00F14ED7"/>
    <w:rsid w:val="00F15314"/>
    <w:rsid w:val="00F15454"/>
    <w:rsid w:val="00F15A49"/>
    <w:rsid w:val="00F15AF6"/>
    <w:rsid w:val="00F15C05"/>
    <w:rsid w:val="00F15F51"/>
    <w:rsid w:val="00F16596"/>
    <w:rsid w:val="00F16A88"/>
    <w:rsid w:val="00F16F8F"/>
    <w:rsid w:val="00F17644"/>
    <w:rsid w:val="00F178A4"/>
    <w:rsid w:val="00F17CCE"/>
    <w:rsid w:val="00F17E2A"/>
    <w:rsid w:val="00F202B3"/>
    <w:rsid w:val="00F206D2"/>
    <w:rsid w:val="00F20765"/>
    <w:rsid w:val="00F20BBC"/>
    <w:rsid w:val="00F20CB4"/>
    <w:rsid w:val="00F210AA"/>
    <w:rsid w:val="00F21330"/>
    <w:rsid w:val="00F214FF"/>
    <w:rsid w:val="00F2154C"/>
    <w:rsid w:val="00F218D4"/>
    <w:rsid w:val="00F2191F"/>
    <w:rsid w:val="00F21A91"/>
    <w:rsid w:val="00F21D63"/>
    <w:rsid w:val="00F220B7"/>
    <w:rsid w:val="00F229E4"/>
    <w:rsid w:val="00F22D52"/>
    <w:rsid w:val="00F22F51"/>
    <w:rsid w:val="00F23182"/>
    <w:rsid w:val="00F237F2"/>
    <w:rsid w:val="00F23CD9"/>
    <w:rsid w:val="00F24336"/>
    <w:rsid w:val="00F2433A"/>
    <w:rsid w:val="00F24B29"/>
    <w:rsid w:val="00F253CD"/>
    <w:rsid w:val="00F25715"/>
    <w:rsid w:val="00F25765"/>
    <w:rsid w:val="00F25797"/>
    <w:rsid w:val="00F25A1A"/>
    <w:rsid w:val="00F25A97"/>
    <w:rsid w:val="00F25AD6"/>
    <w:rsid w:val="00F2679E"/>
    <w:rsid w:val="00F268AC"/>
    <w:rsid w:val="00F26B25"/>
    <w:rsid w:val="00F26BE6"/>
    <w:rsid w:val="00F26E05"/>
    <w:rsid w:val="00F2746A"/>
    <w:rsid w:val="00F279F0"/>
    <w:rsid w:val="00F27B18"/>
    <w:rsid w:val="00F30381"/>
    <w:rsid w:val="00F304B5"/>
    <w:rsid w:val="00F305A9"/>
    <w:rsid w:val="00F307FA"/>
    <w:rsid w:val="00F30A50"/>
    <w:rsid w:val="00F30F6C"/>
    <w:rsid w:val="00F3141C"/>
    <w:rsid w:val="00F3174F"/>
    <w:rsid w:val="00F322ED"/>
    <w:rsid w:val="00F32508"/>
    <w:rsid w:val="00F32E1C"/>
    <w:rsid w:val="00F33098"/>
    <w:rsid w:val="00F3312D"/>
    <w:rsid w:val="00F33253"/>
    <w:rsid w:val="00F337DB"/>
    <w:rsid w:val="00F3429A"/>
    <w:rsid w:val="00F348DA"/>
    <w:rsid w:val="00F34D92"/>
    <w:rsid w:val="00F34F02"/>
    <w:rsid w:val="00F35AFC"/>
    <w:rsid w:val="00F35C10"/>
    <w:rsid w:val="00F35FCB"/>
    <w:rsid w:val="00F36021"/>
    <w:rsid w:val="00F3615F"/>
    <w:rsid w:val="00F366BB"/>
    <w:rsid w:val="00F375AE"/>
    <w:rsid w:val="00F376D3"/>
    <w:rsid w:val="00F37747"/>
    <w:rsid w:val="00F3782B"/>
    <w:rsid w:val="00F37A8F"/>
    <w:rsid w:val="00F37DD7"/>
    <w:rsid w:val="00F403F1"/>
    <w:rsid w:val="00F40563"/>
    <w:rsid w:val="00F40D6C"/>
    <w:rsid w:val="00F4148A"/>
    <w:rsid w:val="00F4163D"/>
    <w:rsid w:val="00F417B3"/>
    <w:rsid w:val="00F41C46"/>
    <w:rsid w:val="00F41DD6"/>
    <w:rsid w:val="00F41E2D"/>
    <w:rsid w:val="00F4287F"/>
    <w:rsid w:val="00F428DE"/>
    <w:rsid w:val="00F42C4E"/>
    <w:rsid w:val="00F42F27"/>
    <w:rsid w:val="00F4314D"/>
    <w:rsid w:val="00F432E0"/>
    <w:rsid w:val="00F433FF"/>
    <w:rsid w:val="00F434FA"/>
    <w:rsid w:val="00F439F1"/>
    <w:rsid w:val="00F44104"/>
    <w:rsid w:val="00F44726"/>
    <w:rsid w:val="00F44BE9"/>
    <w:rsid w:val="00F4537D"/>
    <w:rsid w:val="00F46276"/>
    <w:rsid w:val="00F46280"/>
    <w:rsid w:val="00F462F6"/>
    <w:rsid w:val="00F46670"/>
    <w:rsid w:val="00F46736"/>
    <w:rsid w:val="00F46B3F"/>
    <w:rsid w:val="00F46FF3"/>
    <w:rsid w:val="00F47C80"/>
    <w:rsid w:val="00F47D20"/>
    <w:rsid w:val="00F50221"/>
    <w:rsid w:val="00F5027C"/>
    <w:rsid w:val="00F50996"/>
    <w:rsid w:val="00F5099F"/>
    <w:rsid w:val="00F50B51"/>
    <w:rsid w:val="00F51042"/>
    <w:rsid w:val="00F51907"/>
    <w:rsid w:val="00F51DA2"/>
    <w:rsid w:val="00F52028"/>
    <w:rsid w:val="00F5205D"/>
    <w:rsid w:val="00F5253A"/>
    <w:rsid w:val="00F52908"/>
    <w:rsid w:val="00F529F4"/>
    <w:rsid w:val="00F53277"/>
    <w:rsid w:val="00F53D19"/>
    <w:rsid w:val="00F54602"/>
    <w:rsid w:val="00F549BA"/>
    <w:rsid w:val="00F549D7"/>
    <w:rsid w:val="00F54D9A"/>
    <w:rsid w:val="00F54E24"/>
    <w:rsid w:val="00F556AF"/>
    <w:rsid w:val="00F55E61"/>
    <w:rsid w:val="00F567D6"/>
    <w:rsid w:val="00F56A9A"/>
    <w:rsid w:val="00F56ABD"/>
    <w:rsid w:val="00F56F0B"/>
    <w:rsid w:val="00F5744D"/>
    <w:rsid w:val="00F579FC"/>
    <w:rsid w:val="00F604EB"/>
    <w:rsid w:val="00F60A7F"/>
    <w:rsid w:val="00F61D0A"/>
    <w:rsid w:val="00F6242B"/>
    <w:rsid w:val="00F6307F"/>
    <w:rsid w:val="00F63CE9"/>
    <w:rsid w:val="00F63E13"/>
    <w:rsid w:val="00F643BC"/>
    <w:rsid w:val="00F645BB"/>
    <w:rsid w:val="00F64B4B"/>
    <w:rsid w:val="00F65244"/>
    <w:rsid w:val="00F65B46"/>
    <w:rsid w:val="00F65DBA"/>
    <w:rsid w:val="00F660E9"/>
    <w:rsid w:val="00F66CBE"/>
    <w:rsid w:val="00F6758E"/>
    <w:rsid w:val="00F70169"/>
    <w:rsid w:val="00F70ACD"/>
    <w:rsid w:val="00F70F10"/>
    <w:rsid w:val="00F718D3"/>
    <w:rsid w:val="00F71A25"/>
    <w:rsid w:val="00F71B64"/>
    <w:rsid w:val="00F726B9"/>
    <w:rsid w:val="00F72B43"/>
    <w:rsid w:val="00F72C50"/>
    <w:rsid w:val="00F73034"/>
    <w:rsid w:val="00F732C6"/>
    <w:rsid w:val="00F73309"/>
    <w:rsid w:val="00F7349C"/>
    <w:rsid w:val="00F7392C"/>
    <w:rsid w:val="00F742B6"/>
    <w:rsid w:val="00F74BF3"/>
    <w:rsid w:val="00F74C65"/>
    <w:rsid w:val="00F74DB0"/>
    <w:rsid w:val="00F75C2B"/>
    <w:rsid w:val="00F75E66"/>
    <w:rsid w:val="00F76105"/>
    <w:rsid w:val="00F7619E"/>
    <w:rsid w:val="00F7687B"/>
    <w:rsid w:val="00F7697C"/>
    <w:rsid w:val="00F76D8E"/>
    <w:rsid w:val="00F8000F"/>
    <w:rsid w:val="00F80152"/>
    <w:rsid w:val="00F802CC"/>
    <w:rsid w:val="00F80450"/>
    <w:rsid w:val="00F81185"/>
    <w:rsid w:val="00F81C0E"/>
    <w:rsid w:val="00F820D8"/>
    <w:rsid w:val="00F826C0"/>
    <w:rsid w:val="00F82F74"/>
    <w:rsid w:val="00F83426"/>
    <w:rsid w:val="00F835FB"/>
    <w:rsid w:val="00F836CC"/>
    <w:rsid w:val="00F840B5"/>
    <w:rsid w:val="00F840C4"/>
    <w:rsid w:val="00F8423E"/>
    <w:rsid w:val="00F84B35"/>
    <w:rsid w:val="00F84B86"/>
    <w:rsid w:val="00F84BDE"/>
    <w:rsid w:val="00F855BE"/>
    <w:rsid w:val="00F85E2C"/>
    <w:rsid w:val="00F86349"/>
    <w:rsid w:val="00F8636C"/>
    <w:rsid w:val="00F86C6F"/>
    <w:rsid w:val="00F871C1"/>
    <w:rsid w:val="00F8739B"/>
    <w:rsid w:val="00F87424"/>
    <w:rsid w:val="00F875EA"/>
    <w:rsid w:val="00F87704"/>
    <w:rsid w:val="00F878C6"/>
    <w:rsid w:val="00F879C8"/>
    <w:rsid w:val="00F87CA5"/>
    <w:rsid w:val="00F87E96"/>
    <w:rsid w:val="00F9042F"/>
    <w:rsid w:val="00F906D5"/>
    <w:rsid w:val="00F90C20"/>
    <w:rsid w:val="00F913A6"/>
    <w:rsid w:val="00F915E6"/>
    <w:rsid w:val="00F925DF"/>
    <w:rsid w:val="00F92899"/>
    <w:rsid w:val="00F92BCF"/>
    <w:rsid w:val="00F937F2"/>
    <w:rsid w:val="00F9430B"/>
    <w:rsid w:val="00F943E6"/>
    <w:rsid w:val="00F9465E"/>
    <w:rsid w:val="00F947CB"/>
    <w:rsid w:val="00F94AFA"/>
    <w:rsid w:val="00F94D5F"/>
    <w:rsid w:val="00F969EE"/>
    <w:rsid w:val="00F96A15"/>
    <w:rsid w:val="00F96DCD"/>
    <w:rsid w:val="00F96FD3"/>
    <w:rsid w:val="00F97B80"/>
    <w:rsid w:val="00F97B9C"/>
    <w:rsid w:val="00F97BCF"/>
    <w:rsid w:val="00F97C65"/>
    <w:rsid w:val="00F97CB5"/>
    <w:rsid w:val="00F97E05"/>
    <w:rsid w:val="00FA0BEE"/>
    <w:rsid w:val="00FA1094"/>
    <w:rsid w:val="00FA15B2"/>
    <w:rsid w:val="00FA2097"/>
    <w:rsid w:val="00FA22BD"/>
    <w:rsid w:val="00FA238B"/>
    <w:rsid w:val="00FA27E8"/>
    <w:rsid w:val="00FA2BD9"/>
    <w:rsid w:val="00FA3085"/>
    <w:rsid w:val="00FA319B"/>
    <w:rsid w:val="00FA328A"/>
    <w:rsid w:val="00FA35AA"/>
    <w:rsid w:val="00FA3B9E"/>
    <w:rsid w:val="00FA3C53"/>
    <w:rsid w:val="00FA443B"/>
    <w:rsid w:val="00FA4559"/>
    <w:rsid w:val="00FA45DD"/>
    <w:rsid w:val="00FA485E"/>
    <w:rsid w:val="00FA4A44"/>
    <w:rsid w:val="00FA4B36"/>
    <w:rsid w:val="00FA4CF5"/>
    <w:rsid w:val="00FA4EAE"/>
    <w:rsid w:val="00FA511C"/>
    <w:rsid w:val="00FA5151"/>
    <w:rsid w:val="00FA54C0"/>
    <w:rsid w:val="00FA5FB6"/>
    <w:rsid w:val="00FA610F"/>
    <w:rsid w:val="00FA652B"/>
    <w:rsid w:val="00FA69DB"/>
    <w:rsid w:val="00FA6DB2"/>
    <w:rsid w:val="00FA71F0"/>
    <w:rsid w:val="00FA7547"/>
    <w:rsid w:val="00FA7679"/>
    <w:rsid w:val="00FA7696"/>
    <w:rsid w:val="00FB019A"/>
    <w:rsid w:val="00FB07C0"/>
    <w:rsid w:val="00FB102D"/>
    <w:rsid w:val="00FB131A"/>
    <w:rsid w:val="00FB1820"/>
    <w:rsid w:val="00FB1A0B"/>
    <w:rsid w:val="00FB2113"/>
    <w:rsid w:val="00FB2194"/>
    <w:rsid w:val="00FB30CB"/>
    <w:rsid w:val="00FB32A7"/>
    <w:rsid w:val="00FB37CB"/>
    <w:rsid w:val="00FB3B44"/>
    <w:rsid w:val="00FB3E8A"/>
    <w:rsid w:val="00FB44BE"/>
    <w:rsid w:val="00FB45B7"/>
    <w:rsid w:val="00FB4DC3"/>
    <w:rsid w:val="00FB4EE9"/>
    <w:rsid w:val="00FB5080"/>
    <w:rsid w:val="00FB55CB"/>
    <w:rsid w:val="00FB5CA1"/>
    <w:rsid w:val="00FB618F"/>
    <w:rsid w:val="00FB64A6"/>
    <w:rsid w:val="00FB67FE"/>
    <w:rsid w:val="00FB6B85"/>
    <w:rsid w:val="00FB71B6"/>
    <w:rsid w:val="00FC003B"/>
    <w:rsid w:val="00FC055E"/>
    <w:rsid w:val="00FC0653"/>
    <w:rsid w:val="00FC0746"/>
    <w:rsid w:val="00FC0E69"/>
    <w:rsid w:val="00FC0F5D"/>
    <w:rsid w:val="00FC16F1"/>
    <w:rsid w:val="00FC195C"/>
    <w:rsid w:val="00FC2A71"/>
    <w:rsid w:val="00FC3775"/>
    <w:rsid w:val="00FC390A"/>
    <w:rsid w:val="00FC3B21"/>
    <w:rsid w:val="00FC3E1D"/>
    <w:rsid w:val="00FC3E33"/>
    <w:rsid w:val="00FC4350"/>
    <w:rsid w:val="00FC45EA"/>
    <w:rsid w:val="00FC4BB4"/>
    <w:rsid w:val="00FC4BCA"/>
    <w:rsid w:val="00FC4BEB"/>
    <w:rsid w:val="00FC4CA4"/>
    <w:rsid w:val="00FC5383"/>
    <w:rsid w:val="00FC5B5C"/>
    <w:rsid w:val="00FC5BFA"/>
    <w:rsid w:val="00FC604C"/>
    <w:rsid w:val="00FC6203"/>
    <w:rsid w:val="00FC6455"/>
    <w:rsid w:val="00FD0159"/>
    <w:rsid w:val="00FD066F"/>
    <w:rsid w:val="00FD0E46"/>
    <w:rsid w:val="00FD0F00"/>
    <w:rsid w:val="00FD0F89"/>
    <w:rsid w:val="00FD15FE"/>
    <w:rsid w:val="00FD19AF"/>
    <w:rsid w:val="00FD1A03"/>
    <w:rsid w:val="00FD1C45"/>
    <w:rsid w:val="00FD1DBA"/>
    <w:rsid w:val="00FD215C"/>
    <w:rsid w:val="00FD25A4"/>
    <w:rsid w:val="00FD2819"/>
    <w:rsid w:val="00FD2CB9"/>
    <w:rsid w:val="00FD2E02"/>
    <w:rsid w:val="00FD2FDC"/>
    <w:rsid w:val="00FD34FD"/>
    <w:rsid w:val="00FD3676"/>
    <w:rsid w:val="00FD36D1"/>
    <w:rsid w:val="00FD3802"/>
    <w:rsid w:val="00FD39BE"/>
    <w:rsid w:val="00FD3A25"/>
    <w:rsid w:val="00FD3D4B"/>
    <w:rsid w:val="00FD3EB9"/>
    <w:rsid w:val="00FD3EE9"/>
    <w:rsid w:val="00FD3EF5"/>
    <w:rsid w:val="00FD41FE"/>
    <w:rsid w:val="00FD448B"/>
    <w:rsid w:val="00FD46D7"/>
    <w:rsid w:val="00FD478E"/>
    <w:rsid w:val="00FD4C04"/>
    <w:rsid w:val="00FD4CB9"/>
    <w:rsid w:val="00FD4F9C"/>
    <w:rsid w:val="00FD50B2"/>
    <w:rsid w:val="00FD518D"/>
    <w:rsid w:val="00FD5395"/>
    <w:rsid w:val="00FD547D"/>
    <w:rsid w:val="00FD59C5"/>
    <w:rsid w:val="00FD59CF"/>
    <w:rsid w:val="00FD6442"/>
    <w:rsid w:val="00FD69B3"/>
    <w:rsid w:val="00FD6BAC"/>
    <w:rsid w:val="00FD6CA0"/>
    <w:rsid w:val="00FD6E6C"/>
    <w:rsid w:val="00FD6FF6"/>
    <w:rsid w:val="00FD7208"/>
    <w:rsid w:val="00FD7463"/>
    <w:rsid w:val="00FD792A"/>
    <w:rsid w:val="00FD7B12"/>
    <w:rsid w:val="00FD7FC6"/>
    <w:rsid w:val="00FE0065"/>
    <w:rsid w:val="00FE062C"/>
    <w:rsid w:val="00FE0E84"/>
    <w:rsid w:val="00FE0F2A"/>
    <w:rsid w:val="00FE123F"/>
    <w:rsid w:val="00FE1D46"/>
    <w:rsid w:val="00FE22F1"/>
    <w:rsid w:val="00FE24FF"/>
    <w:rsid w:val="00FE3193"/>
    <w:rsid w:val="00FE3AD9"/>
    <w:rsid w:val="00FE4AB0"/>
    <w:rsid w:val="00FE4F6A"/>
    <w:rsid w:val="00FE546F"/>
    <w:rsid w:val="00FE575B"/>
    <w:rsid w:val="00FE710E"/>
    <w:rsid w:val="00FE7343"/>
    <w:rsid w:val="00FE78FF"/>
    <w:rsid w:val="00FF00AE"/>
    <w:rsid w:val="00FF07EB"/>
    <w:rsid w:val="00FF0A5F"/>
    <w:rsid w:val="00FF129F"/>
    <w:rsid w:val="00FF1457"/>
    <w:rsid w:val="00FF1D48"/>
    <w:rsid w:val="00FF220A"/>
    <w:rsid w:val="00FF294B"/>
    <w:rsid w:val="00FF2D04"/>
    <w:rsid w:val="00FF3E55"/>
    <w:rsid w:val="00FF44E3"/>
    <w:rsid w:val="00FF4F72"/>
    <w:rsid w:val="00FF512A"/>
    <w:rsid w:val="00FF515D"/>
    <w:rsid w:val="00FF525C"/>
    <w:rsid w:val="00FF54AD"/>
    <w:rsid w:val="00FF555B"/>
    <w:rsid w:val="00FF5BBE"/>
    <w:rsid w:val="00FF60DF"/>
    <w:rsid w:val="00FF6343"/>
    <w:rsid w:val="00FF643E"/>
    <w:rsid w:val="00FF65D5"/>
    <w:rsid w:val="00FF6BC8"/>
    <w:rsid w:val="00FF6CDD"/>
    <w:rsid w:val="00FF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2" type="connector" idref="#_x0000_s1026"/>
      </o:rules>
    </o:shapelayout>
  </w:shapeDefaults>
  <w:decimalSymbol w:val="."/>
  <w:listSeparator w:val=","/>
  <w14:docId w14:val="6405E478"/>
  <w15:chartTrackingRefBased/>
  <w15:docId w15:val="{52921A59-F243-4BAC-BDAB-EEA110FD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E15"/>
    <w:pPr>
      <w:widowControl w:val="0"/>
      <w:ind w:firstLine="360"/>
      <w:jc w:val="both"/>
    </w:pPr>
    <w:rPr>
      <w:rFonts w:ascii="CG Times" w:hAnsi="CG Times"/>
      <w:sz w:val="24"/>
    </w:rPr>
  </w:style>
  <w:style w:type="paragraph" w:styleId="Heading1">
    <w:name w:val="heading 1"/>
    <w:basedOn w:val="Normal"/>
    <w:next w:val="Normal"/>
    <w:qFormat/>
    <w:rsid w:val="00E67E67"/>
    <w:pPr>
      <w:keepNext/>
      <w:widowControl/>
      <w:numPr>
        <w:numId w:val="14"/>
      </w:numPr>
      <w:jc w:val="center"/>
      <w:outlineLvl w:val="0"/>
    </w:pPr>
    <w:rPr>
      <w:smallCaps/>
      <w:kern w:val="28"/>
    </w:rPr>
  </w:style>
  <w:style w:type="paragraph" w:styleId="Heading2">
    <w:name w:val="heading 2"/>
    <w:basedOn w:val="Normal"/>
    <w:next w:val="Normal"/>
    <w:qFormat/>
    <w:rsid w:val="00E67E67"/>
    <w:pPr>
      <w:keepNext/>
      <w:widowControl/>
      <w:numPr>
        <w:ilvl w:val="1"/>
        <w:numId w:val="14"/>
      </w:numPr>
      <w:jc w:val="center"/>
      <w:outlineLvl w:val="1"/>
    </w:pPr>
    <w:rPr>
      <w:i/>
    </w:rPr>
  </w:style>
  <w:style w:type="paragraph" w:styleId="Heading3">
    <w:name w:val="heading 3"/>
    <w:basedOn w:val="Normal"/>
    <w:next w:val="Normal"/>
    <w:qFormat/>
    <w:pPr>
      <w:keepNext/>
      <w:widowControl/>
      <w:numPr>
        <w:ilvl w:val="2"/>
        <w:numId w:val="14"/>
      </w:numPr>
      <w:outlineLvl w:val="2"/>
    </w:pPr>
  </w:style>
  <w:style w:type="paragraph" w:styleId="Heading4">
    <w:name w:val="heading 4"/>
    <w:basedOn w:val="Normal"/>
    <w:next w:val="Normal"/>
    <w:qFormat/>
    <w:pPr>
      <w:keepNext/>
      <w:widowControl/>
      <w:numPr>
        <w:ilvl w:val="3"/>
        <w:numId w:val="14"/>
      </w:numPr>
      <w:outlineLvl w:val="3"/>
    </w:pPr>
  </w:style>
  <w:style w:type="paragraph" w:styleId="Heading5">
    <w:name w:val="heading 5"/>
    <w:next w:val="Normal"/>
    <w:qFormat/>
    <w:rsid w:val="005C7763"/>
    <w:pPr>
      <w:numPr>
        <w:ilvl w:val="4"/>
        <w:numId w:val="14"/>
      </w:numPr>
      <w:spacing w:before="240" w:after="60"/>
      <w:outlineLvl w:val="4"/>
    </w:pPr>
    <w:rPr>
      <w:rFonts w:ascii="CG Times" w:hAnsi="CG Times"/>
      <w:sz w:val="22"/>
    </w:rPr>
  </w:style>
  <w:style w:type="paragraph" w:styleId="Heading6">
    <w:name w:val="heading 6"/>
    <w:basedOn w:val="Normal"/>
    <w:next w:val="Normal"/>
    <w:qFormat/>
    <w:pPr>
      <w:numPr>
        <w:ilvl w:val="5"/>
        <w:numId w:val="14"/>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4"/>
      </w:numPr>
      <w:spacing w:before="240" w:after="60"/>
      <w:outlineLvl w:val="6"/>
    </w:pPr>
    <w:rPr>
      <w:rFonts w:ascii="Arial" w:hAnsi="Arial"/>
      <w:sz w:val="20"/>
    </w:rPr>
  </w:style>
  <w:style w:type="paragraph" w:styleId="Heading8">
    <w:name w:val="heading 8"/>
    <w:basedOn w:val="Normal"/>
    <w:next w:val="Normal"/>
    <w:qFormat/>
    <w:pPr>
      <w:numPr>
        <w:ilvl w:val="7"/>
        <w:numId w:val="14"/>
      </w:numPr>
      <w:spacing w:before="240" w:after="60"/>
      <w:outlineLvl w:val="7"/>
    </w:pPr>
    <w:rPr>
      <w:rFonts w:ascii="Arial" w:hAnsi="Arial"/>
      <w:i/>
      <w:sz w:val="20"/>
    </w:rPr>
  </w:style>
  <w:style w:type="paragraph" w:styleId="Heading9">
    <w:name w:val="heading 9"/>
    <w:basedOn w:val="Normal"/>
    <w:next w:val="Normal"/>
    <w:qFormat/>
    <w:pPr>
      <w:numPr>
        <w:ilvl w:val="8"/>
        <w:numId w:val="1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rPr>
  </w:style>
  <w:style w:type="character" w:styleId="FootnoteReference">
    <w:name w:val="footnote reference"/>
    <w:semiHidden/>
    <w:rPr>
      <w:vertAlign w:val="superscript"/>
    </w:rPr>
  </w:style>
  <w:style w:type="paragraph" w:styleId="FootnoteText">
    <w:name w:val="footnote text"/>
    <w:basedOn w:val="Normal"/>
    <w:semiHidden/>
    <w:rsid w:val="00870B12"/>
    <w:rPr>
      <w:sz w:val="20"/>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6"/>
      </w:numPr>
    </w:pPr>
  </w:style>
  <w:style w:type="paragraph" w:styleId="TOC1">
    <w:name w:val="toc 1"/>
    <w:basedOn w:val="Normal"/>
    <w:next w:val="Normal"/>
    <w:autoRedefine/>
    <w:semiHidden/>
    <w:pPr>
      <w:tabs>
        <w:tab w:val="left" w:leader="dot" w:pos="7776"/>
      </w:tabs>
      <w:ind w:left="432" w:hanging="432"/>
    </w:pPr>
  </w:style>
  <w:style w:type="paragraph" w:styleId="TOC2">
    <w:name w:val="toc 2"/>
    <w:basedOn w:val="Normal"/>
    <w:next w:val="Normal"/>
    <w:autoRedefine/>
    <w:semiHidden/>
    <w:pPr>
      <w:tabs>
        <w:tab w:val="left" w:pos="864"/>
        <w:tab w:val="left" w:leader="dot" w:pos="7776"/>
      </w:tabs>
      <w:ind w:left="864" w:hanging="432"/>
    </w:pPr>
    <w:rPr>
      <w:noProof/>
    </w:rPr>
  </w:style>
  <w:style w:type="paragraph" w:styleId="TOC3">
    <w:name w:val="toc 3"/>
    <w:basedOn w:val="Normal"/>
    <w:next w:val="Normal"/>
    <w:autoRedefine/>
    <w:semiHidden/>
    <w:pPr>
      <w:tabs>
        <w:tab w:val="left" w:pos="1296"/>
        <w:tab w:val="left" w:leader="dot" w:pos="7776"/>
      </w:tabs>
      <w:ind w:left="1296" w:hanging="432"/>
    </w:p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styleId="UnresolvedMention">
    <w:name w:val="Unresolved Mention"/>
    <w:uiPriority w:val="99"/>
    <w:semiHidden/>
    <w:unhideWhenUsed/>
    <w:rsid w:val="003C06D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85DE2"/>
    <w:rPr>
      <w:b/>
      <w:bCs/>
    </w:rPr>
  </w:style>
  <w:style w:type="character" w:customStyle="1" w:styleId="CommentTextChar">
    <w:name w:val="Comment Text Char"/>
    <w:link w:val="CommentText"/>
    <w:semiHidden/>
    <w:rsid w:val="00A85DE2"/>
    <w:rPr>
      <w:rFonts w:ascii="CG Times" w:hAnsi="CG Times"/>
    </w:rPr>
  </w:style>
  <w:style w:type="character" w:customStyle="1" w:styleId="CommentSubjectChar">
    <w:name w:val="Comment Subject Char"/>
    <w:link w:val="CommentSubject"/>
    <w:uiPriority w:val="99"/>
    <w:semiHidden/>
    <w:rsid w:val="00A85DE2"/>
    <w:rPr>
      <w:rFonts w:ascii="CG Times" w:hAnsi="CG Times"/>
      <w:b/>
      <w:bCs/>
    </w:rPr>
  </w:style>
  <w:style w:type="character" w:styleId="FollowedHyperlink">
    <w:name w:val="FollowedHyperlink"/>
    <w:uiPriority w:val="99"/>
    <w:semiHidden/>
    <w:unhideWhenUsed/>
    <w:rsid w:val="002E3AB7"/>
    <w:rPr>
      <w:color w:val="96607D"/>
      <w:u w:val="single"/>
    </w:rPr>
  </w:style>
  <w:style w:type="paragraph" w:styleId="ListBullet">
    <w:name w:val="List Bullet"/>
    <w:basedOn w:val="Normal"/>
    <w:uiPriority w:val="99"/>
    <w:unhideWhenUsed/>
    <w:rsid w:val="007B7372"/>
    <w:pPr>
      <w:numPr>
        <w:numId w:val="27"/>
      </w:numPr>
      <w:contextualSpacing/>
    </w:pPr>
  </w:style>
  <w:style w:type="table" w:styleId="TableGrid">
    <w:name w:val="Table Grid"/>
    <w:basedOn w:val="TableNormal"/>
    <w:uiPriority w:val="39"/>
    <w:rsid w:val="00F85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62F6"/>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8961">
      <w:bodyDiv w:val="1"/>
      <w:marLeft w:val="0"/>
      <w:marRight w:val="0"/>
      <w:marTop w:val="0"/>
      <w:marBottom w:val="0"/>
      <w:divBdr>
        <w:top w:val="none" w:sz="0" w:space="0" w:color="auto"/>
        <w:left w:val="none" w:sz="0" w:space="0" w:color="auto"/>
        <w:bottom w:val="none" w:sz="0" w:space="0" w:color="auto"/>
        <w:right w:val="none" w:sz="0" w:space="0" w:color="auto"/>
      </w:divBdr>
    </w:div>
    <w:div w:id="23482443">
      <w:bodyDiv w:val="1"/>
      <w:marLeft w:val="0"/>
      <w:marRight w:val="0"/>
      <w:marTop w:val="0"/>
      <w:marBottom w:val="0"/>
      <w:divBdr>
        <w:top w:val="none" w:sz="0" w:space="0" w:color="auto"/>
        <w:left w:val="none" w:sz="0" w:space="0" w:color="auto"/>
        <w:bottom w:val="none" w:sz="0" w:space="0" w:color="auto"/>
        <w:right w:val="none" w:sz="0" w:space="0" w:color="auto"/>
      </w:divBdr>
      <w:divsChild>
        <w:div w:id="1047215672">
          <w:marLeft w:val="0"/>
          <w:marRight w:val="0"/>
          <w:marTop w:val="0"/>
          <w:marBottom w:val="0"/>
          <w:divBdr>
            <w:top w:val="none" w:sz="0" w:space="0" w:color="3D3D3D"/>
            <w:left w:val="none" w:sz="0" w:space="0" w:color="3D3D3D"/>
            <w:bottom w:val="none" w:sz="0" w:space="0" w:color="3D3D3D"/>
            <w:right w:val="none" w:sz="0" w:space="0" w:color="3D3D3D"/>
          </w:divBdr>
        </w:div>
      </w:divsChild>
    </w:div>
    <w:div w:id="97676272">
      <w:bodyDiv w:val="1"/>
      <w:marLeft w:val="0"/>
      <w:marRight w:val="0"/>
      <w:marTop w:val="0"/>
      <w:marBottom w:val="0"/>
      <w:divBdr>
        <w:top w:val="none" w:sz="0" w:space="0" w:color="auto"/>
        <w:left w:val="none" w:sz="0" w:space="0" w:color="auto"/>
        <w:bottom w:val="none" w:sz="0" w:space="0" w:color="auto"/>
        <w:right w:val="none" w:sz="0" w:space="0" w:color="auto"/>
      </w:divBdr>
    </w:div>
    <w:div w:id="525949869">
      <w:bodyDiv w:val="1"/>
      <w:marLeft w:val="0"/>
      <w:marRight w:val="0"/>
      <w:marTop w:val="0"/>
      <w:marBottom w:val="0"/>
      <w:divBdr>
        <w:top w:val="none" w:sz="0" w:space="0" w:color="auto"/>
        <w:left w:val="none" w:sz="0" w:space="0" w:color="auto"/>
        <w:bottom w:val="none" w:sz="0" w:space="0" w:color="auto"/>
        <w:right w:val="none" w:sz="0" w:space="0" w:color="auto"/>
      </w:divBdr>
      <w:divsChild>
        <w:div w:id="872427654">
          <w:marLeft w:val="0"/>
          <w:marRight w:val="0"/>
          <w:marTop w:val="0"/>
          <w:marBottom w:val="0"/>
          <w:divBdr>
            <w:top w:val="none" w:sz="0" w:space="0" w:color="3D3D3D"/>
            <w:left w:val="none" w:sz="0" w:space="0" w:color="3D3D3D"/>
            <w:bottom w:val="none" w:sz="0" w:space="0" w:color="3D3D3D"/>
            <w:right w:val="none" w:sz="0" w:space="0" w:color="3D3D3D"/>
          </w:divBdr>
        </w:div>
      </w:divsChild>
    </w:div>
    <w:div w:id="568808874">
      <w:bodyDiv w:val="1"/>
      <w:marLeft w:val="0"/>
      <w:marRight w:val="0"/>
      <w:marTop w:val="0"/>
      <w:marBottom w:val="0"/>
      <w:divBdr>
        <w:top w:val="none" w:sz="0" w:space="0" w:color="auto"/>
        <w:left w:val="none" w:sz="0" w:space="0" w:color="auto"/>
        <w:bottom w:val="none" w:sz="0" w:space="0" w:color="auto"/>
        <w:right w:val="none" w:sz="0" w:space="0" w:color="auto"/>
      </w:divBdr>
      <w:divsChild>
        <w:div w:id="1082919891">
          <w:marLeft w:val="0"/>
          <w:marRight w:val="0"/>
          <w:marTop w:val="0"/>
          <w:marBottom w:val="0"/>
          <w:divBdr>
            <w:top w:val="none" w:sz="0" w:space="0" w:color="3D3D3D"/>
            <w:left w:val="none" w:sz="0" w:space="0" w:color="3D3D3D"/>
            <w:bottom w:val="none" w:sz="0" w:space="0" w:color="3D3D3D"/>
            <w:right w:val="none" w:sz="0" w:space="0" w:color="3D3D3D"/>
          </w:divBdr>
        </w:div>
      </w:divsChild>
    </w:div>
    <w:div w:id="611057821">
      <w:bodyDiv w:val="1"/>
      <w:marLeft w:val="0"/>
      <w:marRight w:val="0"/>
      <w:marTop w:val="0"/>
      <w:marBottom w:val="0"/>
      <w:divBdr>
        <w:top w:val="none" w:sz="0" w:space="0" w:color="auto"/>
        <w:left w:val="none" w:sz="0" w:space="0" w:color="auto"/>
        <w:bottom w:val="none" w:sz="0" w:space="0" w:color="auto"/>
        <w:right w:val="none" w:sz="0" w:space="0" w:color="auto"/>
      </w:divBdr>
      <w:divsChild>
        <w:div w:id="1181317953">
          <w:marLeft w:val="0"/>
          <w:marRight w:val="0"/>
          <w:marTop w:val="0"/>
          <w:marBottom w:val="0"/>
          <w:divBdr>
            <w:top w:val="none" w:sz="0" w:space="0" w:color="3D3D3D"/>
            <w:left w:val="none" w:sz="0" w:space="0" w:color="3D3D3D"/>
            <w:bottom w:val="none" w:sz="0" w:space="0" w:color="3D3D3D"/>
            <w:right w:val="none" w:sz="0" w:space="0" w:color="3D3D3D"/>
          </w:divBdr>
        </w:div>
      </w:divsChild>
    </w:div>
    <w:div w:id="77740843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62">
          <w:marLeft w:val="0"/>
          <w:marRight w:val="0"/>
          <w:marTop w:val="0"/>
          <w:marBottom w:val="0"/>
          <w:divBdr>
            <w:top w:val="none" w:sz="0" w:space="0" w:color="3D3D3D"/>
            <w:left w:val="none" w:sz="0" w:space="0" w:color="3D3D3D"/>
            <w:bottom w:val="none" w:sz="0" w:space="0" w:color="3D3D3D"/>
            <w:right w:val="none" w:sz="0" w:space="0" w:color="3D3D3D"/>
          </w:divBdr>
        </w:div>
      </w:divsChild>
    </w:div>
    <w:div w:id="900674800">
      <w:bodyDiv w:val="1"/>
      <w:marLeft w:val="0"/>
      <w:marRight w:val="0"/>
      <w:marTop w:val="0"/>
      <w:marBottom w:val="0"/>
      <w:divBdr>
        <w:top w:val="none" w:sz="0" w:space="0" w:color="auto"/>
        <w:left w:val="none" w:sz="0" w:space="0" w:color="auto"/>
        <w:bottom w:val="none" w:sz="0" w:space="0" w:color="auto"/>
        <w:right w:val="none" w:sz="0" w:space="0" w:color="auto"/>
      </w:divBdr>
      <w:divsChild>
        <w:div w:id="246959734">
          <w:marLeft w:val="0"/>
          <w:marRight w:val="0"/>
          <w:marTop w:val="0"/>
          <w:marBottom w:val="0"/>
          <w:divBdr>
            <w:top w:val="none" w:sz="0" w:space="0" w:color="3D3D3D"/>
            <w:left w:val="none" w:sz="0" w:space="0" w:color="3D3D3D"/>
            <w:bottom w:val="none" w:sz="0" w:space="0" w:color="3D3D3D"/>
            <w:right w:val="none" w:sz="0" w:space="0" w:color="3D3D3D"/>
          </w:divBdr>
        </w:div>
      </w:divsChild>
    </w:div>
    <w:div w:id="1069302852">
      <w:bodyDiv w:val="1"/>
      <w:marLeft w:val="0"/>
      <w:marRight w:val="0"/>
      <w:marTop w:val="0"/>
      <w:marBottom w:val="0"/>
      <w:divBdr>
        <w:top w:val="none" w:sz="0" w:space="0" w:color="auto"/>
        <w:left w:val="none" w:sz="0" w:space="0" w:color="auto"/>
        <w:bottom w:val="none" w:sz="0" w:space="0" w:color="auto"/>
        <w:right w:val="none" w:sz="0" w:space="0" w:color="auto"/>
      </w:divBdr>
      <w:divsChild>
        <w:div w:id="1519084092">
          <w:marLeft w:val="0"/>
          <w:marRight w:val="0"/>
          <w:marTop w:val="0"/>
          <w:marBottom w:val="0"/>
          <w:divBdr>
            <w:top w:val="none" w:sz="0" w:space="0" w:color="3D3D3D"/>
            <w:left w:val="none" w:sz="0" w:space="0" w:color="3D3D3D"/>
            <w:bottom w:val="none" w:sz="0" w:space="0" w:color="3D3D3D"/>
            <w:right w:val="none" w:sz="0" w:space="0" w:color="3D3D3D"/>
          </w:divBdr>
        </w:div>
      </w:divsChild>
    </w:div>
    <w:div w:id="1245143694">
      <w:bodyDiv w:val="1"/>
      <w:marLeft w:val="0"/>
      <w:marRight w:val="0"/>
      <w:marTop w:val="0"/>
      <w:marBottom w:val="0"/>
      <w:divBdr>
        <w:top w:val="none" w:sz="0" w:space="0" w:color="auto"/>
        <w:left w:val="none" w:sz="0" w:space="0" w:color="auto"/>
        <w:bottom w:val="none" w:sz="0" w:space="0" w:color="auto"/>
        <w:right w:val="none" w:sz="0" w:space="0" w:color="auto"/>
      </w:divBdr>
    </w:div>
    <w:div w:id="1331836812">
      <w:bodyDiv w:val="1"/>
      <w:marLeft w:val="0"/>
      <w:marRight w:val="0"/>
      <w:marTop w:val="0"/>
      <w:marBottom w:val="0"/>
      <w:divBdr>
        <w:top w:val="none" w:sz="0" w:space="0" w:color="auto"/>
        <w:left w:val="none" w:sz="0" w:space="0" w:color="auto"/>
        <w:bottom w:val="none" w:sz="0" w:space="0" w:color="auto"/>
        <w:right w:val="none" w:sz="0" w:space="0" w:color="auto"/>
      </w:divBdr>
    </w:div>
    <w:div w:id="1784184026">
      <w:bodyDiv w:val="1"/>
      <w:marLeft w:val="0"/>
      <w:marRight w:val="0"/>
      <w:marTop w:val="0"/>
      <w:marBottom w:val="0"/>
      <w:divBdr>
        <w:top w:val="none" w:sz="0" w:space="0" w:color="auto"/>
        <w:left w:val="none" w:sz="0" w:space="0" w:color="auto"/>
        <w:bottom w:val="none" w:sz="0" w:space="0" w:color="auto"/>
        <w:right w:val="none" w:sz="0" w:space="0" w:color="auto"/>
      </w:divBdr>
      <w:divsChild>
        <w:div w:id="1561597459">
          <w:marLeft w:val="0"/>
          <w:marRight w:val="0"/>
          <w:marTop w:val="0"/>
          <w:marBottom w:val="0"/>
          <w:divBdr>
            <w:top w:val="none" w:sz="0" w:space="0" w:color="3D3D3D"/>
            <w:left w:val="none" w:sz="0" w:space="0" w:color="3D3D3D"/>
            <w:bottom w:val="none" w:sz="0" w:space="0" w:color="3D3D3D"/>
            <w:right w:val="none" w:sz="0" w:space="0" w:color="3D3D3D"/>
          </w:divBdr>
        </w:div>
      </w:divsChild>
    </w:div>
    <w:div w:id="1798715345">
      <w:bodyDiv w:val="1"/>
      <w:marLeft w:val="0"/>
      <w:marRight w:val="0"/>
      <w:marTop w:val="0"/>
      <w:marBottom w:val="0"/>
      <w:divBdr>
        <w:top w:val="none" w:sz="0" w:space="0" w:color="auto"/>
        <w:left w:val="none" w:sz="0" w:space="0" w:color="auto"/>
        <w:bottom w:val="none" w:sz="0" w:space="0" w:color="auto"/>
        <w:right w:val="none" w:sz="0" w:space="0" w:color="auto"/>
      </w:divBdr>
    </w:div>
    <w:div w:id="1836259420">
      <w:bodyDiv w:val="1"/>
      <w:marLeft w:val="0"/>
      <w:marRight w:val="0"/>
      <w:marTop w:val="0"/>
      <w:marBottom w:val="0"/>
      <w:divBdr>
        <w:top w:val="none" w:sz="0" w:space="0" w:color="auto"/>
        <w:left w:val="none" w:sz="0" w:space="0" w:color="auto"/>
        <w:bottom w:val="none" w:sz="0" w:space="0" w:color="auto"/>
        <w:right w:val="none" w:sz="0" w:space="0" w:color="auto"/>
      </w:divBdr>
      <w:divsChild>
        <w:div w:id="215043901">
          <w:marLeft w:val="0"/>
          <w:marRight w:val="0"/>
          <w:marTop w:val="0"/>
          <w:marBottom w:val="0"/>
          <w:divBdr>
            <w:top w:val="none" w:sz="0" w:space="0" w:color="3D3D3D"/>
            <w:left w:val="none" w:sz="0" w:space="0" w:color="3D3D3D"/>
            <w:bottom w:val="none" w:sz="0" w:space="0" w:color="3D3D3D"/>
            <w:right w:val="none" w:sz="0" w:space="0" w:color="3D3D3D"/>
          </w:divBdr>
        </w:div>
      </w:divsChild>
    </w:div>
    <w:div w:id="211409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merriam-webster.com/dictionary/transition" TargetMode="External"/><Relationship Id="rId13" Type="http://schemas.openxmlformats.org/officeDocument/2006/relationships/hyperlink" Target="https://www.dictionary.com/browse/endogenous" TargetMode="External"/><Relationship Id="rId18" Type="http://schemas.openxmlformats.org/officeDocument/2006/relationships/hyperlink" Target="https://www.instagram.com/soulofanation/reel/CtKeuo8uPFD/" TargetMode="External"/><Relationship Id="rId26" Type="http://schemas.openxmlformats.org/officeDocument/2006/relationships/hyperlink" Target="https://psychcentral.com/health/what-is-aromantic" TargetMode="External"/><Relationship Id="rId3" Type="http://schemas.openxmlformats.org/officeDocument/2006/relationships/hyperlink" Target="https://familypolicyalliance.com/help-not-harm/" TargetMode="External"/><Relationship Id="rId21" Type="http://schemas.openxmlformats.org/officeDocument/2006/relationships/hyperlink" Target="https://founders.archives.gov/documents/Jefferson/03-15-02-0141-0001" TargetMode="External"/><Relationship Id="rId7" Type="http://schemas.openxmlformats.org/officeDocument/2006/relationships/hyperlink" Target="https://www.physiology.org/detail/news/2024/04/05/study-bolsters-evidence-that-effects-of-puberty-blockers-are-reversible?SSO=Y" TargetMode="External"/><Relationship Id="rId12" Type="http://schemas.openxmlformats.org/officeDocument/2006/relationships/hyperlink" Target="https://www.theoi.com/Text/Pausanias2A.html" TargetMode="External"/><Relationship Id="rId17" Type="http://schemas.openxmlformats.org/officeDocument/2006/relationships/hyperlink" Target="https://dictionary.cambridge.org/us/dictionary/english/cisnormativity" TargetMode="External"/><Relationship Id="rId25" Type="http://schemas.openxmlformats.org/officeDocument/2006/relationships/hyperlink" Target="https://conversationswithbillkristol.org/transcript/samuel-alito-transcript/" TargetMode="External"/><Relationship Id="rId2" Type="http://schemas.openxmlformats.org/officeDocument/2006/relationships/hyperlink" Target="https://owl.purdue.edu/owl/general_writing/grammar/pronouns/gendered_pronouns_and_singular_they.html" TargetMode="External"/><Relationship Id="rId16" Type="http://schemas.openxmlformats.org/officeDocument/2006/relationships/hyperlink" Target="https://www.dictionary.com/browse/euphoria" TargetMode="External"/><Relationship Id="rId20" Type="http://schemas.openxmlformats.org/officeDocument/2006/relationships/hyperlink" Target="https://constitutioncenter.org/media/files/WTP_Jefferson_TH_Transcript.pdf" TargetMode="External"/><Relationship Id="rId29" Type="http://schemas.openxmlformats.org/officeDocument/2006/relationships/hyperlink" Target="https://www.law.cornell.edu/wex/battery" TargetMode="External"/><Relationship Id="rId1" Type="http://schemas.openxmlformats.org/officeDocument/2006/relationships/hyperlink" Target="https://www.cdc.gov/mmwr/volumes/70/wr/pdfs/mm7014e1-H.pdf" TargetMode="External"/><Relationship Id="rId6" Type="http://schemas.openxmlformats.org/officeDocument/2006/relationships/hyperlink" Target="https://www.cotton.senate.gov/news/press-releases/cotton-colleagues-introduce-legislation-to-protect-children-from-gender-transition-surgery" TargetMode="External"/><Relationship Id="rId11" Type="http://schemas.openxmlformats.org/officeDocument/2006/relationships/hyperlink" Target="https://www.merriam-webster.com/dictionary/discipline" TargetMode="External"/><Relationship Id="rId24" Type="http://schemas.openxmlformats.org/officeDocument/2006/relationships/hyperlink" Target="https://www.merriam-webster.com/wordplay/origin-of-the-proof-is-in-the-pudding-meaning" TargetMode="External"/><Relationship Id="rId5" Type="http://schemas.openxmlformats.org/officeDocument/2006/relationships/hyperlink" Target="https://www.splcenter.org/fighting-hate/intelligence-report/2005/dozen-major-groups-help-drive-religious-right%E2%80%99s-anti-gay-crusade?page=0%2C0" TargetMode="External"/><Relationship Id="rId15" Type="http://schemas.openxmlformats.org/officeDocument/2006/relationships/hyperlink" Target="https://www.esquire.com/entertainment/tv/a40011366/elliot-page-umbrella-academy-euphoria/" TargetMode="External"/><Relationship Id="rId23" Type="http://schemas.openxmlformats.org/officeDocument/2006/relationships/hyperlink" Target="https://www.merriam-webster.com/dictionary/epicure" TargetMode="External"/><Relationship Id="rId28" Type="http://schemas.openxmlformats.org/officeDocument/2006/relationships/hyperlink" Target="https://dictionary.cambridge.org/us/dictionary/english/tyranny" TargetMode="External"/><Relationship Id="rId10" Type="http://schemas.openxmlformats.org/officeDocument/2006/relationships/hyperlink" Target="https://www.dictionary.com/browse/exogenous" TargetMode="External"/><Relationship Id="rId19" Type="http://schemas.openxmlformats.org/officeDocument/2006/relationships/hyperlink" Target="https://founders.archives.gov/documents/Adams/06-04-02-0026-0004" TargetMode="External"/><Relationship Id="rId4" Type="http://schemas.openxmlformats.org/officeDocument/2006/relationships/hyperlink" Target="https://familypolicyalliance.com/about-us/" TargetMode="External"/><Relationship Id="rId9" Type="http://schemas.openxmlformats.org/officeDocument/2006/relationships/hyperlink" Target="https://freethoughtblogs.com/nataliereed/2012/04/17/the-null-hypothecis/" TargetMode="External"/><Relationship Id="rId14" Type="http://schemas.openxmlformats.org/officeDocument/2006/relationships/hyperlink" Target="https://www.them.us/story/inqueery-agender" TargetMode="External"/><Relationship Id="rId22" Type="http://schemas.openxmlformats.org/officeDocument/2006/relationships/hyperlink" Target="https://plato.stanford.edu/entries/epicurus/" TargetMode="External"/><Relationship Id="rId27" Type="http://schemas.openxmlformats.org/officeDocument/2006/relationships/hyperlink" Target="https://www.health.harvard.edu/mind-and-mood/dopamine-the-pathway-to-pleasure" TargetMode="External"/><Relationship Id="rId30" Type="http://schemas.openxmlformats.org/officeDocument/2006/relationships/hyperlink" Target="https://www.nationalchildrensalliance.org/media-room/national-statistics-on-child-abu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monst\OneDrive%20-%20St.%20John's%20University\Documents\TRC's%20Articl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F6E79-C1C9-48C0-9E78-291BFBD1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Template>
  <TotalTime>15914</TotalTime>
  <Pages>68</Pages>
  <Words>15222</Words>
  <Characters>82508</Characters>
  <Application>Microsoft Office Word</Application>
  <DocSecurity>0</DocSecurity>
  <Lines>1650</Lines>
  <Paragraphs>219</Paragraphs>
  <ScaleCrop>false</ScaleCrop>
  <HeadingPairs>
    <vt:vector size="2" baseType="variant">
      <vt:variant>
        <vt:lpstr>Title</vt:lpstr>
      </vt:variant>
      <vt:variant>
        <vt:i4>1</vt:i4>
      </vt:variant>
    </vt:vector>
  </HeadingPairs>
  <TitlesOfParts>
    <vt:vector size="1" baseType="lpstr">
      <vt:lpstr/>
    </vt:vector>
  </TitlesOfParts>
  <Company>UCLA School of Law</Company>
  <LinksUpToDate>false</LinksUpToDate>
  <CharactersWithSpaces>97511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Rose Clemons</dc:creator>
  <cp:keywords/>
  <dc:description/>
  <cp:lastModifiedBy>Tyler Rose Clemons</cp:lastModifiedBy>
  <cp:revision>7120</cp:revision>
  <cp:lastPrinted>2003-02-13T00:09:00Z</cp:lastPrinted>
  <dcterms:created xsi:type="dcterms:W3CDTF">2024-07-10T18:20:00Z</dcterms:created>
  <dcterms:modified xsi:type="dcterms:W3CDTF">2025-01-01T15:30:00Z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11b790b6-63d6-4303-8b51-89b97b972691</vt:lpwstr>
  </property>
</Properties>
</file>