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9052" w14:textId="77777777" w:rsidR="0020728B" w:rsidRPr="00B925AC" w:rsidRDefault="0020728B" w:rsidP="00E67E67">
      <w:pPr>
        <w:pStyle w:val="ArticleTitle"/>
        <w:rPr>
          <w:rFonts w:ascii="Times New Roman" w:hAnsi="Times New Roman"/>
          <w:sz w:val="28"/>
          <w:szCs w:val="28"/>
        </w:rPr>
      </w:pPr>
      <w:r w:rsidRPr="00B925AC">
        <w:rPr>
          <w:rFonts w:ascii="Times New Roman" w:hAnsi="Times New Roman"/>
          <w:sz w:val="28"/>
          <w:szCs w:val="28"/>
        </w:rPr>
        <w:t>Coalitional Constitutionalism:</w:t>
      </w:r>
    </w:p>
    <w:p w14:paraId="242D159F" w14:textId="2A7C8358" w:rsidR="003B4715" w:rsidRPr="003B4715" w:rsidRDefault="0020728B" w:rsidP="003B4715">
      <w:pPr>
        <w:pStyle w:val="ArticleTitle"/>
        <w:rPr>
          <w:rFonts w:ascii="Times New Roman" w:hAnsi="Times New Roman"/>
          <w:sz w:val="28"/>
          <w:szCs w:val="28"/>
        </w:rPr>
      </w:pPr>
      <w:r w:rsidRPr="00B925AC">
        <w:rPr>
          <w:rFonts w:ascii="Times New Roman" w:hAnsi="Times New Roman"/>
          <w:sz w:val="28"/>
          <w:szCs w:val="28"/>
        </w:rPr>
        <w:t>Congress as a Forum of PRinciple</w:t>
      </w:r>
    </w:p>
    <w:p w14:paraId="4039E797" w14:textId="77777777" w:rsidR="003B4715" w:rsidRPr="00B925AC" w:rsidRDefault="003B4715" w:rsidP="00E67E67">
      <w:pPr>
        <w:rPr>
          <w:rFonts w:ascii="Times New Roman" w:hAnsi="Times New Roman"/>
          <w:caps/>
        </w:rPr>
      </w:pPr>
    </w:p>
    <w:p w14:paraId="411F7A46" w14:textId="054BE705" w:rsidR="00E67E67" w:rsidRPr="00B925AC" w:rsidRDefault="00DE3CEC" w:rsidP="00E67E67">
      <w:pPr>
        <w:pStyle w:val="YourName"/>
        <w:rPr>
          <w:rFonts w:ascii="Times New Roman" w:hAnsi="Times New Roman"/>
          <w:i w:val="0"/>
          <w:sz w:val="26"/>
          <w:szCs w:val="26"/>
        </w:rPr>
      </w:pPr>
      <w:r w:rsidRPr="00B925AC">
        <w:rPr>
          <w:rFonts w:ascii="Times New Roman" w:hAnsi="Times New Roman"/>
          <w:sz w:val="26"/>
          <w:szCs w:val="26"/>
        </w:rPr>
        <w:t>Sam Simon</w:t>
      </w:r>
      <w:r w:rsidR="00E67E67" w:rsidRPr="00B925AC">
        <w:rPr>
          <w:rStyle w:val="FootnoteReference"/>
          <w:rFonts w:ascii="Times New Roman" w:hAnsi="Times New Roman"/>
          <w:sz w:val="26"/>
          <w:szCs w:val="26"/>
        </w:rPr>
        <w:footnoteReference w:customMarkFollows="1" w:id="2"/>
        <w:t>*</w:t>
      </w:r>
    </w:p>
    <w:p w14:paraId="60C327B3" w14:textId="77777777" w:rsidR="00BF2904" w:rsidRDefault="00BF2904" w:rsidP="0002166F">
      <w:pPr>
        <w:ind w:firstLine="0"/>
        <w:rPr>
          <w:rFonts w:ascii="Times New Roman" w:hAnsi="Times New Roman"/>
        </w:rPr>
      </w:pPr>
    </w:p>
    <w:p w14:paraId="64FCBF9F" w14:textId="1CD27E51" w:rsidR="002C28ED" w:rsidRDefault="002C28ED" w:rsidP="002C28ED">
      <w:pPr>
        <w:pStyle w:val="Heading1"/>
      </w:pPr>
      <w:r>
        <w:t>Abstract</w:t>
      </w:r>
    </w:p>
    <w:p w14:paraId="3120EF1A" w14:textId="77777777" w:rsidR="002C28ED" w:rsidRDefault="002C28ED" w:rsidP="002C28ED"/>
    <w:p w14:paraId="210989DE" w14:textId="24A7ACA6" w:rsidR="002C28ED" w:rsidRDefault="008C51BA" w:rsidP="002C28ED">
      <w:r>
        <w:t xml:space="preserve">As scholars, commentators, and the American public question the Supreme Court’s ability and willingness to protect core rights, </w:t>
      </w:r>
      <w:r w:rsidR="00F93FB3">
        <w:t xml:space="preserve">we are witnessing a renewed interest in “legislative constitutionalism” – the study of how </w:t>
      </w:r>
      <w:r w:rsidR="00EC0649">
        <w:t xml:space="preserve">legislatures generally and Congress specifically address constitutional questions. </w:t>
      </w:r>
      <w:r w:rsidR="00B476D8">
        <w:t xml:space="preserve">This paper rejects the conventional wisdom that legislative constitutionalism is a contradiction in terms and </w:t>
      </w:r>
      <w:r w:rsidR="00634BD0">
        <w:t>claims that members of Congress develop constitutional ideas in a manner that is principled and potentially protective of minority rights.</w:t>
      </w:r>
      <w:r w:rsidR="00F30EE3">
        <w:t xml:space="preserve"> </w:t>
      </w:r>
      <w:r w:rsidR="005C579D">
        <w:t>In doing so, i</w:t>
      </w:r>
      <w:r w:rsidR="00F30EE3">
        <w:t xml:space="preserve">t presents a model of legislative behavior </w:t>
      </w:r>
      <w:r w:rsidR="00A67CCE">
        <w:t>that lays bare the inner logic of legislative constitutionalism.</w:t>
      </w:r>
    </w:p>
    <w:p w14:paraId="45A62347" w14:textId="727262B2" w:rsidR="000F5E39" w:rsidRPr="002C28ED" w:rsidRDefault="000F5E39" w:rsidP="002C28ED">
      <w:r>
        <w:t xml:space="preserve">Specifically, the paper </w:t>
      </w:r>
      <w:r w:rsidR="007D3BE4">
        <w:t xml:space="preserve">advances three claims. </w:t>
      </w:r>
      <w:r w:rsidR="0046681C">
        <w:t>First, i</w:t>
      </w:r>
      <w:r w:rsidR="007D3BE4">
        <w:t>t argues that Congress should be seen as a “forum of principle,” in the sense that its members develop abstract rules to govern their actions as lawmakers</w:t>
      </w:r>
      <w:r w:rsidR="00F30EE3">
        <w:t xml:space="preserve">, that they follow these rules, and that </w:t>
      </w:r>
      <w:r w:rsidR="005049F7">
        <w:t xml:space="preserve">these rules </w:t>
      </w:r>
      <w:r w:rsidR="004F2536">
        <w:t xml:space="preserve">evolve </w:t>
      </w:r>
      <w:r w:rsidR="005049F7">
        <w:t xml:space="preserve">in a way that is itself principled. </w:t>
      </w:r>
      <w:r w:rsidR="0046681C">
        <w:t xml:space="preserve">Second, it argues that members of Congress </w:t>
      </w:r>
      <w:r w:rsidR="0063494F">
        <w:t xml:space="preserve">face strong incentives to </w:t>
      </w:r>
      <w:r w:rsidR="00714CC5">
        <w:t xml:space="preserve">defend their principles even when they conflict with majority preferences. </w:t>
      </w:r>
      <w:r w:rsidR="00504278">
        <w:t xml:space="preserve">Finally, it argues that the principles developed by members of Congress will </w:t>
      </w:r>
      <w:r w:rsidR="00644FAB">
        <w:t>often</w:t>
      </w:r>
      <w:r w:rsidR="00504278">
        <w:t xml:space="preserve"> reflect large-C Constitutional principles of the type associated with </w:t>
      </w:r>
      <w:r w:rsidR="00D015FE">
        <w:t>courts.</w:t>
      </w:r>
      <w:r w:rsidR="002A0079">
        <w:t xml:space="preserve"> </w:t>
      </w:r>
      <w:r w:rsidR="00694300">
        <w:t>And importantly</w:t>
      </w:r>
      <w:r w:rsidR="002A0079">
        <w:t>, members of Congress act on principle, including constitutional principle, not in spite of the political incentives they face but precisely because of them.</w:t>
      </w:r>
    </w:p>
    <w:p w14:paraId="4E7FAB45" w14:textId="77777777" w:rsidR="002C28ED" w:rsidRPr="00B925AC" w:rsidRDefault="002C28ED" w:rsidP="0002166F">
      <w:pPr>
        <w:ind w:firstLine="0"/>
        <w:rPr>
          <w:rFonts w:ascii="Times New Roman" w:hAnsi="Times New Roman"/>
        </w:rPr>
      </w:pPr>
    </w:p>
    <w:p w14:paraId="7429E880" w14:textId="242D5E5B" w:rsidR="00654E7C" w:rsidRPr="00B925AC" w:rsidRDefault="00E67E67" w:rsidP="00654E7C">
      <w:pPr>
        <w:pStyle w:val="Heading1"/>
        <w:rPr>
          <w:rFonts w:ascii="Times New Roman" w:hAnsi="Times New Roman"/>
        </w:rPr>
      </w:pPr>
      <w:r w:rsidRPr="00B925AC">
        <w:rPr>
          <w:rFonts w:ascii="Times New Roman" w:hAnsi="Times New Roman"/>
        </w:rPr>
        <w:t>Introduction</w:t>
      </w:r>
    </w:p>
    <w:p w14:paraId="09D82F26" w14:textId="748FDFC0" w:rsidR="00DE060F" w:rsidRPr="00B925AC" w:rsidRDefault="00DE060F" w:rsidP="00DE060F">
      <w:pPr>
        <w:rPr>
          <w:rFonts w:ascii="Times New Roman" w:hAnsi="Times New Roman"/>
        </w:rPr>
      </w:pPr>
      <w:r w:rsidRPr="00B925AC">
        <w:rPr>
          <w:rFonts w:ascii="Times New Roman" w:hAnsi="Times New Roman"/>
        </w:rPr>
        <w:t>It was one of the most expensive and controversial advertisements of the 2024 election and, according to some estimates, one of the most effective.</w:t>
      </w:r>
      <w:r w:rsidR="001B64DF" w:rsidRPr="00B925AC">
        <w:rPr>
          <w:rStyle w:val="FootnoteReference"/>
          <w:rFonts w:ascii="Times New Roman" w:hAnsi="Times New Roman"/>
        </w:rPr>
        <w:footnoteReference w:id="3"/>
      </w:r>
      <w:r w:rsidRPr="00B925AC">
        <w:rPr>
          <w:rFonts w:ascii="Times New Roman" w:hAnsi="Times New Roman"/>
        </w:rPr>
        <w:t xml:space="preserve"> In the ad, Kamala Harris speaks to an interviewer against the backdrop of a candidate forum logo. The clip begins with Harris mid-sentence: “surgery, for prisoners . . . every transgender inmate in the prison system would have access.” After flashing on the screen quotes from several news outlets supporting the ad’s claims, </w:t>
      </w:r>
      <w:r w:rsidR="00D546DD" w:rsidRPr="00B925AC">
        <w:rPr>
          <w:rFonts w:ascii="Times New Roman" w:hAnsi="Times New Roman"/>
        </w:rPr>
        <w:t>the ad</w:t>
      </w:r>
      <w:r w:rsidRPr="00B925AC">
        <w:rPr>
          <w:rFonts w:ascii="Times New Roman" w:hAnsi="Times New Roman"/>
        </w:rPr>
        <w:t xml:space="preserve"> concludes with the tag line “Kamala Harris is for they/them; Donald Trump is for </w:t>
      </w:r>
      <w:r w:rsidRPr="00B925AC">
        <w:rPr>
          <w:rFonts w:ascii="Times New Roman" w:hAnsi="Times New Roman"/>
        </w:rPr>
        <w:lastRenderedPageBreak/>
        <w:t>you.”</w:t>
      </w:r>
      <w:r w:rsidR="003D42D7" w:rsidRPr="00B925AC">
        <w:rPr>
          <w:rStyle w:val="FootnoteReference"/>
          <w:rFonts w:ascii="Times New Roman" w:hAnsi="Times New Roman"/>
        </w:rPr>
        <w:footnoteReference w:id="4"/>
      </w:r>
    </w:p>
    <w:p w14:paraId="6F2B9E91" w14:textId="24E2E67C" w:rsidR="005D2EE0" w:rsidRPr="00B925AC" w:rsidRDefault="00660807" w:rsidP="005D2EE0">
      <w:pPr>
        <w:rPr>
          <w:rFonts w:ascii="Times New Roman" w:hAnsi="Times New Roman"/>
        </w:rPr>
      </w:pPr>
      <w:r w:rsidRPr="00B925AC">
        <w:rPr>
          <w:rFonts w:ascii="Times New Roman" w:hAnsi="Times New Roman"/>
        </w:rPr>
        <w:t xml:space="preserve">Among the ad’s consequences has been a public debate among Democratic Party allies over </w:t>
      </w:r>
      <w:r w:rsidR="00A41C2D" w:rsidRPr="00B925AC">
        <w:rPr>
          <w:rFonts w:ascii="Times New Roman" w:hAnsi="Times New Roman"/>
        </w:rPr>
        <w:t>a nebulous collection of institutions collectively known as “the Groups.”</w:t>
      </w:r>
      <w:bookmarkStart w:id="0" w:name="_Ref185841261"/>
      <w:r w:rsidR="006E5F2A" w:rsidRPr="00B925AC">
        <w:rPr>
          <w:rStyle w:val="FootnoteReference"/>
          <w:rFonts w:ascii="Times New Roman" w:hAnsi="Times New Roman"/>
        </w:rPr>
        <w:footnoteReference w:id="5"/>
      </w:r>
      <w:bookmarkEnd w:id="0"/>
      <w:r w:rsidR="00187DB2" w:rsidRPr="00B925AC">
        <w:rPr>
          <w:rFonts w:ascii="Times New Roman" w:hAnsi="Times New Roman"/>
        </w:rPr>
        <w:t xml:space="preserve"> </w:t>
      </w:r>
      <w:r w:rsidR="00AC6BDC" w:rsidRPr="00B925AC">
        <w:rPr>
          <w:rFonts w:ascii="Times New Roman" w:hAnsi="Times New Roman"/>
        </w:rPr>
        <w:t xml:space="preserve">As a </w:t>
      </w:r>
      <w:r w:rsidR="00953C9A" w:rsidRPr="00B925AC">
        <w:rPr>
          <w:rFonts w:ascii="Times New Roman" w:hAnsi="Times New Roman"/>
        </w:rPr>
        <w:t xml:space="preserve">former </w:t>
      </w:r>
      <w:r w:rsidR="00AC6BDC" w:rsidRPr="00B925AC">
        <w:rPr>
          <w:rFonts w:ascii="Times New Roman" w:hAnsi="Times New Roman"/>
        </w:rPr>
        <w:t xml:space="preserve">Senate </w:t>
      </w:r>
      <w:r w:rsidR="00953C9A" w:rsidRPr="00B925AC">
        <w:rPr>
          <w:rFonts w:ascii="Times New Roman" w:hAnsi="Times New Roman"/>
        </w:rPr>
        <w:t>attorney</w:t>
      </w:r>
      <w:r w:rsidR="00AC6BDC" w:rsidRPr="00B925AC">
        <w:rPr>
          <w:rFonts w:ascii="Times New Roman" w:hAnsi="Times New Roman"/>
        </w:rPr>
        <w:t>, I re</w:t>
      </w:r>
      <w:r w:rsidR="00953C9A" w:rsidRPr="00B925AC">
        <w:rPr>
          <w:rFonts w:ascii="Times New Roman" w:hAnsi="Times New Roman"/>
        </w:rPr>
        <w:t xml:space="preserve">member well </w:t>
      </w:r>
      <w:r w:rsidR="00EF3E4D" w:rsidRPr="00B925AC">
        <w:rPr>
          <w:rFonts w:ascii="Times New Roman" w:hAnsi="Times New Roman"/>
        </w:rPr>
        <w:t xml:space="preserve">the experience of </w:t>
      </w:r>
      <w:r w:rsidR="00953C9A" w:rsidRPr="00B925AC">
        <w:rPr>
          <w:rFonts w:ascii="Times New Roman" w:hAnsi="Times New Roman"/>
        </w:rPr>
        <w:t>facing some tricky legal</w:t>
      </w:r>
      <w:r w:rsidR="00523B8F" w:rsidRPr="00B925AC">
        <w:rPr>
          <w:rFonts w:ascii="Times New Roman" w:hAnsi="Times New Roman"/>
        </w:rPr>
        <w:t xml:space="preserve"> policy</w:t>
      </w:r>
      <w:r w:rsidR="00953C9A" w:rsidRPr="00B925AC">
        <w:rPr>
          <w:rFonts w:ascii="Times New Roman" w:hAnsi="Times New Roman"/>
        </w:rPr>
        <w:t xml:space="preserve"> question and being asked </w:t>
      </w:r>
      <w:r w:rsidR="00C86A59" w:rsidRPr="00B925AC">
        <w:rPr>
          <w:rFonts w:ascii="Times New Roman" w:hAnsi="Times New Roman"/>
        </w:rPr>
        <w:t xml:space="preserve">how “the Groups” felt about it. </w:t>
      </w:r>
      <w:r w:rsidR="007C7AFB" w:rsidRPr="00B925AC">
        <w:rPr>
          <w:rFonts w:ascii="Times New Roman" w:hAnsi="Times New Roman"/>
        </w:rPr>
        <w:t xml:space="preserve">The </w:t>
      </w:r>
      <w:r w:rsidR="00720FA2" w:rsidRPr="00B925AC">
        <w:rPr>
          <w:rFonts w:ascii="Times New Roman" w:hAnsi="Times New Roman"/>
        </w:rPr>
        <w:t>g</w:t>
      </w:r>
      <w:r w:rsidR="007C7AFB" w:rsidRPr="00B925AC">
        <w:rPr>
          <w:rFonts w:ascii="Times New Roman" w:hAnsi="Times New Roman"/>
        </w:rPr>
        <w:t>roups in question differed depend</w:t>
      </w:r>
      <w:r w:rsidR="00953100" w:rsidRPr="00B925AC">
        <w:rPr>
          <w:rFonts w:ascii="Times New Roman" w:hAnsi="Times New Roman"/>
        </w:rPr>
        <w:t>ing</w:t>
      </w:r>
      <w:r w:rsidR="007C7AFB" w:rsidRPr="00B925AC">
        <w:rPr>
          <w:rFonts w:ascii="Times New Roman" w:hAnsi="Times New Roman"/>
        </w:rPr>
        <w:t xml:space="preserve"> on the </w:t>
      </w:r>
      <w:r w:rsidR="009166F6" w:rsidRPr="00B925AC">
        <w:rPr>
          <w:rFonts w:ascii="Times New Roman" w:hAnsi="Times New Roman"/>
        </w:rPr>
        <w:t xml:space="preserve">policy issue being discussed. </w:t>
      </w:r>
      <w:r w:rsidR="00B01232" w:rsidRPr="00B925AC">
        <w:rPr>
          <w:rFonts w:ascii="Times New Roman" w:hAnsi="Times New Roman"/>
        </w:rPr>
        <w:t xml:space="preserve">Questions about civil rights were referred to </w:t>
      </w:r>
      <w:r w:rsidR="006E4B9E" w:rsidRPr="00B925AC">
        <w:rPr>
          <w:rFonts w:ascii="Times New Roman" w:hAnsi="Times New Roman"/>
        </w:rPr>
        <w:t>organizations like the</w:t>
      </w:r>
      <w:r w:rsidR="008478F9" w:rsidRPr="00B925AC">
        <w:rPr>
          <w:rFonts w:ascii="Times New Roman" w:hAnsi="Times New Roman"/>
        </w:rPr>
        <w:t xml:space="preserve"> National Association for the Advancement of Colored People (NAACP)</w:t>
      </w:r>
      <w:r w:rsidR="006E4B9E" w:rsidRPr="00B925AC">
        <w:rPr>
          <w:rFonts w:ascii="Times New Roman" w:hAnsi="Times New Roman"/>
        </w:rPr>
        <w:t xml:space="preserve"> and the Leadership Conference on Civil </w:t>
      </w:r>
      <w:r w:rsidR="00201455" w:rsidRPr="00B925AC">
        <w:rPr>
          <w:rFonts w:ascii="Times New Roman" w:hAnsi="Times New Roman"/>
        </w:rPr>
        <w:t xml:space="preserve">and Human </w:t>
      </w:r>
      <w:r w:rsidR="006E4B9E" w:rsidRPr="00B925AC">
        <w:rPr>
          <w:rFonts w:ascii="Times New Roman" w:hAnsi="Times New Roman"/>
        </w:rPr>
        <w:t>Rights</w:t>
      </w:r>
      <w:r w:rsidR="00953100" w:rsidRPr="00B925AC">
        <w:rPr>
          <w:rFonts w:ascii="Times New Roman" w:hAnsi="Times New Roman"/>
        </w:rPr>
        <w:t xml:space="preserve">. Abortion questions went to </w:t>
      </w:r>
      <w:r w:rsidR="00D77C5A" w:rsidRPr="00B925AC">
        <w:rPr>
          <w:rFonts w:ascii="Times New Roman" w:hAnsi="Times New Roman"/>
        </w:rPr>
        <w:t xml:space="preserve">NARAL Pro-Choice America </w:t>
      </w:r>
      <w:r w:rsidR="00953100" w:rsidRPr="00B925AC">
        <w:rPr>
          <w:rFonts w:ascii="Times New Roman" w:hAnsi="Times New Roman"/>
        </w:rPr>
        <w:t>(now</w:t>
      </w:r>
      <w:r w:rsidR="00864BBC" w:rsidRPr="00B925AC">
        <w:rPr>
          <w:rFonts w:ascii="Times New Roman" w:hAnsi="Times New Roman"/>
        </w:rPr>
        <w:t xml:space="preserve"> Reproductive Freedom for All)</w:t>
      </w:r>
      <w:r w:rsidR="00953100" w:rsidRPr="00B925AC">
        <w:rPr>
          <w:rFonts w:ascii="Times New Roman" w:hAnsi="Times New Roman"/>
        </w:rPr>
        <w:t xml:space="preserve"> and Planned Parenthood. </w:t>
      </w:r>
      <w:r w:rsidR="00653FE5" w:rsidRPr="00B925AC">
        <w:rPr>
          <w:rFonts w:ascii="Times New Roman" w:hAnsi="Times New Roman"/>
        </w:rPr>
        <w:t>Often,</w:t>
      </w:r>
      <w:r w:rsidR="000D78F9" w:rsidRPr="00B925AC">
        <w:rPr>
          <w:rFonts w:ascii="Times New Roman" w:hAnsi="Times New Roman"/>
        </w:rPr>
        <w:t xml:space="preserve"> I would consult less-known organizations staffed by particularly thoughtful individuals.</w:t>
      </w:r>
    </w:p>
    <w:p w14:paraId="535350E2" w14:textId="72993EED" w:rsidR="005D2EE0" w:rsidRPr="00B925AC" w:rsidRDefault="0004687D" w:rsidP="005D2EE0">
      <w:pPr>
        <w:rPr>
          <w:rFonts w:ascii="Times New Roman" w:hAnsi="Times New Roman"/>
        </w:rPr>
      </w:pPr>
      <w:r w:rsidRPr="00B925AC">
        <w:rPr>
          <w:rFonts w:ascii="Times New Roman" w:hAnsi="Times New Roman"/>
        </w:rPr>
        <w:t xml:space="preserve">Most </w:t>
      </w:r>
      <w:r w:rsidR="00653FE5" w:rsidRPr="00B925AC">
        <w:rPr>
          <w:rFonts w:ascii="Times New Roman" w:hAnsi="Times New Roman"/>
        </w:rPr>
        <w:t xml:space="preserve">of the commentary on the Groups has been negative. </w:t>
      </w:r>
      <w:r w:rsidR="008874FA" w:rsidRPr="00B925AC">
        <w:rPr>
          <w:rFonts w:ascii="Times New Roman" w:hAnsi="Times New Roman"/>
        </w:rPr>
        <w:t xml:space="preserve">Commentators see them as overly powerful and unrepresentative </w:t>
      </w:r>
      <w:r w:rsidR="003C4624" w:rsidRPr="00B925AC">
        <w:rPr>
          <w:rFonts w:ascii="Times New Roman" w:hAnsi="Times New Roman"/>
        </w:rPr>
        <w:t xml:space="preserve">not just </w:t>
      </w:r>
      <w:r w:rsidR="00360837" w:rsidRPr="00B925AC">
        <w:rPr>
          <w:rFonts w:ascii="Times New Roman" w:hAnsi="Times New Roman"/>
        </w:rPr>
        <w:t xml:space="preserve">of </w:t>
      </w:r>
      <w:r w:rsidR="003C4624" w:rsidRPr="00B925AC">
        <w:rPr>
          <w:rFonts w:ascii="Times New Roman" w:hAnsi="Times New Roman"/>
        </w:rPr>
        <w:t xml:space="preserve">the broader public but even </w:t>
      </w:r>
      <w:r w:rsidR="007D1F44" w:rsidRPr="00B925AC">
        <w:rPr>
          <w:rFonts w:ascii="Times New Roman" w:hAnsi="Times New Roman"/>
        </w:rPr>
        <w:t xml:space="preserve">of </w:t>
      </w:r>
      <w:r w:rsidR="003C4624" w:rsidRPr="00B925AC">
        <w:rPr>
          <w:rFonts w:ascii="Times New Roman" w:hAnsi="Times New Roman"/>
        </w:rPr>
        <w:t>the constituencies they claim to represent.</w:t>
      </w:r>
      <w:r w:rsidR="003C4624" w:rsidRPr="00B925AC">
        <w:rPr>
          <w:rStyle w:val="FootnoteReference"/>
          <w:rFonts w:ascii="Times New Roman" w:hAnsi="Times New Roman"/>
        </w:rPr>
        <w:footnoteReference w:id="6"/>
      </w:r>
      <w:r w:rsidR="00156D9E" w:rsidRPr="00B925AC">
        <w:rPr>
          <w:rFonts w:ascii="Times New Roman" w:hAnsi="Times New Roman"/>
        </w:rPr>
        <w:t xml:space="preserve"> Even if they were not the </w:t>
      </w:r>
      <w:r w:rsidR="00341F8B" w:rsidRPr="00B925AC">
        <w:rPr>
          <w:rFonts w:ascii="Times New Roman" w:hAnsi="Times New Roman"/>
        </w:rPr>
        <w:t>only cause of Harris’s loss, they are an impediment to the Democratic Party achieving the durable majority it needs and deserves.</w:t>
      </w:r>
    </w:p>
    <w:p w14:paraId="2F01762D" w14:textId="1AF0D345" w:rsidR="00365053" w:rsidRPr="00B925AC" w:rsidRDefault="00655DB1" w:rsidP="005D2EE0">
      <w:pPr>
        <w:rPr>
          <w:rFonts w:ascii="Times New Roman" w:hAnsi="Times New Roman"/>
        </w:rPr>
      </w:pPr>
      <w:r w:rsidRPr="00B925AC">
        <w:rPr>
          <w:rFonts w:ascii="Times New Roman" w:hAnsi="Times New Roman"/>
        </w:rPr>
        <w:t xml:space="preserve">At a glance, this year’s discussion of the Groups </w:t>
      </w:r>
      <w:r w:rsidR="007C25D2" w:rsidRPr="00B925AC">
        <w:rPr>
          <w:rFonts w:ascii="Times New Roman" w:hAnsi="Times New Roman"/>
        </w:rPr>
        <w:t xml:space="preserve">provides a stark contrast to a debate </w:t>
      </w:r>
      <w:r w:rsidR="006A2059" w:rsidRPr="00B925AC">
        <w:rPr>
          <w:rFonts w:ascii="Times New Roman" w:hAnsi="Times New Roman"/>
        </w:rPr>
        <w:t>from the early Biden years</w:t>
      </w:r>
      <w:r w:rsidR="007C25D2" w:rsidRPr="00B925AC">
        <w:rPr>
          <w:rFonts w:ascii="Times New Roman" w:hAnsi="Times New Roman"/>
        </w:rPr>
        <w:t xml:space="preserve">. </w:t>
      </w:r>
      <w:r w:rsidR="001F77BD" w:rsidRPr="00B925AC">
        <w:rPr>
          <w:rFonts w:ascii="Times New Roman" w:hAnsi="Times New Roman"/>
        </w:rPr>
        <w:t xml:space="preserve">Faced with a conservative Supreme Court – and, in the eyes of many, </w:t>
      </w:r>
      <w:r w:rsidR="008168B0" w:rsidRPr="00B925AC">
        <w:rPr>
          <w:rFonts w:ascii="Times New Roman" w:hAnsi="Times New Roman"/>
        </w:rPr>
        <w:t>an illegitimate one</w:t>
      </w:r>
      <w:r w:rsidR="008168B0" w:rsidRPr="00B925AC">
        <w:rPr>
          <w:rStyle w:val="FootnoteReference"/>
          <w:rFonts w:ascii="Times New Roman" w:hAnsi="Times New Roman"/>
        </w:rPr>
        <w:footnoteReference w:id="7"/>
      </w:r>
      <w:r w:rsidR="008168B0" w:rsidRPr="00B925AC">
        <w:rPr>
          <w:rFonts w:ascii="Times New Roman" w:hAnsi="Times New Roman"/>
        </w:rPr>
        <w:t xml:space="preserve"> </w:t>
      </w:r>
      <w:r w:rsidR="00244E45" w:rsidRPr="00B925AC">
        <w:rPr>
          <w:rFonts w:ascii="Times New Roman" w:hAnsi="Times New Roman"/>
        </w:rPr>
        <w:t>–</w:t>
      </w:r>
      <w:r w:rsidR="008168B0" w:rsidRPr="00B925AC">
        <w:rPr>
          <w:rFonts w:ascii="Times New Roman" w:hAnsi="Times New Roman"/>
        </w:rPr>
        <w:t xml:space="preserve"> </w:t>
      </w:r>
      <w:r w:rsidR="00E638FD" w:rsidRPr="00B925AC">
        <w:rPr>
          <w:rFonts w:ascii="Times New Roman" w:hAnsi="Times New Roman"/>
        </w:rPr>
        <w:t xml:space="preserve">commentators questioned whether </w:t>
      </w:r>
      <w:r w:rsidR="00D14C4A" w:rsidRPr="00B925AC">
        <w:rPr>
          <w:rFonts w:ascii="Times New Roman" w:hAnsi="Times New Roman"/>
        </w:rPr>
        <w:t>progressives could continue to view the Court as an important protector of individual rights</w:t>
      </w:r>
      <w:r w:rsidR="004E6796" w:rsidRPr="00B925AC">
        <w:rPr>
          <w:rFonts w:ascii="Times New Roman" w:hAnsi="Times New Roman"/>
        </w:rPr>
        <w:t xml:space="preserve"> and other constitutional protections</w:t>
      </w:r>
      <w:r w:rsidR="00D14C4A" w:rsidRPr="00B925AC">
        <w:rPr>
          <w:rFonts w:ascii="Times New Roman" w:hAnsi="Times New Roman"/>
        </w:rPr>
        <w:t>.</w:t>
      </w:r>
      <w:r w:rsidR="0065496F" w:rsidRPr="00B925AC">
        <w:rPr>
          <w:rStyle w:val="FootnoteReference"/>
          <w:rFonts w:ascii="Times New Roman" w:hAnsi="Times New Roman"/>
        </w:rPr>
        <w:footnoteReference w:id="8"/>
      </w:r>
      <w:r w:rsidR="00D14C4A" w:rsidRPr="00B925AC">
        <w:rPr>
          <w:rFonts w:ascii="Times New Roman" w:hAnsi="Times New Roman"/>
        </w:rPr>
        <w:t xml:space="preserve"> </w:t>
      </w:r>
      <w:r w:rsidR="00CD7C8F" w:rsidRPr="00B925AC">
        <w:rPr>
          <w:rFonts w:ascii="Times New Roman" w:hAnsi="Times New Roman"/>
        </w:rPr>
        <w:t xml:space="preserve">Building on a body of ideas </w:t>
      </w:r>
      <w:r w:rsidR="00CD7C8F" w:rsidRPr="00B925AC">
        <w:rPr>
          <w:rFonts w:ascii="Times New Roman" w:hAnsi="Times New Roman"/>
        </w:rPr>
        <w:lastRenderedPageBreak/>
        <w:t xml:space="preserve">that goes back to the Founding, scholars asked whether the political branches </w:t>
      </w:r>
      <w:r w:rsidR="00087ECF" w:rsidRPr="00B925AC">
        <w:rPr>
          <w:rFonts w:ascii="Times New Roman" w:hAnsi="Times New Roman"/>
        </w:rPr>
        <w:t>should</w:t>
      </w:r>
      <w:r w:rsidR="00CD7C8F" w:rsidRPr="00B925AC">
        <w:rPr>
          <w:rFonts w:ascii="Times New Roman" w:hAnsi="Times New Roman"/>
        </w:rPr>
        <w:t xml:space="preserve"> play a </w:t>
      </w:r>
      <w:r w:rsidR="00087ECF" w:rsidRPr="00B925AC">
        <w:rPr>
          <w:rFonts w:ascii="Times New Roman" w:hAnsi="Times New Roman"/>
        </w:rPr>
        <w:t xml:space="preserve">larger role in rights protection. If the Court will not protect abortion, </w:t>
      </w:r>
      <w:r w:rsidR="00574D32" w:rsidRPr="00B925AC">
        <w:rPr>
          <w:rFonts w:ascii="Times New Roman" w:hAnsi="Times New Roman"/>
        </w:rPr>
        <w:t>perhaps Congress can.</w:t>
      </w:r>
      <w:bookmarkStart w:id="1" w:name="_Ref186290902"/>
      <w:r w:rsidR="00574D32" w:rsidRPr="00B925AC">
        <w:rPr>
          <w:rStyle w:val="FootnoteReference"/>
          <w:rFonts w:ascii="Times New Roman" w:hAnsi="Times New Roman"/>
        </w:rPr>
        <w:footnoteReference w:id="9"/>
      </w:r>
      <w:bookmarkEnd w:id="1"/>
      <w:r w:rsidR="00926A65" w:rsidRPr="00B925AC">
        <w:rPr>
          <w:rFonts w:ascii="Times New Roman" w:hAnsi="Times New Roman"/>
        </w:rPr>
        <w:t xml:space="preserve"> If it will not protect vulnerable minorities, perhaps Congress will.</w:t>
      </w:r>
      <w:bookmarkStart w:id="2" w:name="_Ref186363916"/>
      <w:r w:rsidR="00926A65" w:rsidRPr="00B925AC">
        <w:rPr>
          <w:rStyle w:val="FootnoteReference"/>
          <w:rFonts w:ascii="Times New Roman" w:hAnsi="Times New Roman"/>
        </w:rPr>
        <w:footnoteReference w:id="10"/>
      </w:r>
      <w:bookmarkEnd w:id="2"/>
      <w:r w:rsidR="00264269" w:rsidRPr="00B925AC">
        <w:rPr>
          <w:rFonts w:ascii="Times New Roman" w:hAnsi="Times New Roman"/>
        </w:rPr>
        <w:t xml:space="preserve"> If the Constitution</w:t>
      </w:r>
      <w:r w:rsidR="00E06440" w:rsidRPr="00B925AC">
        <w:rPr>
          <w:rFonts w:ascii="Times New Roman" w:hAnsi="Times New Roman"/>
        </w:rPr>
        <w:t>, or at least the progressive vision of it, is dead in the Court, perhaps it can achieve a second life in the legislature.</w:t>
      </w:r>
    </w:p>
    <w:p w14:paraId="24825C51" w14:textId="7596346D" w:rsidR="005D2EE0" w:rsidRPr="00B925AC" w:rsidRDefault="005D2EE0" w:rsidP="00F06816">
      <w:pPr>
        <w:rPr>
          <w:rFonts w:ascii="Times New Roman" w:hAnsi="Times New Roman"/>
        </w:rPr>
      </w:pPr>
      <w:r w:rsidRPr="00B925AC">
        <w:rPr>
          <w:rFonts w:ascii="Times New Roman" w:hAnsi="Times New Roman"/>
        </w:rPr>
        <w:t xml:space="preserve">This paper </w:t>
      </w:r>
      <w:r w:rsidR="00E80720" w:rsidRPr="00B925AC">
        <w:rPr>
          <w:rFonts w:ascii="Times New Roman" w:hAnsi="Times New Roman"/>
        </w:rPr>
        <w:t xml:space="preserve">treats </w:t>
      </w:r>
      <w:r w:rsidR="00411F11" w:rsidRPr="00B925AC">
        <w:rPr>
          <w:rFonts w:ascii="Times New Roman" w:hAnsi="Times New Roman"/>
        </w:rPr>
        <w:t xml:space="preserve">the two conversations – the debate over the </w:t>
      </w:r>
      <w:r w:rsidR="00572BBD" w:rsidRPr="00B925AC">
        <w:rPr>
          <w:rFonts w:ascii="Times New Roman" w:hAnsi="Times New Roman"/>
        </w:rPr>
        <w:t>G</w:t>
      </w:r>
      <w:r w:rsidR="00411F11" w:rsidRPr="00B925AC">
        <w:rPr>
          <w:rFonts w:ascii="Times New Roman" w:hAnsi="Times New Roman"/>
        </w:rPr>
        <w:t xml:space="preserve">roups and the </w:t>
      </w:r>
      <w:r w:rsidR="00FF072E" w:rsidRPr="00B925AC">
        <w:rPr>
          <w:rFonts w:ascii="Times New Roman" w:hAnsi="Times New Roman"/>
        </w:rPr>
        <w:t>discussion of political actors’ role in defending the Constitution</w:t>
      </w:r>
      <w:r w:rsidR="000C29D6" w:rsidRPr="00B925AC">
        <w:rPr>
          <w:rStyle w:val="FootnoteReference"/>
          <w:rFonts w:ascii="Times New Roman" w:hAnsi="Times New Roman"/>
        </w:rPr>
        <w:footnoteReference w:id="11"/>
      </w:r>
      <w:r w:rsidR="00FF072E" w:rsidRPr="00B925AC">
        <w:rPr>
          <w:rFonts w:ascii="Times New Roman" w:hAnsi="Times New Roman"/>
        </w:rPr>
        <w:t xml:space="preserve"> – </w:t>
      </w:r>
      <w:r w:rsidR="00E80720" w:rsidRPr="00B925AC">
        <w:rPr>
          <w:rFonts w:ascii="Times New Roman" w:hAnsi="Times New Roman"/>
        </w:rPr>
        <w:t xml:space="preserve">as </w:t>
      </w:r>
      <w:r w:rsidR="00FF072E" w:rsidRPr="00B925AC">
        <w:rPr>
          <w:rFonts w:ascii="Times New Roman" w:hAnsi="Times New Roman"/>
        </w:rPr>
        <w:t xml:space="preserve">one and the same. </w:t>
      </w:r>
      <w:r w:rsidR="00975D48" w:rsidRPr="00B925AC">
        <w:rPr>
          <w:rFonts w:ascii="Times New Roman" w:hAnsi="Times New Roman"/>
        </w:rPr>
        <w:t xml:space="preserve">Generations of scholarship have </w:t>
      </w:r>
      <w:r w:rsidR="000902C7" w:rsidRPr="00B925AC">
        <w:rPr>
          <w:rFonts w:ascii="Times New Roman" w:hAnsi="Times New Roman"/>
        </w:rPr>
        <w:t xml:space="preserve">contrasted </w:t>
      </w:r>
      <w:r w:rsidR="00C312F3" w:rsidRPr="00B925AC">
        <w:rPr>
          <w:rFonts w:ascii="Times New Roman" w:hAnsi="Times New Roman"/>
        </w:rPr>
        <w:t xml:space="preserve">the majoritarian political branches with the </w:t>
      </w:r>
      <w:proofErr w:type="spellStart"/>
      <w:r w:rsidR="00C312F3" w:rsidRPr="00B925AC">
        <w:rPr>
          <w:rFonts w:ascii="Times New Roman" w:hAnsi="Times New Roman"/>
        </w:rPr>
        <w:t>countermajoritarian</w:t>
      </w:r>
      <w:proofErr w:type="spellEnd"/>
      <w:r w:rsidR="00C312F3" w:rsidRPr="00B925AC">
        <w:rPr>
          <w:rFonts w:ascii="Times New Roman" w:hAnsi="Times New Roman"/>
        </w:rPr>
        <w:t xml:space="preserve"> courts</w:t>
      </w:r>
      <w:r w:rsidR="00091854" w:rsidRPr="00B925AC">
        <w:rPr>
          <w:rFonts w:ascii="Times New Roman" w:hAnsi="Times New Roman"/>
        </w:rPr>
        <w:t>.</w:t>
      </w:r>
      <w:bookmarkStart w:id="3" w:name="_Ref185842536"/>
      <w:r w:rsidR="001338AD" w:rsidRPr="00B925AC">
        <w:rPr>
          <w:rStyle w:val="FootnoteReference"/>
          <w:rFonts w:ascii="Times New Roman" w:hAnsi="Times New Roman"/>
        </w:rPr>
        <w:footnoteReference w:id="12"/>
      </w:r>
      <w:r w:rsidR="005130AB" w:rsidRPr="00B925AC">
        <w:rPr>
          <w:rFonts w:ascii="Times New Roman" w:hAnsi="Times New Roman"/>
        </w:rPr>
        <w:t xml:space="preserve"> </w:t>
      </w:r>
      <w:r w:rsidR="000962E6" w:rsidRPr="00B925AC">
        <w:rPr>
          <w:rFonts w:ascii="Times New Roman" w:hAnsi="Times New Roman"/>
        </w:rPr>
        <w:t>And w</w:t>
      </w:r>
      <w:r w:rsidR="005130AB" w:rsidRPr="00B925AC">
        <w:rPr>
          <w:rFonts w:ascii="Times New Roman" w:hAnsi="Times New Roman"/>
        </w:rPr>
        <w:t xml:space="preserve">hile </w:t>
      </w:r>
      <w:r w:rsidR="00BD6615" w:rsidRPr="00B925AC">
        <w:rPr>
          <w:rFonts w:ascii="Times New Roman" w:hAnsi="Times New Roman"/>
        </w:rPr>
        <w:t xml:space="preserve">legal </w:t>
      </w:r>
      <w:r w:rsidR="005042DD" w:rsidRPr="00B925AC">
        <w:rPr>
          <w:rFonts w:ascii="Times New Roman" w:hAnsi="Times New Roman"/>
        </w:rPr>
        <w:t xml:space="preserve">scholars </w:t>
      </w:r>
      <w:r w:rsidR="00A3191F" w:rsidRPr="00B925AC">
        <w:rPr>
          <w:rFonts w:ascii="Times New Roman" w:hAnsi="Times New Roman"/>
        </w:rPr>
        <w:t>have questioned whether the courts</w:t>
      </w:r>
      <w:r w:rsidR="009D37FF" w:rsidRPr="00B925AC">
        <w:rPr>
          <w:rFonts w:ascii="Times New Roman" w:hAnsi="Times New Roman"/>
        </w:rPr>
        <w:t xml:space="preserve"> are truly </w:t>
      </w:r>
      <w:proofErr w:type="spellStart"/>
      <w:r w:rsidR="009D37FF" w:rsidRPr="00B925AC">
        <w:rPr>
          <w:rFonts w:ascii="Times New Roman" w:hAnsi="Times New Roman"/>
        </w:rPr>
        <w:t>countermajoritarian</w:t>
      </w:r>
      <w:proofErr w:type="spellEnd"/>
      <w:r w:rsidR="009D37FF" w:rsidRPr="00B925AC">
        <w:rPr>
          <w:rFonts w:ascii="Times New Roman" w:hAnsi="Times New Roman"/>
        </w:rPr>
        <w:t>,</w:t>
      </w:r>
      <w:r w:rsidR="009D3B22" w:rsidRPr="00B925AC">
        <w:rPr>
          <w:rStyle w:val="FootnoteReference"/>
          <w:rFonts w:ascii="Times New Roman" w:hAnsi="Times New Roman"/>
        </w:rPr>
        <w:footnoteReference w:id="13"/>
      </w:r>
      <w:r w:rsidR="009D37FF" w:rsidRPr="00B925AC">
        <w:rPr>
          <w:rFonts w:ascii="Times New Roman" w:hAnsi="Times New Roman"/>
        </w:rPr>
        <w:t xml:space="preserve"> </w:t>
      </w:r>
      <w:r w:rsidR="00BD6615" w:rsidRPr="00B925AC">
        <w:rPr>
          <w:rFonts w:ascii="Times New Roman" w:hAnsi="Times New Roman"/>
        </w:rPr>
        <w:t xml:space="preserve">they rarely ask whether the political branches may in fact be </w:t>
      </w:r>
      <w:r w:rsidR="00CD6AF5" w:rsidRPr="00B925AC">
        <w:rPr>
          <w:rFonts w:ascii="Times New Roman" w:hAnsi="Times New Roman"/>
        </w:rPr>
        <w:t>forums of constitutional principle.</w:t>
      </w:r>
      <w:r w:rsidR="00BD46C4" w:rsidRPr="00B925AC">
        <w:rPr>
          <w:rFonts w:ascii="Times New Roman" w:hAnsi="Times New Roman"/>
        </w:rPr>
        <w:t xml:space="preserve"> </w:t>
      </w:r>
      <w:r w:rsidR="00F04351" w:rsidRPr="00B925AC">
        <w:rPr>
          <w:rFonts w:ascii="Times New Roman" w:hAnsi="Times New Roman"/>
        </w:rPr>
        <w:t>Moreover, t</w:t>
      </w:r>
      <w:r w:rsidR="00361159" w:rsidRPr="00B925AC">
        <w:rPr>
          <w:rFonts w:ascii="Times New Roman" w:hAnsi="Times New Roman"/>
        </w:rPr>
        <w:t>hose scholars who have searched for principled constitutionalism in Congress</w:t>
      </w:r>
      <w:bookmarkStart w:id="4" w:name="_Ref186366920"/>
      <w:r w:rsidR="006D1048" w:rsidRPr="00B925AC">
        <w:rPr>
          <w:rStyle w:val="FootnoteReference"/>
          <w:rFonts w:ascii="Times New Roman" w:hAnsi="Times New Roman"/>
        </w:rPr>
        <w:footnoteReference w:id="14"/>
      </w:r>
      <w:bookmarkEnd w:id="4"/>
      <w:r w:rsidR="006D1048" w:rsidRPr="00B925AC">
        <w:rPr>
          <w:rFonts w:ascii="Times New Roman" w:hAnsi="Times New Roman"/>
        </w:rPr>
        <w:t xml:space="preserve"> have not offered an account of the relationship between politics and </w:t>
      </w:r>
      <w:r w:rsidR="006D1048" w:rsidRPr="00B925AC">
        <w:rPr>
          <w:rFonts w:ascii="Times New Roman" w:hAnsi="Times New Roman"/>
        </w:rPr>
        <w:lastRenderedPageBreak/>
        <w:t xml:space="preserve">principle. </w:t>
      </w:r>
      <w:r w:rsidR="00C0576F" w:rsidRPr="00B925AC">
        <w:rPr>
          <w:rFonts w:ascii="Times New Roman" w:hAnsi="Times New Roman"/>
        </w:rPr>
        <w:t xml:space="preserve">While </w:t>
      </w:r>
      <w:r w:rsidR="00DE543B" w:rsidRPr="00B925AC">
        <w:rPr>
          <w:rFonts w:ascii="Times New Roman" w:hAnsi="Times New Roman"/>
        </w:rPr>
        <w:t xml:space="preserve">some historical accounts suggest that Congress </w:t>
      </w:r>
      <w:r w:rsidR="00750B4F" w:rsidRPr="00B925AC">
        <w:rPr>
          <w:rFonts w:ascii="Times New Roman" w:hAnsi="Times New Roman"/>
        </w:rPr>
        <w:t>outperforms expectations when it comes to protecting constitutional values,</w:t>
      </w:r>
      <w:r w:rsidR="0004222D" w:rsidRPr="00B925AC">
        <w:rPr>
          <w:rStyle w:val="FootnoteReference"/>
          <w:rFonts w:ascii="Times New Roman" w:hAnsi="Times New Roman"/>
        </w:rPr>
        <w:footnoteReference w:id="15"/>
      </w:r>
      <w:r w:rsidR="005A270C" w:rsidRPr="00B925AC">
        <w:rPr>
          <w:rFonts w:ascii="Times New Roman" w:hAnsi="Times New Roman"/>
        </w:rPr>
        <w:t xml:space="preserve"> we lack a theory of how Congress’s political </w:t>
      </w:r>
      <w:r w:rsidR="002C374D" w:rsidRPr="00B925AC">
        <w:rPr>
          <w:rFonts w:ascii="Times New Roman" w:hAnsi="Times New Roman"/>
        </w:rPr>
        <w:t xml:space="preserve">incentives produce or fail to produce </w:t>
      </w:r>
      <w:r w:rsidR="00336C9C" w:rsidRPr="00B925AC">
        <w:rPr>
          <w:rFonts w:ascii="Times New Roman" w:hAnsi="Times New Roman"/>
        </w:rPr>
        <w:t>constitutional principle</w:t>
      </w:r>
      <w:r w:rsidR="002C374D" w:rsidRPr="00B925AC">
        <w:rPr>
          <w:rFonts w:ascii="Times New Roman" w:hAnsi="Times New Roman"/>
        </w:rPr>
        <w:t>.</w:t>
      </w:r>
      <w:bookmarkEnd w:id="3"/>
      <w:r w:rsidR="00F06816" w:rsidRPr="00B925AC">
        <w:rPr>
          <w:rFonts w:ascii="Times New Roman" w:hAnsi="Times New Roman"/>
        </w:rPr>
        <w:t xml:space="preserve"> </w:t>
      </w:r>
      <w:r w:rsidR="000D5BFD" w:rsidRPr="00B925AC">
        <w:rPr>
          <w:rFonts w:ascii="Times New Roman" w:hAnsi="Times New Roman"/>
        </w:rPr>
        <w:t>T</w:t>
      </w:r>
      <w:r w:rsidR="000C1FC0" w:rsidRPr="00B925AC">
        <w:rPr>
          <w:rFonts w:ascii="Times New Roman" w:hAnsi="Times New Roman"/>
        </w:rPr>
        <w:t>he recent attention to the Groups highlights</w:t>
      </w:r>
      <w:r w:rsidR="00DA2D17" w:rsidRPr="00B925AC">
        <w:rPr>
          <w:rFonts w:ascii="Times New Roman" w:hAnsi="Times New Roman"/>
        </w:rPr>
        <w:t xml:space="preserve"> a mechanism</w:t>
      </w:r>
      <w:r w:rsidR="001A667F" w:rsidRPr="00B925AC">
        <w:rPr>
          <w:rFonts w:ascii="Times New Roman" w:hAnsi="Times New Roman"/>
        </w:rPr>
        <w:t xml:space="preserve"> that has apparently </w:t>
      </w:r>
      <w:r w:rsidR="001C6378" w:rsidRPr="00B925AC">
        <w:rPr>
          <w:rFonts w:ascii="Times New Roman" w:hAnsi="Times New Roman"/>
        </w:rPr>
        <w:t xml:space="preserve">(and, in the eyes of many, excessively) </w:t>
      </w:r>
      <w:r w:rsidR="001A667F" w:rsidRPr="00B925AC">
        <w:rPr>
          <w:rFonts w:ascii="Times New Roman" w:hAnsi="Times New Roman"/>
        </w:rPr>
        <w:t>pulled politicians away from majority preferences</w:t>
      </w:r>
      <w:r w:rsidR="000B06A9" w:rsidRPr="00B925AC">
        <w:rPr>
          <w:rFonts w:ascii="Times New Roman" w:hAnsi="Times New Roman"/>
        </w:rPr>
        <w:t xml:space="preserve"> towards aggressive defenses of individual rights</w:t>
      </w:r>
      <w:r w:rsidR="000272F4" w:rsidRPr="00B925AC">
        <w:rPr>
          <w:rFonts w:ascii="Times New Roman" w:hAnsi="Times New Roman"/>
        </w:rPr>
        <w:t xml:space="preserve">, a mechanism that has gotten no attention from constitutional scholars </w:t>
      </w:r>
      <w:r w:rsidR="00C1522B" w:rsidRPr="00B925AC">
        <w:rPr>
          <w:rFonts w:ascii="Times New Roman" w:hAnsi="Times New Roman"/>
        </w:rPr>
        <w:t>looking for evidence that Congress can protect minority rights</w:t>
      </w:r>
      <w:r w:rsidR="000B06A9" w:rsidRPr="00B925AC">
        <w:rPr>
          <w:rFonts w:ascii="Times New Roman" w:hAnsi="Times New Roman"/>
        </w:rPr>
        <w:t>.</w:t>
      </w:r>
      <w:r w:rsidR="00391B56" w:rsidRPr="00B925AC">
        <w:rPr>
          <w:rFonts w:ascii="Times New Roman" w:hAnsi="Times New Roman"/>
        </w:rPr>
        <w:t xml:space="preserve"> </w:t>
      </w:r>
    </w:p>
    <w:p w14:paraId="37E03679" w14:textId="77777777" w:rsidR="0000489D" w:rsidRPr="00B925AC" w:rsidRDefault="0086238F" w:rsidP="005D2EE0">
      <w:pPr>
        <w:rPr>
          <w:rFonts w:ascii="Times New Roman" w:hAnsi="Times New Roman"/>
        </w:rPr>
      </w:pPr>
      <w:r w:rsidRPr="00B925AC">
        <w:rPr>
          <w:rFonts w:ascii="Times New Roman" w:hAnsi="Times New Roman"/>
        </w:rPr>
        <w:t>This</w:t>
      </w:r>
      <w:r w:rsidR="00000820" w:rsidRPr="00B925AC">
        <w:rPr>
          <w:rFonts w:ascii="Times New Roman" w:hAnsi="Times New Roman"/>
        </w:rPr>
        <w:t xml:space="preserve"> paper </w:t>
      </w:r>
      <w:r w:rsidR="00E87DE1" w:rsidRPr="00B925AC">
        <w:rPr>
          <w:rFonts w:ascii="Times New Roman" w:hAnsi="Times New Roman"/>
        </w:rPr>
        <w:t xml:space="preserve">argues that </w:t>
      </w:r>
      <w:r w:rsidR="001A74A8" w:rsidRPr="00B925AC">
        <w:rPr>
          <w:rFonts w:ascii="Times New Roman" w:hAnsi="Times New Roman"/>
        </w:rPr>
        <w:t>politicians can be expected to defend individual rights even when they conflict with majority preferences</w:t>
      </w:r>
      <w:r w:rsidR="001D4682" w:rsidRPr="00B925AC">
        <w:rPr>
          <w:rFonts w:ascii="Times New Roman" w:hAnsi="Times New Roman"/>
        </w:rPr>
        <w:t xml:space="preserve"> – and that the reason has a lot to do with “the Groups.” </w:t>
      </w:r>
      <w:r w:rsidR="00196535" w:rsidRPr="00B925AC">
        <w:rPr>
          <w:rFonts w:ascii="Times New Roman" w:hAnsi="Times New Roman"/>
        </w:rPr>
        <w:t>T</w:t>
      </w:r>
      <w:r w:rsidR="00174E8F" w:rsidRPr="00B925AC">
        <w:rPr>
          <w:rFonts w:ascii="Times New Roman" w:hAnsi="Times New Roman"/>
        </w:rPr>
        <w:t>he paper sketches a model of political behavior</w:t>
      </w:r>
      <w:r w:rsidR="00196535" w:rsidRPr="00B925AC">
        <w:rPr>
          <w:rFonts w:ascii="Times New Roman" w:hAnsi="Times New Roman"/>
        </w:rPr>
        <w:t>, which I call “coalitional constitutionalism,”</w:t>
      </w:r>
      <w:r w:rsidR="00174E8F" w:rsidRPr="00B925AC">
        <w:rPr>
          <w:rFonts w:ascii="Times New Roman" w:hAnsi="Times New Roman"/>
        </w:rPr>
        <w:t xml:space="preserve"> in which politicians’ incentives to win reelection and shape policy push them to </w:t>
      </w:r>
      <w:r w:rsidR="00114453" w:rsidRPr="00B925AC">
        <w:rPr>
          <w:rFonts w:ascii="Times New Roman" w:hAnsi="Times New Roman"/>
        </w:rPr>
        <w:t xml:space="preserve">develop constitutional principles and defend </w:t>
      </w:r>
      <w:r w:rsidR="004671E0" w:rsidRPr="00B925AC">
        <w:rPr>
          <w:rFonts w:ascii="Times New Roman" w:hAnsi="Times New Roman"/>
        </w:rPr>
        <w:t>those principles</w:t>
      </w:r>
      <w:r w:rsidR="00114453" w:rsidRPr="00B925AC">
        <w:rPr>
          <w:rFonts w:ascii="Times New Roman" w:hAnsi="Times New Roman"/>
        </w:rPr>
        <w:t xml:space="preserve"> against hostile majorities. </w:t>
      </w:r>
    </w:p>
    <w:p w14:paraId="2A40C797" w14:textId="1ECBA2D8" w:rsidR="00F90225" w:rsidRPr="00B925AC" w:rsidRDefault="0087129C" w:rsidP="005D2EE0">
      <w:pPr>
        <w:rPr>
          <w:rFonts w:ascii="Times New Roman" w:hAnsi="Times New Roman"/>
        </w:rPr>
      </w:pPr>
      <w:r w:rsidRPr="00B925AC">
        <w:rPr>
          <w:rFonts w:ascii="Times New Roman" w:hAnsi="Times New Roman"/>
        </w:rPr>
        <w:t xml:space="preserve">Coalitional constitutionalism is a response to critics of the political branches who contrast them with judicial “forums of principle” </w:t>
      </w:r>
      <w:r w:rsidR="00E97647" w:rsidRPr="00B925AC">
        <w:rPr>
          <w:rFonts w:ascii="Times New Roman" w:hAnsi="Times New Roman"/>
        </w:rPr>
        <w:t>and question their willingness to defend the rights of unpopular minorities.</w:t>
      </w:r>
      <w:r w:rsidR="006A3BFB" w:rsidRPr="00B925AC">
        <w:rPr>
          <w:rStyle w:val="FootnoteReference"/>
          <w:rFonts w:ascii="Times New Roman" w:hAnsi="Times New Roman"/>
        </w:rPr>
        <w:footnoteReference w:id="16"/>
      </w:r>
      <w:r w:rsidR="00923A3C" w:rsidRPr="00B925AC">
        <w:rPr>
          <w:rFonts w:ascii="Times New Roman" w:hAnsi="Times New Roman"/>
        </w:rPr>
        <w:t xml:space="preserve"> But it is also a tool </w:t>
      </w:r>
      <w:r w:rsidR="00A05816" w:rsidRPr="00B925AC">
        <w:rPr>
          <w:rFonts w:ascii="Times New Roman" w:hAnsi="Times New Roman"/>
        </w:rPr>
        <w:t>f</w:t>
      </w:r>
      <w:r w:rsidR="00321383" w:rsidRPr="00B925AC">
        <w:rPr>
          <w:rFonts w:ascii="Times New Roman" w:hAnsi="Times New Roman"/>
        </w:rPr>
        <w:t xml:space="preserve">or determining </w:t>
      </w:r>
      <w:r w:rsidR="00923A3C" w:rsidRPr="00B925AC">
        <w:rPr>
          <w:rFonts w:ascii="Times New Roman" w:hAnsi="Times New Roman"/>
        </w:rPr>
        <w:t xml:space="preserve">what the political branches do well and what they do poorly. </w:t>
      </w:r>
      <w:r w:rsidR="0065435D" w:rsidRPr="00B925AC">
        <w:rPr>
          <w:rFonts w:ascii="Times New Roman" w:hAnsi="Times New Roman"/>
        </w:rPr>
        <w:t xml:space="preserve">By </w:t>
      </w:r>
      <w:r w:rsidR="0012380F" w:rsidRPr="00B925AC">
        <w:rPr>
          <w:rFonts w:ascii="Times New Roman" w:hAnsi="Times New Roman"/>
        </w:rPr>
        <w:t xml:space="preserve">revealing the inner logic of political constitutionalism – much as law scholars have long done for the inner logic of judicial constitutionalism – coalitional constitutionalism </w:t>
      </w:r>
      <w:r w:rsidR="004135AE" w:rsidRPr="00B925AC">
        <w:rPr>
          <w:rFonts w:ascii="Times New Roman" w:hAnsi="Times New Roman"/>
        </w:rPr>
        <w:t>suggests what political actors can and cannot do to protect constitutional values</w:t>
      </w:r>
      <w:r w:rsidR="005C33A4" w:rsidRPr="00B925AC">
        <w:rPr>
          <w:rFonts w:ascii="Times New Roman" w:hAnsi="Times New Roman"/>
        </w:rPr>
        <w:t xml:space="preserve">. In doing so, it </w:t>
      </w:r>
      <w:r w:rsidR="00BF04BD" w:rsidRPr="00B925AC">
        <w:rPr>
          <w:rFonts w:ascii="Times New Roman" w:hAnsi="Times New Roman"/>
        </w:rPr>
        <w:t>provid</w:t>
      </w:r>
      <w:r w:rsidR="005C33A4" w:rsidRPr="00B925AC">
        <w:rPr>
          <w:rFonts w:ascii="Times New Roman" w:hAnsi="Times New Roman"/>
        </w:rPr>
        <w:t>es</w:t>
      </w:r>
      <w:r w:rsidR="00BF04BD" w:rsidRPr="00B925AC">
        <w:rPr>
          <w:rFonts w:ascii="Times New Roman" w:hAnsi="Times New Roman"/>
        </w:rPr>
        <w:t xml:space="preserve"> </w:t>
      </w:r>
      <w:r w:rsidR="003D581C" w:rsidRPr="00B925AC">
        <w:rPr>
          <w:rFonts w:ascii="Times New Roman" w:hAnsi="Times New Roman"/>
        </w:rPr>
        <w:t>new insights into both constitutional politics and constitutional law.</w:t>
      </w:r>
    </w:p>
    <w:p w14:paraId="58A11B97" w14:textId="169F0FCD" w:rsidR="004D1455" w:rsidRPr="00B925AC" w:rsidRDefault="00BA5B74" w:rsidP="005D2EE0">
      <w:pPr>
        <w:rPr>
          <w:rFonts w:ascii="Times New Roman" w:hAnsi="Times New Roman"/>
        </w:rPr>
      </w:pPr>
      <w:r w:rsidRPr="00B925AC">
        <w:rPr>
          <w:rFonts w:ascii="Times New Roman" w:hAnsi="Times New Roman"/>
        </w:rPr>
        <w:t>After covering some preliminaries in Section</w:t>
      </w:r>
      <w:r w:rsidR="003741D3" w:rsidRPr="00B925AC">
        <w:rPr>
          <w:rFonts w:ascii="Times New Roman" w:hAnsi="Times New Roman"/>
        </w:rPr>
        <w:t xml:space="preserve"> I</w:t>
      </w:r>
      <w:r w:rsidRPr="00B925AC">
        <w:rPr>
          <w:rFonts w:ascii="Times New Roman" w:hAnsi="Times New Roman"/>
        </w:rPr>
        <w:t>, i</w:t>
      </w:r>
      <w:r w:rsidR="00BF4E3E" w:rsidRPr="00B925AC">
        <w:rPr>
          <w:rFonts w:ascii="Times New Roman" w:hAnsi="Times New Roman"/>
        </w:rPr>
        <w:t xml:space="preserve">n </w:t>
      </w:r>
      <w:r w:rsidR="009F3F6D" w:rsidRPr="00B925AC">
        <w:rPr>
          <w:rFonts w:ascii="Times New Roman" w:hAnsi="Times New Roman"/>
        </w:rPr>
        <w:t>Section</w:t>
      </w:r>
      <w:r w:rsidR="00BF4E3E" w:rsidRPr="00B925AC">
        <w:rPr>
          <w:rFonts w:ascii="Times New Roman" w:hAnsi="Times New Roman"/>
        </w:rPr>
        <w:t xml:space="preserve"> </w:t>
      </w:r>
      <w:r w:rsidRPr="00B925AC">
        <w:rPr>
          <w:rFonts w:ascii="Times New Roman" w:hAnsi="Times New Roman"/>
        </w:rPr>
        <w:t>I</w:t>
      </w:r>
      <w:r w:rsidR="00BF4E3E" w:rsidRPr="00B925AC">
        <w:rPr>
          <w:rFonts w:ascii="Times New Roman" w:hAnsi="Times New Roman"/>
        </w:rPr>
        <w:t>I I argue that Congress can be as much a forum of principle as the courts</w:t>
      </w:r>
      <w:r w:rsidR="007401B2" w:rsidRPr="00B925AC">
        <w:rPr>
          <w:rFonts w:ascii="Times New Roman" w:hAnsi="Times New Roman"/>
        </w:rPr>
        <w:t xml:space="preserve">, as the political incentives of Members of Congress (MCs) drive them to articulate, uphold, and update </w:t>
      </w:r>
      <w:r w:rsidR="00D2035B" w:rsidRPr="00B925AC">
        <w:rPr>
          <w:rFonts w:ascii="Times New Roman" w:hAnsi="Times New Roman"/>
        </w:rPr>
        <w:t>constitutional principles</w:t>
      </w:r>
      <w:r w:rsidR="007401B2" w:rsidRPr="00B925AC">
        <w:rPr>
          <w:rFonts w:ascii="Times New Roman" w:hAnsi="Times New Roman"/>
        </w:rPr>
        <w:t xml:space="preserve">. In </w:t>
      </w:r>
      <w:r w:rsidR="009F3F6D" w:rsidRPr="00B925AC">
        <w:rPr>
          <w:rFonts w:ascii="Times New Roman" w:hAnsi="Times New Roman"/>
        </w:rPr>
        <w:t>Section</w:t>
      </w:r>
      <w:r w:rsidR="007401B2" w:rsidRPr="00B925AC">
        <w:rPr>
          <w:rFonts w:ascii="Times New Roman" w:hAnsi="Times New Roman"/>
        </w:rPr>
        <w:t xml:space="preserve"> II</w:t>
      </w:r>
      <w:r w:rsidR="00CD755D" w:rsidRPr="00B925AC">
        <w:rPr>
          <w:rFonts w:ascii="Times New Roman" w:hAnsi="Times New Roman"/>
        </w:rPr>
        <w:t>I</w:t>
      </w:r>
      <w:r w:rsidR="007401B2" w:rsidRPr="00B925AC">
        <w:rPr>
          <w:rFonts w:ascii="Times New Roman" w:hAnsi="Times New Roman"/>
        </w:rPr>
        <w:t>, I argue that</w:t>
      </w:r>
      <w:r w:rsidR="00AA5BD7" w:rsidRPr="00B925AC">
        <w:rPr>
          <w:rFonts w:ascii="Times New Roman" w:hAnsi="Times New Roman"/>
        </w:rPr>
        <w:t xml:space="preserve"> the process of principled conduct described in </w:t>
      </w:r>
      <w:r w:rsidR="009F3F6D" w:rsidRPr="00B925AC">
        <w:rPr>
          <w:rFonts w:ascii="Times New Roman" w:hAnsi="Times New Roman"/>
        </w:rPr>
        <w:t>Section</w:t>
      </w:r>
      <w:r w:rsidR="00AA5BD7" w:rsidRPr="00B925AC">
        <w:rPr>
          <w:rFonts w:ascii="Times New Roman" w:hAnsi="Times New Roman"/>
        </w:rPr>
        <w:t xml:space="preserve"> I</w:t>
      </w:r>
      <w:r w:rsidR="00CD755D" w:rsidRPr="00B925AC">
        <w:rPr>
          <w:rFonts w:ascii="Times New Roman" w:hAnsi="Times New Roman"/>
        </w:rPr>
        <w:t>I</w:t>
      </w:r>
      <w:r w:rsidR="00AA5BD7" w:rsidRPr="00B925AC">
        <w:rPr>
          <w:rFonts w:ascii="Times New Roman" w:hAnsi="Times New Roman"/>
        </w:rPr>
        <w:t xml:space="preserve"> can lead MCs to withstand majoritarian pressures to compromise minority rights. </w:t>
      </w:r>
      <w:r w:rsidR="00C906C3" w:rsidRPr="00B925AC">
        <w:rPr>
          <w:rFonts w:ascii="Times New Roman" w:hAnsi="Times New Roman"/>
        </w:rPr>
        <w:t xml:space="preserve">However, the level of protection </w:t>
      </w:r>
      <w:r w:rsidR="00C729F8" w:rsidRPr="00B925AC">
        <w:rPr>
          <w:rFonts w:ascii="Times New Roman" w:hAnsi="Times New Roman"/>
        </w:rPr>
        <w:t xml:space="preserve">that MCs are likely </w:t>
      </w:r>
      <w:r w:rsidR="00C729F8" w:rsidRPr="00B925AC">
        <w:rPr>
          <w:rFonts w:ascii="Times New Roman" w:hAnsi="Times New Roman"/>
        </w:rPr>
        <w:lastRenderedPageBreak/>
        <w:t xml:space="preserve">to provide may not be optimal. Coalitional constitutionalism can </w:t>
      </w:r>
      <w:r w:rsidR="009E1244" w:rsidRPr="00B925AC">
        <w:rPr>
          <w:rFonts w:ascii="Times New Roman" w:hAnsi="Times New Roman"/>
        </w:rPr>
        <w:t xml:space="preserve">help us to understand not just when MCs are likely to protect minorities, but when and how they are likely to fall short. </w:t>
      </w:r>
      <w:r w:rsidR="009F3F6D" w:rsidRPr="00B925AC">
        <w:rPr>
          <w:rFonts w:ascii="Times New Roman" w:hAnsi="Times New Roman"/>
        </w:rPr>
        <w:t>Section</w:t>
      </w:r>
      <w:r w:rsidR="009E1244" w:rsidRPr="00B925AC">
        <w:rPr>
          <w:rFonts w:ascii="Times New Roman" w:hAnsi="Times New Roman"/>
        </w:rPr>
        <w:t xml:space="preserve"> I</w:t>
      </w:r>
      <w:r w:rsidR="00CD755D" w:rsidRPr="00B925AC">
        <w:rPr>
          <w:rFonts w:ascii="Times New Roman" w:hAnsi="Times New Roman"/>
        </w:rPr>
        <w:t>V</w:t>
      </w:r>
      <w:r w:rsidR="009E1244" w:rsidRPr="00B925AC">
        <w:rPr>
          <w:rFonts w:ascii="Times New Roman" w:hAnsi="Times New Roman"/>
        </w:rPr>
        <w:t xml:space="preserve"> </w:t>
      </w:r>
      <w:r w:rsidR="001D719D" w:rsidRPr="00B925AC">
        <w:rPr>
          <w:rFonts w:ascii="Times New Roman" w:hAnsi="Times New Roman"/>
        </w:rPr>
        <w:t xml:space="preserve">considers </w:t>
      </w:r>
      <w:r w:rsidR="001D719D" w:rsidRPr="00B925AC">
        <w:rPr>
          <w:rFonts w:ascii="Times New Roman" w:hAnsi="Times New Roman"/>
          <w:i/>
          <w:iCs/>
        </w:rPr>
        <w:t xml:space="preserve">which </w:t>
      </w:r>
      <w:r w:rsidR="001D719D" w:rsidRPr="00B925AC">
        <w:rPr>
          <w:rFonts w:ascii="Times New Roman" w:hAnsi="Times New Roman"/>
        </w:rPr>
        <w:t xml:space="preserve">principles are likely to be </w:t>
      </w:r>
      <w:r w:rsidR="001D73EB" w:rsidRPr="00B925AC">
        <w:rPr>
          <w:rFonts w:ascii="Times New Roman" w:hAnsi="Times New Roman"/>
        </w:rPr>
        <w:t xml:space="preserve">best protected by Congress. Section V </w:t>
      </w:r>
      <w:r w:rsidR="009E1244" w:rsidRPr="00B925AC">
        <w:rPr>
          <w:rFonts w:ascii="Times New Roman" w:hAnsi="Times New Roman"/>
        </w:rPr>
        <w:t xml:space="preserve">lays out </w:t>
      </w:r>
      <w:r w:rsidR="009F3F6D" w:rsidRPr="00B925AC">
        <w:rPr>
          <w:rFonts w:ascii="Times New Roman" w:hAnsi="Times New Roman"/>
        </w:rPr>
        <w:t xml:space="preserve">the implications of the earlier sections for </w:t>
      </w:r>
      <w:r w:rsidR="00D57CCD" w:rsidRPr="00B925AC">
        <w:rPr>
          <w:rFonts w:ascii="Times New Roman" w:hAnsi="Times New Roman"/>
        </w:rPr>
        <w:t xml:space="preserve">understanding contemporary politics, for </w:t>
      </w:r>
      <w:r w:rsidR="005B1ACF" w:rsidRPr="00B925AC">
        <w:rPr>
          <w:rFonts w:ascii="Times New Roman" w:hAnsi="Times New Roman"/>
        </w:rPr>
        <w:t xml:space="preserve">doctrine, </w:t>
      </w:r>
      <w:r w:rsidR="009F3F6D" w:rsidRPr="00B925AC">
        <w:rPr>
          <w:rFonts w:ascii="Times New Roman" w:hAnsi="Times New Roman"/>
        </w:rPr>
        <w:t xml:space="preserve">and </w:t>
      </w:r>
      <w:r w:rsidR="005B1ACF" w:rsidRPr="00B925AC">
        <w:rPr>
          <w:rFonts w:ascii="Times New Roman" w:hAnsi="Times New Roman"/>
        </w:rPr>
        <w:t xml:space="preserve">for </w:t>
      </w:r>
      <w:r w:rsidR="009F3F6D" w:rsidRPr="00B925AC">
        <w:rPr>
          <w:rFonts w:ascii="Times New Roman" w:hAnsi="Times New Roman"/>
        </w:rPr>
        <w:t>institutional design.</w:t>
      </w:r>
    </w:p>
    <w:p w14:paraId="44C0E9FF" w14:textId="77777777" w:rsidR="00607E49" w:rsidRPr="00B925AC" w:rsidRDefault="00607E49" w:rsidP="005D2EE0">
      <w:pPr>
        <w:rPr>
          <w:rFonts w:ascii="Times New Roman" w:hAnsi="Times New Roman"/>
        </w:rPr>
      </w:pPr>
    </w:p>
    <w:p w14:paraId="50160A5E" w14:textId="4BC57A9E" w:rsidR="00E80528" w:rsidRPr="00B925AC" w:rsidRDefault="00E80528" w:rsidP="00E80528">
      <w:pPr>
        <w:pStyle w:val="Heading1"/>
        <w:rPr>
          <w:rFonts w:ascii="Times New Roman" w:hAnsi="Times New Roman"/>
        </w:rPr>
      </w:pPr>
      <w:r w:rsidRPr="00B925AC">
        <w:rPr>
          <w:rFonts w:ascii="Times New Roman" w:hAnsi="Times New Roman"/>
        </w:rPr>
        <w:t>I.  Preliminaries</w:t>
      </w:r>
    </w:p>
    <w:p w14:paraId="0FF0BD24" w14:textId="5C357AF4" w:rsidR="00421A81" w:rsidRPr="00B925AC" w:rsidRDefault="00421A81" w:rsidP="00E80528">
      <w:pPr>
        <w:rPr>
          <w:rFonts w:ascii="Times New Roman" w:hAnsi="Times New Roman"/>
        </w:rPr>
      </w:pPr>
      <w:r w:rsidRPr="00B925AC">
        <w:rPr>
          <w:rFonts w:ascii="Times New Roman" w:hAnsi="Times New Roman"/>
        </w:rPr>
        <w:t>Before beginning, it is important to clarify two key concepts that play a major role throughout the paper: constitutionalism</w:t>
      </w:r>
      <w:r w:rsidR="00956A22" w:rsidRPr="00B925AC">
        <w:rPr>
          <w:rFonts w:ascii="Times New Roman" w:hAnsi="Times New Roman"/>
        </w:rPr>
        <w:t xml:space="preserve"> and Congress</w:t>
      </w:r>
      <w:r w:rsidRPr="00B925AC">
        <w:rPr>
          <w:rFonts w:ascii="Times New Roman" w:hAnsi="Times New Roman"/>
        </w:rPr>
        <w:t>.</w:t>
      </w:r>
    </w:p>
    <w:p w14:paraId="26C4E072" w14:textId="77777777" w:rsidR="00421A81" w:rsidRPr="00B925AC" w:rsidRDefault="00421A81" w:rsidP="00E80528">
      <w:pPr>
        <w:rPr>
          <w:rFonts w:ascii="Times New Roman" w:hAnsi="Times New Roman"/>
        </w:rPr>
      </w:pPr>
    </w:p>
    <w:p w14:paraId="32DF9764" w14:textId="45BE29C4" w:rsidR="00956A22" w:rsidRPr="00B925AC" w:rsidRDefault="00956A22" w:rsidP="00421A81">
      <w:pPr>
        <w:pStyle w:val="Heading2"/>
        <w:rPr>
          <w:rFonts w:ascii="Times New Roman" w:hAnsi="Times New Roman"/>
        </w:rPr>
      </w:pPr>
      <w:r w:rsidRPr="00B925AC">
        <w:rPr>
          <w:rFonts w:ascii="Times New Roman" w:hAnsi="Times New Roman"/>
        </w:rPr>
        <w:t>What is Constitutionalism?</w:t>
      </w:r>
    </w:p>
    <w:p w14:paraId="2AB9396A" w14:textId="1BEB251A" w:rsidR="007944AA" w:rsidRPr="00B925AC" w:rsidRDefault="00BD5D43" w:rsidP="00270AFC">
      <w:pPr>
        <w:rPr>
          <w:rFonts w:ascii="Times New Roman" w:hAnsi="Times New Roman"/>
        </w:rPr>
      </w:pPr>
      <w:r w:rsidRPr="00B925AC">
        <w:rPr>
          <w:rFonts w:ascii="Times New Roman" w:hAnsi="Times New Roman"/>
        </w:rPr>
        <w:t>To understand the approach I take in this paper, it is helpful to distinguish between small-c and large-C constitutionalism.</w:t>
      </w:r>
      <w:r w:rsidRPr="00B925AC">
        <w:rPr>
          <w:rStyle w:val="FootnoteReference"/>
          <w:rFonts w:ascii="Times New Roman" w:hAnsi="Times New Roman"/>
        </w:rPr>
        <w:footnoteReference w:id="17"/>
      </w:r>
      <w:r w:rsidR="007944AA" w:rsidRPr="00B925AC">
        <w:rPr>
          <w:rFonts w:ascii="Times New Roman" w:hAnsi="Times New Roman"/>
        </w:rPr>
        <w:t xml:space="preserve"> Think of the small-c constitution as the set of rules that decide </w:t>
      </w:r>
      <w:r w:rsidR="003C387B" w:rsidRPr="00B925AC">
        <w:rPr>
          <w:rFonts w:ascii="Times New Roman" w:hAnsi="Times New Roman"/>
        </w:rPr>
        <w:t>which laws Congress can</w:t>
      </w:r>
      <w:r w:rsidR="00D15F6D" w:rsidRPr="00B925AC">
        <w:rPr>
          <w:rFonts w:ascii="Times New Roman" w:hAnsi="Times New Roman"/>
        </w:rPr>
        <w:t>, which it must,</w:t>
      </w:r>
      <w:r w:rsidR="003C387B" w:rsidRPr="00B925AC">
        <w:rPr>
          <w:rFonts w:ascii="Times New Roman" w:hAnsi="Times New Roman"/>
        </w:rPr>
        <w:t xml:space="preserve"> and which </w:t>
      </w:r>
      <w:r w:rsidR="00D15F6D" w:rsidRPr="00B925AC">
        <w:rPr>
          <w:rFonts w:ascii="Times New Roman" w:hAnsi="Times New Roman"/>
        </w:rPr>
        <w:t xml:space="preserve">it </w:t>
      </w:r>
      <w:r w:rsidR="003C387B" w:rsidRPr="00B925AC">
        <w:rPr>
          <w:rFonts w:ascii="Times New Roman" w:hAnsi="Times New Roman"/>
        </w:rPr>
        <w:t>cannot adopt.</w:t>
      </w:r>
      <w:r w:rsidR="003C387B" w:rsidRPr="00B925AC">
        <w:rPr>
          <w:rStyle w:val="FootnoteReference"/>
          <w:rFonts w:ascii="Times New Roman" w:hAnsi="Times New Roman"/>
        </w:rPr>
        <w:footnoteReference w:id="18"/>
      </w:r>
      <w:r w:rsidR="00020373" w:rsidRPr="00B925AC">
        <w:rPr>
          <w:rFonts w:ascii="Times New Roman" w:hAnsi="Times New Roman"/>
        </w:rPr>
        <w:t xml:space="preserve"> </w:t>
      </w:r>
      <w:r w:rsidR="000E7927" w:rsidRPr="00B925AC">
        <w:rPr>
          <w:rFonts w:ascii="Times New Roman" w:hAnsi="Times New Roman"/>
        </w:rPr>
        <w:t xml:space="preserve">These rules can include anything from a commitment not to infringe free speech to a commitment not to enlarge the federal government unduly to a commitment to do the greatest good for the greatest number. </w:t>
      </w:r>
      <w:r w:rsidR="00801BEC" w:rsidRPr="00B925AC">
        <w:rPr>
          <w:rFonts w:ascii="Times New Roman" w:hAnsi="Times New Roman"/>
        </w:rPr>
        <w:t xml:space="preserve">They </w:t>
      </w:r>
      <w:r w:rsidR="00D7145B" w:rsidRPr="00B925AC">
        <w:rPr>
          <w:rFonts w:ascii="Times New Roman" w:hAnsi="Times New Roman"/>
        </w:rPr>
        <w:t xml:space="preserve">may or may not </w:t>
      </w:r>
      <w:r w:rsidR="001A3E08" w:rsidRPr="00B925AC">
        <w:rPr>
          <w:rFonts w:ascii="Times New Roman" w:hAnsi="Times New Roman"/>
        </w:rPr>
        <w:t xml:space="preserve">relate to </w:t>
      </w:r>
      <w:r w:rsidR="00D7145B" w:rsidRPr="00B925AC">
        <w:rPr>
          <w:rFonts w:ascii="Times New Roman" w:hAnsi="Times New Roman"/>
        </w:rPr>
        <w:t>the large-C Constitution, defined as</w:t>
      </w:r>
      <w:r w:rsidR="003C677C" w:rsidRPr="00B925AC">
        <w:rPr>
          <w:rFonts w:ascii="Times New Roman" w:hAnsi="Times New Roman"/>
        </w:rPr>
        <w:t xml:space="preserve"> the set of rules traditionally associated with constitutional law and generally seen as derivable from the text of the U.S. Constitution, if often only indirectly.</w:t>
      </w:r>
      <w:r w:rsidR="00C72385" w:rsidRPr="00B925AC">
        <w:rPr>
          <w:rFonts w:ascii="Times New Roman" w:hAnsi="Times New Roman"/>
        </w:rPr>
        <w:t xml:space="preserve"> But note that the line between small-c and large-C constitutionalism is porous. </w:t>
      </w:r>
      <w:r w:rsidR="002B725D" w:rsidRPr="00B925AC">
        <w:rPr>
          <w:rFonts w:ascii="Times New Roman" w:hAnsi="Times New Roman"/>
        </w:rPr>
        <w:t xml:space="preserve">The set of actions that Congress simply will not take is likely to be influenced by the </w:t>
      </w:r>
      <w:r w:rsidR="00E76D00" w:rsidRPr="00B925AC">
        <w:rPr>
          <w:rFonts w:ascii="Times New Roman" w:hAnsi="Times New Roman"/>
        </w:rPr>
        <w:t>limitations written into the large-C Constitution, as they have been interpreted over time.</w:t>
      </w:r>
    </w:p>
    <w:p w14:paraId="3FF004B2" w14:textId="78213343" w:rsidR="00913E1A" w:rsidRPr="00B925AC" w:rsidRDefault="005C0F1F" w:rsidP="00956A22">
      <w:pPr>
        <w:rPr>
          <w:rFonts w:ascii="Times New Roman" w:hAnsi="Times New Roman"/>
        </w:rPr>
      </w:pPr>
      <w:r w:rsidRPr="00B925AC">
        <w:rPr>
          <w:rFonts w:ascii="Times New Roman" w:hAnsi="Times New Roman"/>
        </w:rPr>
        <w:t>A major difference between MCs and judges is that for judges to impose their small-c constitutional</w:t>
      </w:r>
      <w:r w:rsidR="00240665" w:rsidRPr="00B925AC">
        <w:rPr>
          <w:rFonts w:ascii="Times New Roman" w:hAnsi="Times New Roman"/>
        </w:rPr>
        <w:t xml:space="preserve"> principles, they must claim that those principles are also large-C constitutional principles. </w:t>
      </w:r>
      <w:r w:rsidR="00270AFC" w:rsidRPr="00B925AC">
        <w:rPr>
          <w:rFonts w:ascii="Times New Roman" w:hAnsi="Times New Roman"/>
        </w:rPr>
        <w:t xml:space="preserve">MCs need not. </w:t>
      </w:r>
      <w:r w:rsidR="00103AAF" w:rsidRPr="00B925AC">
        <w:rPr>
          <w:rFonts w:ascii="Times New Roman" w:hAnsi="Times New Roman"/>
        </w:rPr>
        <w:t xml:space="preserve">An MC can, for example, say that they will never support laws that regulate speech, under any circumstances. If they are asked, they may say that this principle is derived from the First Amendment. </w:t>
      </w:r>
      <w:r w:rsidR="00E8776D" w:rsidRPr="00B925AC">
        <w:rPr>
          <w:rFonts w:ascii="Times New Roman" w:hAnsi="Times New Roman"/>
        </w:rPr>
        <w:t xml:space="preserve">Or </w:t>
      </w:r>
      <w:r w:rsidR="00E8776D" w:rsidRPr="00B925AC">
        <w:rPr>
          <w:rFonts w:ascii="Times New Roman" w:hAnsi="Times New Roman"/>
        </w:rPr>
        <w:lastRenderedPageBreak/>
        <w:t xml:space="preserve">they may </w:t>
      </w:r>
      <w:r w:rsidR="00103AAF" w:rsidRPr="00B925AC">
        <w:rPr>
          <w:rFonts w:ascii="Times New Roman" w:hAnsi="Times New Roman"/>
        </w:rPr>
        <w:t xml:space="preserve">not. And, importantly, they can adopt and apply such a principle without even considering whether the principle is derived from large-C constitutional law. </w:t>
      </w:r>
      <w:r w:rsidR="0082304D" w:rsidRPr="00B925AC">
        <w:rPr>
          <w:rFonts w:ascii="Times New Roman" w:hAnsi="Times New Roman"/>
        </w:rPr>
        <w:t>As a result, MCs can enforce the Constitution without ever considering whether they are doing so.</w:t>
      </w:r>
      <w:r w:rsidR="00AA6308" w:rsidRPr="00B925AC">
        <w:rPr>
          <w:rStyle w:val="FootnoteReference"/>
          <w:rFonts w:ascii="Times New Roman" w:hAnsi="Times New Roman"/>
        </w:rPr>
        <w:footnoteReference w:id="19"/>
      </w:r>
      <w:r w:rsidR="00C95EBF" w:rsidRPr="00B925AC">
        <w:rPr>
          <w:rFonts w:ascii="Times New Roman" w:hAnsi="Times New Roman"/>
        </w:rPr>
        <w:t xml:space="preserve"> If we care about whether Congress enforces the Constitution, then, we should ask whether it enforces the Constitution, not whether it sets out to do so.</w:t>
      </w:r>
    </w:p>
    <w:p w14:paraId="722ED56E" w14:textId="5880985E" w:rsidR="000C465D" w:rsidRPr="00B925AC" w:rsidRDefault="000C465D" w:rsidP="00956A22">
      <w:pPr>
        <w:rPr>
          <w:rFonts w:ascii="Times New Roman" w:hAnsi="Times New Roman"/>
        </w:rPr>
      </w:pPr>
      <w:r w:rsidRPr="00B925AC">
        <w:rPr>
          <w:rFonts w:ascii="Times New Roman" w:hAnsi="Times New Roman"/>
        </w:rPr>
        <w:t xml:space="preserve">This leads me to a different approach than one would take when analyzing the judiciary. I begin by asking whether and how Congress develops small-c constitutional principles – principles that govern how its members will vote on policies. </w:t>
      </w:r>
      <w:r w:rsidR="00E04718" w:rsidRPr="00B925AC">
        <w:rPr>
          <w:rFonts w:ascii="Times New Roman" w:hAnsi="Times New Roman"/>
        </w:rPr>
        <w:t xml:space="preserve">In this </w:t>
      </w:r>
      <w:r w:rsidR="000C6796" w:rsidRPr="00B925AC">
        <w:rPr>
          <w:rFonts w:ascii="Times New Roman" w:hAnsi="Times New Roman"/>
        </w:rPr>
        <w:t xml:space="preserve">effort, I have two goals. First, I want </w:t>
      </w:r>
      <w:r w:rsidR="006742DB" w:rsidRPr="00B925AC">
        <w:rPr>
          <w:rFonts w:ascii="Times New Roman" w:hAnsi="Times New Roman"/>
        </w:rPr>
        <w:t>to show, contrary to at least some conventional wisdom, that political incentives lead Congress to develop</w:t>
      </w:r>
      <w:r w:rsidR="008A18A6" w:rsidRPr="00B925AC">
        <w:rPr>
          <w:rFonts w:ascii="Times New Roman" w:hAnsi="Times New Roman"/>
        </w:rPr>
        <w:t xml:space="preserve"> and follow small-c constitutional principles, and to update them in an intellectually consistent manner.</w:t>
      </w:r>
      <w:r w:rsidR="000C6796" w:rsidRPr="00B925AC">
        <w:rPr>
          <w:rFonts w:ascii="Times New Roman" w:hAnsi="Times New Roman"/>
        </w:rPr>
        <w:t xml:space="preserve"> And second, I want to provide an understanding of </w:t>
      </w:r>
      <w:r w:rsidR="000C6796" w:rsidRPr="00B925AC">
        <w:rPr>
          <w:rFonts w:ascii="Times New Roman" w:hAnsi="Times New Roman"/>
          <w:i/>
          <w:iCs/>
        </w:rPr>
        <w:t>how</w:t>
      </w:r>
      <w:r w:rsidR="000C6796" w:rsidRPr="00B925AC">
        <w:rPr>
          <w:rFonts w:ascii="Times New Roman" w:hAnsi="Times New Roman"/>
        </w:rPr>
        <w:t xml:space="preserve"> Congress develops </w:t>
      </w:r>
      <w:r w:rsidR="00D409D1" w:rsidRPr="00B925AC">
        <w:rPr>
          <w:rFonts w:ascii="Times New Roman" w:hAnsi="Times New Roman"/>
        </w:rPr>
        <w:t xml:space="preserve">small-c constitutional principles that is sufficient to determine </w:t>
      </w:r>
      <w:r w:rsidR="002E2C1F" w:rsidRPr="00B925AC">
        <w:rPr>
          <w:rFonts w:ascii="Times New Roman" w:hAnsi="Times New Roman"/>
        </w:rPr>
        <w:t>what kinds of limitations they impos</w:t>
      </w:r>
      <w:r w:rsidR="005F1418" w:rsidRPr="00B925AC">
        <w:rPr>
          <w:rFonts w:ascii="Times New Roman" w:hAnsi="Times New Roman"/>
        </w:rPr>
        <w:t>e</w:t>
      </w:r>
      <w:r w:rsidR="002E2C1F" w:rsidRPr="00B925AC">
        <w:rPr>
          <w:rFonts w:ascii="Times New Roman" w:hAnsi="Times New Roman"/>
        </w:rPr>
        <w:t xml:space="preserve"> on congressional action.</w:t>
      </w:r>
    </w:p>
    <w:p w14:paraId="19DB4FFB" w14:textId="7F9CB3ED" w:rsidR="00CE7525" w:rsidRPr="00B925AC" w:rsidRDefault="00CE7525" w:rsidP="00956A22">
      <w:pPr>
        <w:rPr>
          <w:rFonts w:ascii="Times New Roman" w:hAnsi="Times New Roman"/>
        </w:rPr>
      </w:pPr>
      <w:r w:rsidRPr="00B925AC">
        <w:rPr>
          <w:rFonts w:ascii="Times New Roman" w:hAnsi="Times New Roman"/>
        </w:rPr>
        <w:t xml:space="preserve">I will then consider whether the principles Congress develops can perform one of the key </w:t>
      </w:r>
      <w:r w:rsidR="0038130D" w:rsidRPr="00B925AC">
        <w:rPr>
          <w:rFonts w:ascii="Times New Roman" w:hAnsi="Times New Roman"/>
        </w:rPr>
        <w:t xml:space="preserve">goals asserted for a constitutional system, protecting minority rights against majority opinion. I will argue that Congress’s principles can perform this </w:t>
      </w:r>
      <w:r w:rsidR="007962C2" w:rsidRPr="00B925AC">
        <w:rPr>
          <w:rFonts w:ascii="Times New Roman" w:hAnsi="Times New Roman"/>
        </w:rPr>
        <w:t>feat,</w:t>
      </w:r>
      <w:r w:rsidR="0038130D" w:rsidRPr="00B925AC">
        <w:rPr>
          <w:rFonts w:ascii="Times New Roman" w:hAnsi="Times New Roman"/>
        </w:rPr>
        <w:t xml:space="preserve"> and that Congress’s incentives should lead to a significant amount of minority protection.</w:t>
      </w:r>
    </w:p>
    <w:p w14:paraId="1121E967" w14:textId="71C0C120" w:rsidR="0038130D" w:rsidRPr="00B925AC" w:rsidRDefault="00CB740F" w:rsidP="00956A22">
      <w:pPr>
        <w:rPr>
          <w:rFonts w:ascii="Times New Roman" w:hAnsi="Times New Roman"/>
        </w:rPr>
      </w:pPr>
      <w:r w:rsidRPr="00B925AC">
        <w:rPr>
          <w:rFonts w:ascii="Times New Roman" w:hAnsi="Times New Roman"/>
        </w:rPr>
        <w:t xml:space="preserve">Finally, I will consider the degree to which we can expect Congress’s principles – its small-c constitution – to include rules derived from the large-C Constitution. </w:t>
      </w:r>
      <w:r w:rsidR="002E72CA" w:rsidRPr="00B925AC">
        <w:rPr>
          <w:rFonts w:ascii="Times New Roman" w:hAnsi="Times New Roman"/>
        </w:rPr>
        <w:t xml:space="preserve">I conclude that </w:t>
      </w:r>
      <w:r w:rsidR="002F747A" w:rsidRPr="00B925AC">
        <w:rPr>
          <w:rFonts w:ascii="Times New Roman" w:hAnsi="Times New Roman"/>
        </w:rPr>
        <w:t xml:space="preserve">we should expect </w:t>
      </w:r>
      <w:r w:rsidR="0053338C" w:rsidRPr="00B925AC">
        <w:rPr>
          <w:rFonts w:ascii="Times New Roman" w:hAnsi="Times New Roman"/>
        </w:rPr>
        <w:t xml:space="preserve">Congress frequently </w:t>
      </w:r>
      <w:r w:rsidR="00AD6C47" w:rsidRPr="00B925AC">
        <w:rPr>
          <w:rFonts w:ascii="Times New Roman" w:hAnsi="Times New Roman"/>
        </w:rPr>
        <w:t xml:space="preserve">to protect principles derived from the large-C Constitution. </w:t>
      </w:r>
      <w:r w:rsidR="006808C5" w:rsidRPr="00B925AC">
        <w:rPr>
          <w:rFonts w:ascii="Times New Roman" w:hAnsi="Times New Roman"/>
        </w:rPr>
        <w:t xml:space="preserve">It is true that Congress’s small-c constitution will include a great many principles that cannot be </w:t>
      </w:r>
      <w:r w:rsidR="00415BA3" w:rsidRPr="00B925AC">
        <w:rPr>
          <w:rFonts w:ascii="Times New Roman" w:hAnsi="Times New Roman"/>
        </w:rPr>
        <w:t xml:space="preserve">traced to the large-C Constitution. It is also true that </w:t>
      </w:r>
      <w:r w:rsidR="00EE593F" w:rsidRPr="00B925AC">
        <w:rPr>
          <w:rFonts w:ascii="Times New Roman" w:hAnsi="Times New Roman"/>
        </w:rPr>
        <w:t xml:space="preserve">Congress may derive principles from the large-C Constitution that are not in the constitutional text and that many do not believe should be read into it. In </w:t>
      </w:r>
      <w:r w:rsidR="00834315" w:rsidRPr="00B925AC">
        <w:rPr>
          <w:rFonts w:ascii="Times New Roman" w:hAnsi="Times New Roman"/>
        </w:rPr>
        <w:t>this</w:t>
      </w:r>
      <w:r w:rsidR="00EE593F" w:rsidRPr="00B925AC">
        <w:rPr>
          <w:rFonts w:ascii="Times New Roman" w:hAnsi="Times New Roman"/>
        </w:rPr>
        <w:t>, Congress is not unlike the judiciary.</w:t>
      </w:r>
      <w:r w:rsidR="0005219F" w:rsidRPr="00B925AC">
        <w:rPr>
          <w:rFonts w:ascii="Times New Roman" w:hAnsi="Times New Roman"/>
        </w:rPr>
        <w:t xml:space="preserve"> But this paper will argue that Congress has </w:t>
      </w:r>
      <w:r w:rsidR="007C72A6" w:rsidRPr="00B925AC">
        <w:rPr>
          <w:rFonts w:ascii="Times New Roman" w:hAnsi="Times New Roman"/>
        </w:rPr>
        <w:t xml:space="preserve">strong </w:t>
      </w:r>
      <w:r w:rsidR="0005219F" w:rsidRPr="00B925AC">
        <w:rPr>
          <w:rFonts w:ascii="Times New Roman" w:hAnsi="Times New Roman"/>
        </w:rPr>
        <w:t>incentives to incorporate many large-C constitutional principles into its small-c constitution.</w:t>
      </w:r>
    </w:p>
    <w:p w14:paraId="331A5C37" w14:textId="61790EFA" w:rsidR="00606B23" w:rsidRPr="00B925AC" w:rsidRDefault="006C1A2A" w:rsidP="00EB7A9E">
      <w:pPr>
        <w:rPr>
          <w:rFonts w:ascii="Times New Roman" w:hAnsi="Times New Roman"/>
        </w:rPr>
      </w:pPr>
      <w:r w:rsidRPr="00B925AC">
        <w:rPr>
          <w:rFonts w:ascii="Times New Roman" w:hAnsi="Times New Roman"/>
        </w:rPr>
        <w:t xml:space="preserve">Ultimately, my claim is that Congress is not as different from the judiciary as either its supporters </w:t>
      </w:r>
      <w:r w:rsidR="00F225A3" w:rsidRPr="00B925AC">
        <w:rPr>
          <w:rFonts w:ascii="Times New Roman" w:hAnsi="Times New Roman"/>
        </w:rPr>
        <w:t xml:space="preserve">or its critics sometimes claim. </w:t>
      </w:r>
      <w:r w:rsidR="00381FC2" w:rsidRPr="00B925AC">
        <w:rPr>
          <w:rFonts w:ascii="Times New Roman" w:hAnsi="Times New Roman"/>
        </w:rPr>
        <w:t>It is a forum of principle and a forum where principle will frequently trump</w:t>
      </w:r>
      <w:r w:rsidR="001171D2" w:rsidRPr="00B925AC">
        <w:rPr>
          <w:rFonts w:ascii="Times New Roman" w:hAnsi="Times New Roman"/>
        </w:rPr>
        <w:t xml:space="preserve"> majoritarian politics, but only because its principles are themselves the product of political forces that are just as powerful as democratic majorities.</w:t>
      </w:r>
    </w:p>
    <w:p w14:paraId="4FDD285D" w14:textId="26A213D5" w:rsidR="00421A81" w:rsidRPr="00B925AC" w:rsidRDefault="00421A81" w:rsidP="00421A81">
      <w:pPr>
        <w:pStyle w:val="Heading2"/>
        <w:rPr>
          <w:rFonts w:ascii="Times New Roman" w:hAnsi="Times New Roman"/>
        </w:rPr>
      </w:pPr>
      <w:r w:rsidRPr="00B925AC">
        <w:rPr>
          <w:rFonts w:ascii="Times New Roman" w:hAnsi="Times New Roman"/>
        </w:rPr>
        <w:lastRenderedPageBreak/>
        <w:t>What is Congress?</w:t>
      </w:r>
    </w:p>
    <w:p w14:paraId="777A77E2" w14:textId="47A5FEBE" w:rsidR="00421A81" w:rsidRPr="00B925AC" w:rsidRDefault="00956A22" w:rsidP="00421A81">
      <w:pPr>
        <w:rPr>
          <w:rFonts w:ascii="Times New Roman" w:hAnsi="Times New Roman"/>
        </w:rPr>
      </w:pPr>
      <w:r w:rsidRPr="00B925AC">
        <w:rPr>
          <w:rFonts w:ascii="Times New Roman" w:hAnsi="Times New Roman"/>
        </w:rPr>
        <w:t xml:space="preserve">One key difference between Congress and the Supreme Court has to do with how </w:t>
      </w:r>
      <w:r w:rsidR="004211E8" w:rsidRPr="00B925AC">
        <w:rPr>
          <w:rFonts w:ascii="Times New Roman" w:hAnsi="Times New Roman"/>
        </w:rPr>
        <w:t>Congress</w:t>
      </w:r>
      <w:r w:rsidRPr="00B925AC">
        <w:rPr>
          <w:rFonts w:ascii="Times New Roman" w:hAnsi="Times New Roman"/>
        </w:rPr>
        <w:t xml:space="preserve"> expresses </w:t>
      </w:r>
      <w:r w:rsidR="00B0173C" w:rsidRPr="00B925AC">
        <w:rPr>
          <w:rFonts w:ascii="Times New Roman" w:hAnsi="Times New Roman"/>
        </w:rPr>
        <w:t xml:space="preserve">its principles. </w:t>
      </w:r>
      <w:r w:rsidR="004211E8" w:rsidRPr="00B925AC">
        <w:rPr>
          <w:rFonts w:ascii="Times New Roman" w:hAnsi="Times New Roman"/>
        </w:rPr>
        <w:t xml:space="preserve">Where the </w:t>
      </w:r>
      <w:r w:rsidR="00D17578" w:rsidRPr="00B925AC">
        <w:rPr>
          <w:rFonts w:ascii="Times New Roman" w:hAnsi="Times New Roman"/>
        </w:rPr>
        <w:t>justices</w:t>
      </w:r>
      <w:r w:rsidR="004211E8" w:rsidRPr="00B925AC">
        <w:rPr>
          <w:rFonts w:ascii="Times New Roman" w:hAnsi="Times New Roman"/>
        </w:rPr>
        <w:t xml:space="preserve"> issue opinions laying out the</w:t>
      </w:r>
      <w:r w:rsidR="00F043F5" w:rsidRPr="00B925AC">
        <w:rPr>
          <w:rFonts w:ascii="Times New Roman" w:hAnsi="Times New Roman"/>
        </w:rPr>
        <w:t xml:space="preserve"> </w:t>
      </w:r>
      <w:r w:rsidR="004211E8" w:rsidRPr="00B925AC">
        <w:rPr>
          <w:rFonts w:ascii="Times New Roman" w:hAnsi="Times New Roman"/>
        </w:rPr>
        <w:t xml:space="preserve">opinion of the Court, Congress </w:t>
      </w:r>
      <w:r w:rsidR="00C911A8" w:rsidRPr="00B925AC">
        <w:rPr>
          <w:rFonts w:ascii="Times New Roman" w:hAnsi="Times New Roman"/>
        </w:rPr>
        <w:t>need not and often does not.</w:t>
      </w:r>
      <w:bookmarkStart w:id="5" w:name="_Ref185849775"/>
      <w:r w:rsidR="00C911A8" w:rsidRPr="00B925AC">
        <w:rPr>
          <w:rStyle w:val="FootnoteReference"/>
          <w:rFonts w:ascii="Times New Roman" w:hAnsi="Times New Roman"/>
        </w:rPr>
        <w:footnoteReference w:id="20"/>
      </w:r>
      <w:bookmarkEnd w:id="5"/>
      <w:r w:rsidR="00240028" w:rsidRPr="00B925AC">
        <w:rPr>
          <w:rFonts w:ascii="Times New Roman" w:hAnsi="Times New Roman"/>
        </w:rPr>
        <w:t xml:space="preserve"> Nonetheless, the absence of an official mechanism for articulating the principles of the Congress does not mean those principles do not exist.</w:t>
      </w:r>
      <w:r w:rsidR="00950B58" w:rsidRPr="00B925AC">
        <w:rPr>
          <w:rFonts w:ascii="Times New Roman" w:hAnsi="Times New Roman"/>
        </w:rPr>
        <w:t xml:space="preserve"> Just as </w:t>
      </w:r>
      <w:r w:rsidR="00BA2415" w:rsidRPr="00B925AC">
        <w:rPr>
          <w:rFonts w:ascii="Times New Roman" w:hAnsi="Times New Roman"/>
        </w:rPr>
        <w:t>Supreme Court justices</w:t>
      </w:r>
      <w:r w:rsidR="00566A76" w:rsidRPr="00B925AC">
        <w:rPr>
          <w:rFonts w:ascii="Times New Roman" w:hAnsi="Times New Roman"/>
        </w:rPr>
        <w:t xml:space="preserve"> and </w:t>
      </w:r>
      <w:r w:rsidR="00455743" w:rsidRPr="00B925AC">
        <w:rPr>
          <w:rFonts w:ascii="Times New Roman" w:hAnsi="Times New Roman"/>
        </w:rPr>
        <w:t xml:space="preserve">English judges </w:t>
      </w:r>
      <w:r w:rsidR="00950B58" w:rsidRPr="00B925AC">
        <w:rPr>
          <w:rFonts w:ascii="Times New Roman" w:hAnsi="Times New Roman"/>
        </w:rPr>
        <w:t>once issue</w:t>
      </w:r>
      <w:r w:rsidR="00BA2415" w:rsidRPr="00B925AC">
        <w:rPr>
          <w:rFonts w:ascii="Times New Roman" w:hAnsi="Times New Roman"/>
        </w:rPr>
        <w:t>d</w:t>
      </w:r>
      <w:r w:rsidR="00950B58" w:rsidRPr="00B925AC">
        <w:rPr>
          <w:rFonts w:ascii="Times New Roman" w:hAnsi="Times New Roman"/>
        </w:rPr>
        <w:t xml:space="preserve"> seriatim opinions, leaving </w:t>
      </w:r>
      <w:r w:rsidR="008415E8" w:rsidRPr="00B925AC">
        <w:rPr>
          <w:rFonts w:ascii="Times New Roman" w:hAnsi="Times New Roman"/>
        </w:rPr>
        <w:t>readers to extrapolate the common core of their reasoning,</w:t>
      </w:r>
      <w:r w:rsidR="008415E8" w:rsidRPr="00B925AC">
        <w:rPr>
          <w:rStyle w:val="FootnoteReference"/>
          <w:rFonts w:ascii="Times New Roman" w:hAnsi="Times New Roman"/>
        </w:rPr>
        <w:footnoteReference w:id="21"/>
      </w:r>
      <w:r w:rsidR="00F77F67" w:rsidRPr="00B925AC">
        <w:rPr>
          <w:rFonts w:ascii="Times New Roman" w:hAnsi="Times New Roman"/>
        </w:rPr>
        <w:t xml:space="preserve"> MCs are free to explain themselves separately. Only by observing their conduct over time can we understand </w:t>
      </w:r>
      <w:r w:rsidR="006B3A03" w:rsidRPr="00B925AC">
        <w:rPr>
          <w:rFonts w:ascii="Times New Roman" w:hAnsi="Times New Roman"/>
        </w:rPr>
        <w:t>the principles that command a sufficient consensus to be considered binding on Congress as a body.</w:t>
      </w:r>
    </w:p>
    <w:p w14:paraId="170AF496" w14:textId="47883B34" w:rsidR="005C0C4F" w:rsidRPr="00B925AC" w:rsidRDefault="005C0C4F" w:rsidP="00421A81">
      <w:pPr>
        <w:rPr>
          <w:rFonts w:ascii="Times New Roman" w:hAnsi="Times New Roman"/>
        </w:rPr>
      </w:pPr>
      <w:r w:rsidRPr="00B925AC">
        <w:rPr>
          <w:rFonts w:ascii="Times New Roman" w:hAnsi="Times New Roman"/>
        </w:rPr>
        <w:t>This paper seeks to show</w:t>
      </w:r>
      <w:r w:rsidR="00576E10" w:rsidRPr="00B925AC">
        <w:rPr>
          <w:rFonts w:ascii="Times New Roman" w:hAnsi="Times New Roman"/>
        </w:rPr>
        <w:t xml:space="preserve"> that Congress operates on a set of principles, even if it does not </w:t>
      </w:r>
      <w:r w:rsidR="0075560A" w:rsidRPr="00B925AC">
        <w:rPr>
          <w:rFonts w:ascii="Times New Roman" w:hAnsi="Times New Roman"/>
        </w:rPr>
        <w:t xml:space="preserve">articulate those principles as an institution. </w:t>
      </w:r>
      <w:r w:rsidR="008346CC" w:rsidRPr="00B925AC">
        <w:rPr>
          <w:rFonts w:ascii="Times New Roman" w:hAnsi="Times New Roman"/>
        </w:rPr>
        <w:t>I begin with the insight that Congress is a “they not an it.”</w:t>
      </w:r>
      <w:r w:rsidR="008346CC" w:rsidRPr="00B925AC">
        <w:rPr>
          <w:rStyle w:val="FootnoteReference"/>
          <w:rFonts w:ascii="Times New Roman" w:hAnsi="Times New Roman"/>
        </w:rPr>
        <w:footnoteReference w:id="22"/>
      </w:r>
      <w:r w:rsidR="00466A79" w:rsidRPr="00B925AC">
        <w:rPr>
          <w:rFonts w:ascii="Times New Roman" w:hAnsi="Times New Roman"/>
        </w:rPr>
        <w:t xml:space="preserve"> To understand Congress’s principles we must start with the principles of individual MCs. </w:t>
      </w:r>
      <w:r w:rsidR="009904C7" w:rsidRPr="00B925AC">
        <w:rPr>
          <w:rFonts w:ascii="Times New Roman" w:hAnsi="Times New Roman"/>
        </w:rPr>
        <w:t xml:space="preserve">Much of the paper will therefore </w:t>
      </w:r>
      <w:r w:rsidR="008F0112" w:rsidRPr="00B925AC">
        <w:rPr>
          <w:rFonts w:ascii="Times New Roman" w:hAnsi="Times New Roman"/>
        </w:rPr>
        <w:t xml:space="preserve">attempt to establish that individual MCs have strong incentives to articulate and then follow general statements of principle. </w:t>
      </w:r>
      <w:r w:rsidR="005407F9" w:rsidRPr="00B925AC">
        <w:rPr>
          <w:rFonts w:ascii="Times New Roman" w:hAnsi="Times New Roman"/>
        </w:rPr>
        <w:t>This individual-level behavior, in turn, shapes the key coalitions – generally, but not universally, associated with the dominant political parties</w:t>
      </w:r>
      <w:r w:rsidR="00890ABF" w:rsidRPr="00B925AC">
        <w:rPr>
          <w:rFonts w:ascii="Times New Roman" w:hAnsi="Times New Roman"/>
        </w:rPr>
        <w:t>.</w:t>
      </w:r>
      <w:r w:rsidR="005F62EE" w:rsidRPr="00B925AC">
        <w:rPr>
          <w:rFonts w:ascii="Times New Roman" w:hAnsi="Times New Roman"/>
        </w:rPr>
        <w:t xml:space="preserve"> Finally, by focusing on the </w:t>
      </w:r>
      <w:r w:rsidR="00C20483" w:rsidRPr="00B925AC">
        <w:rPr>
          <w:rFonts w:ascii="Times New Roman" w:hAnsi="Times New Roman"/>
        </w:rPr>
        <w:t xml:space="preserve">rules </w:t>
      </w:r>
      <w:r w:rsidR="005F62EE" w:rsidRPr="00B925AC">
        <w:rPr>
          <w:rFonts w:ascii="Times New Roman" w:hAnsi="Times New Roman"/>
        </w:rPr>
        <w:t xml:space="preserve">that aggregate opinion </w:t>
      </w:r>
      <w:r w:rsidR="00C20483" w:rsidRPr="00B925AC">
        <w:rPr>
          <w:rFonts w:ascii="Times New Roman" w:hAnsi="Times New Roman"/>
        </w:rPr>
        <w:t>in Congress, we can make some general statements about Congress as an institution.</w:t>
      </w:r>
    </w:p>
    <w:p w14:paraId="0FE62B6E" w14:textId="21F4AF86" w:rsidR="00E80528" w:rsidRPr="00B925AC" w:rsidRDefault="00D646F1" w:rsidP="00A159D8">
      <w:pPr>
        <w:rPr>
          <w:rFonts w:ascii="Times New Roman" w:hAnsi="Times New Roman"/>
        </w:rPr>
      </w:pPr>
      <w:r w:rsidRPr="00B925AC">
        <w:rPr>
          <w:rFonts w:ascii="Times New Roman" w:hAnsi="Times New Roman"/>
        </w:rPr>
        <w:t xml:space="preserve">Crucially, </w:t>
      </w:r>
      <w:r w:rsidR="007A004F" w:rsidRPr="00B925AC">
        <w:rPr>
          <w:rFonts w:ascii="Times New Roman" w:hAnsi="Times New Roman"/>
        </w:rPr>
        <w:t xml:space="preserve">when I talk about the incentives that operate on MCs, I will focus on the incentives that operate on them by virtue of their status as a politicians. </w:t>
      </w:r>
      <w:r w:rsidR="00001E0D" w:rsidRPr="00B925AC">
        <w:rPr>
          <w:rFonts w:ascii="Times New Roman" w:hAnsi="Times New Roman"/>
        </w:rPr>
        <w:t xml:space="preserve">I will therefore </w:t>
      </w:r>
      <w:r w:rsidR="00847BEB" w:rsidRPr="00B925AC">
        <w:rPr>
          <w:rFonts w:ascii="Times New Roman" w:hAnsi="Times New Roman"/>
        </w:rPr>
        <w:t xml:space="preserve">alternate back and forth between discussing MCs specifically and politicians generally. </w:t>
      </w:r>
      <w:r w:rsidR="00004B72" w:rsidRPr="00B925AC">
        <w:rPr>
          <w:rFonts w:ascii="Times New Roman" w:hAnsi="Times New Roman"/>
        </w:rPr>
        <w:t xml:space="preserve">This is because my goal is to show how political incentives – generally seen as an impediment to principled reasoning – </w:t>
      </w:r>
      <w:r w:rsidR="00074566" w:rsidRPr="00B925AC">
        <w:rPr>
          <w:rFonts w:ascii="Times New Roman" w:hAnsi="Times New Roman"/>
        </w:rPr>
        <w:t>play a key role in making Congress a forum of principle.</w:t>
      </w:r>
      <w:r w:rsidR="000609CD" w:rsidRPr="00B925AC">
        <w:rPr>
          <w:rFonts w:ascii="Times New Roman" w:hAnsi="Times New Roman"/>
        </w:rPr>
        <w:t xml:space="preserve"> By focusing on MCs as politicians, I stack the deck against </w:t>
      </w:r>
      <w:r w:rsidR="004B0605" w:rsidRPr="00B925AC">
        <w:rPr>
          <w:rFonts w:ascii="Times New Roman" w:hAnsi="Times New Roman"/>
        </w:rPr>
        <w:t xml:space="preserve">finding that they are also principled, and I keep the theory simple by </w:t>
      </w:r>
      <w:r w:rsidR="004B0605" w:rsidRPr="00B925AC">
        <w:rPr>
          <w:rFonts w:ascii="Times New Roman" w:hAnsi="Times New Roman"/>
        </w:rPr>
        <w:lastRenderedPageBreak/>
        <w:t>abstracting away from the peculiarities of MCs as a particular type of political actor.</w:t>
      </w:r>
      <w:r w:rsidR="004B0605" w:rsidRPr="00B925AC">
        <w:rPr>
          <w:rStyle w:val="FootnoteReference"/>
          <w:rFonts w:ascii="Times New Roman" w:hAnsi="Times New Roman"/>
        </w:rPr>
        <w:footnoteReference w:id="23"/>
      </w:r>
    </w:p>
    <w:p w14:paraId="4EEC54AF" w14:textId="77777777" w:rsidR="00654E7C" w:rsidRPr="00B925AC" w:rsidRDefault="00654E7C" w:rsidP="00654E7C">
      <w:pPr>
        <w:pStyle w:val="Heading1"/>
        <w:rPr>
          <w:rFonts w:ascii="Times New Roman" w:hAnsi="Times New Roman"/>
        </w:rPr>
      </w:pPr>
      <w:r w:rsidRPr="00B925AC">
        <w:rPr>
          <w:rFonts w:ascii="Times New Roman" w:hAnsi="Times New Roman"/>
        </w:rPr>
        <w:t xml:space="preserve">I.  Forums of Principle, Reconsidered [ctrl-alt-1] </w:t>
      </w:r>
    </w:p>
    <w:p w14:paraId="4709C531" w14:textId="77777777" w:rsidR="00D13FC9" w:rsidRPr="00B925AC" w:rsidRDefault="00D13FC9" w:rsidP="00D13FC9">
      <w:pPr>
        <w:rPr>
          <w:rFonts w:ascii="Times New Roman" w:hAnsi="Times New Roman"/>
        </w:rPr>
      </w:pPr>
      <w:r w:rsidRPr="00B925AC">
        <w:rPr>
          <w:rFonts w:ascii="Times New Roman" w:hAnsi="Times New Roman"/>
        </w:rPr>
        <w:t>Perhaps the most famous justification for the outsized role that judges play in answering policy questions in the United States is the claim that courts, unlike the political branches, offer “for[a] of principle.”</w:t>
      </w:r>
      <w:bookmarkStart w:id="6" w:name="_Ref186105781"/>
      <w:r w:rsidRPr="00B925AC">
        <w:rPr>
          <w:rStyle w:val="FootnoteReference"/>
          <w:rFonts w:ascii="Times New Roman" w:hAnsi="Times New Roman"/>
        </w:rPr>
        <w:footnoteReference w:id="24"/>
      </w:r>
      <w:bookmarkEnd w:id="6"/>
      <w:r w:rsidRPr="00B925AC">
        <w:rPr>
          <w:rFonts w:ascii="Times New Roman" w:hAnsi="Times New Roman"/>
        </w:rPr>
        <w:t xml:space="preserve"> While Americans might disagree with judges’ response to any particular constitutional question, the argument runs, they have clearly chosen to have those questions answered in a particular way: by judges who see in those questions transcendent moral issues and seek to resolve those issues consistently, regardless of whose ox is being gored.</w:t>
      </w:r>
      <w:r w:rsidRPr="00B925AC">
        <w:rPr>
          <w:rStyle w:val="FootnoteReference"/>
          <w:rFonts w:ascii="Times New Roman" w:hAnsi="Times New Roman"/>
        </w:rPr>
        <w:footnoteReference w:id="25"/>
      </w:r>
    </w:p>
    <w:p w14:paraId="1B7E7407" w14:textId="3E2BDC61" w:rsidR="00EC5CC2" w:rsidRPr="00B925AC" w:rsidRDefault="00EC5CC2" w:rsidP="00D13FC9">
      <w:pPr>
        <w:rPr>
          <w:rFonts w:ascii="Times New Roman" w:hAnsi="Times New Roman"/>
        </w:rPr>
      </w:pPr>
      <w:r w:rsidRPr="00B925AC">
        <w:rPr>
          <w:rFonts w:ascii="Times New Roman" w:hAnsi="Times New Roman"/>
        </w:rPr>
        <w:t>By contrast, Congress is an ad hoc body</w:t>
      </w:r>
      <w:r w:rsidR="00D95BF7" w:rsidRPr="00B925AC">
        <w:rPr>
          <w:rFonts w:ascii="Times New Roman" w:hAnsi="Times New Roman"/>
        </w:rPr>
        <w:t xml:space="preserve">, at least </w:t>
      </w:r>
      <w:r w:rsidR="00160140" w:rsidRPr="00B925AC">
        <w:rPr>
          <w:rFonts w:ascii="Times New Roman" w:hAnsi="Times New Roman"/>
        </w:rPr>
        <w:t>when it answers particular questions</w:t>
      </w:r>
      <w:r w:rsidR="00D95BF7" w:rsidRPr="00B925AC">
        <w:rPr>
          <w:rFonts w:ascii="Times New Roman" w:hAnsi="Times New Roman"/>
        </w:rPr>
        <w:t xml:space="preserve">. </w:t>
      </w:r>
      <w:r w:rsidR="00FA0BAB" w:rsidRPr="00B925AC">
        <w:rPr>
          <w:rFonts w:ascii="Times New Roman" w:hAnsi="Times New Roman"/>
        </w:rPr>
        <w:t xml:space="preserve">When Congress answers policy questions, it is the </w:t>
      </w:r>
      <w:r w:rsidR="00160140" w:rsidRPr="00B925AC">
        <w:rPr>
          <w:rFonts w:ascii="Times New Roman" w:hAnsi="Times New Roman"/>
        </w:rPr>
        <w:t xml:space="preserve">principled decision maker </w:t>
      </w:r>
      <w:r w:rsidR="00160140" w:rsidRPr="00B925AC">
        <w:rPr>
          <w:rFonts w:ascii="Times New Roman" w:hAnsi="Times New Roman"/>
          <w:i/>
          <w:iCs/>
        </w:rPr>
        <w:t>par excellence</w:t>
      </w:r>
      <w:r w:rsidR="00160140" w:rsidRPr="00B925AC">
        <w:rPr>
          <w:rFonts w:ascii="Times New Roman" w:hAnsi="Times New Roman"/>
        </w:rPr>
        <w:t xml:space="preserve">; it issues general rules (statutes) designed to apply across all </w:t>
      </w:r>
      <w:r w:rsidR="00160140" w:rsidRPr="00B925AC">
        <w:rPr>
          <w:rFonts w:ascii="Times New Roman" w:hAnsi="Times New Roman"/>
        </w:rPr>
        <w:lastRenderedPageBreak/>
        <w:t xml:space="preserve">specified cases. But when it </w:t>
      </w:r>
      <w:r w:rsidR="00730B1B" w:rsidRPr="00B925AC">
        <w:rPr>
          <w:rFonts w:ascii="Times New Roman" w:hAnsi="Times New Roman"/>
        </w:rPr>
        <w:t xml:space="preserve">makes decisions about its own powers and their limitations, Congress makes </w:t>
      </w:r>
      <w:r w:rsidR="001B5AF2" w:rsidRPr="00B925AC">
        <w:rPr>
          <w:rFonts w:ascii="Times New Roman" w:hAnsi="Times New Roman"/>
        </w:rPr>
        <w:t>case-by-case decisions</w:t>
      </w:r>
      <w:r w:rsidR="003F3D2F" w:rsidRPr="00B925AC">
        <w:rPr>
          <w:rFonts w:ascii="Times New Roman" w:hAnsi="Times New Roman"/>
        </w:rPr>
        <w:t>, just like a court</w:t>
      </w:r>
      <w:r w:rsidR="001B5AF2" w:rsidRPr="00B925AC">
        <w:rPr>
          <w:rFonts w:ascii="Times New Roman" w:hAnsi="Times New Roman"/>
        </w:rPr>
        <w:t xml:space="preserve">. But unlike a court, according to Dworkin and a good many others, Congress has nothing pushing it to answer the same </w:t>
      </w:r>
      <w:r w:rsidR="00AE5692" w:rsidRPr="00B925AC">
        <w:rPr>
          <w:rFonts w:ascii="Times New Roman" w:hAnsi="Times New Roman"/>
        </w:rPr>
        <w:t xml:space="preserve">question in the same way over time. If </w:t>
      </w:r>
      <w:r w:rsidR="00BF4F6F" w:rsidRPr="00B925AC">
        <w:rPr>
          <w:rFonts w:ascii="Times New Roman" w:hAnsi="Times New Roman"/>
        </w:rPr>
        <w:t>the essence of the rule of law is treating like cases alike, Congress is lawless.</w:t>
      </w:r>
    </w:p>
    <w:p w14:paraId="7D4F608C" w14:textId="7F502FBE" w:rsidR="009C2C32" w:rsidRPr="00B925AC" w:rsidRDefault="009C2C32" w:rsidP="009C2C32">
      <w:pPr>
        <w:rPr>
          <w:rFonts w:ascii="Times New Roman" w:hAnsi="Times New Roman"/>
        </w:rPr>
      </w:pPr>
      <w:r w:rsidRPr="00B925AC">
        <w:rPr>
          <w:rFonts w:ascii="Times New Roman" w:hAnsi="Times New Roman"/>
        </w:rPr>
        <w:t xml:space="preserve">When law scholars </w:t>
      </w:r>
      <w:r w:rsidR="00CD0CAD" w:rsidRPr="00B925AC">
        <w:rPr>
          <w:rFonts w:ascii="Times New Roman" w:hAnsi="Times New Roman"/>
        </w:rPr>
        <w:t xml:space="preserve">look for principled constitutional </w:t>
      </w:r>
      <w:proofErr w:type="spellStart"/>
      <w:r w:rsidR="00CD0CAD" w:rsidRPr="00B925AC">
        <w:rPr>
          <w:rFonts w:ascii="Times New Roman" w:hAnsi="Times New Roman"/>
        </w:rPr>
        <w:t>decisionmaking</w:t>
      </w:r>
      <w:proofErr w:type="spellEnd"/>
      <w:r w:rsidR="00CD0CAD" w:rsidRPr="00B925AC">
        <w:rPr>
          <w:rFonts w:ascii="Times New Roman" w:hAnsi="Times New Roman"/>
        </w:rPr>
        <w:t xml:space="preserve"> in </w:t>
      </w:r>
      <w:r w:rsidRPr="00B925AC">
        <w:rPr>
          <w:rFonts w:ascii="Times New Roman" w:hAnsi="Times New Roman"/>
        </w:rPr>
        <w:t xml:space="preserve">Congress, they assume it will be found only where politics does not operate. In the 1980s, MC-turned-federal judge Abner </w:t>
      </w:r>
      <w:proofErr w:type="spellStart"/>
      <w:r w:rsidRPr="00B925AC">
        <w:rPr>
          <w:rFonts w:ascii="Times New Roman" w:hAnsi="Times New Roman"/>
        </w:rPr>
        <w:t>Mikva</w:t>
      </w:r>
      <w:proofErr w:type="spellEnd"/>
      <w:r w:rsidRPr="00B925AC">
        <w:rPr>
          <w:rFonts w:ascii="Times New Roman" w:hAnsi="Times New Roman"/>
        </w:rPr>
        <w:t xml:space="preserve"> famously challenged Congress’s ability to “preserve and defend the Constitution.”</w:t>
      </w:r>
      <w:r w:rsidRPr="00B925AC">
        <w:rPr>
          <w:rStyle w:val="FootnoteReference"/>
          <w:rFonts w:ascii="Times New Roman" w:hAnsi="Times New Roman"/>
        </w:rPr>
        <w:footnoteReference w:id="26"/>
      </w:r>
      <w:r w:rsidRPr="00B925AC">
        <w:rPr>
          <w:rFonts w:ascii="Times New Roman" w:hAnsi="Times New Roman"/>
        </w:rPr>
        <w:t xml:space="preserve"> His argument, based on a close study of several debates in which he participated, was that MCs rarely honestly peruse the canonical sources of constitutional meaning or defer to experts on those sources. They are too busy campaigning or engaging in policy fights. Paul Brest, author of a classic primer for lawmakers seeking to interpret the Constitution,</w:t>
      </w:r>
      <w:r w:rsidRPr="00B925AC">
        <w:rPr>
          <w:rStyle w:val="FootnoteReference"/>
          <w:rFonts w:ascii="Times New Roman" w:hAnsi="Times New Roman"/>
        </w:rPr>
        <w:footnoteReference w:id="27"/>
      </w:r>
      <w:r w:rsidRPr="00B925AC">
        <w:rPr>
          <w:rFonts w:ascii="Times New Roman" w:hAnsi="Times New Roman"/>
        </w:rPr>
        <w:t xml:space="preserve"> expressed concern that MCs generally have their minds made up before they seek expert guidance on constitutional doctrine, using such guidance like a drunk uses a lamppost, more for support than for illumination.</w:t>
      </w:r>
      <w:r w:rsidRPr="00B925AC">
        <w:rPr>
          <w:rStyle w:val="FootnoteReference"/>
          <w:rFonts w:ascii="Times New Roman" w:hAnsi="Times New Roman"/>
        </w:rPr>
        <w:footnoteReference w:id="28"/>
      </w:r>
      <w:r w:rsidRPr="00B925AC">
        <w:rPr>
          <w:rFonts w:ascii="Times New Roman" w:hAnsi="Times New Roman"/>
        </w:rPr>
        <w:t xml:space="preserve"> Their constitutional views, if they can even be called that, are dictated by political incentives and shaped by interest groups, not developed through the careful study of extant doctrine.</w:t>
      </w:r>
    </w:p>
    <w:p w14:paraId="6937CDB9" w14:textId="64F053C8" w:rsidR="009C2C32" w:rsidRPr="00B925AC" w:rsidRDefault="009C2C32" w:rsidP="009C2C32">
      <w:pPr>
        <w:rPr>
          <w:rFonts w:ascii="Times New Roman" w:hAnsi="Times New Roman"/>
        </w:rPr>
      </w:pPr>
      <w:r w:rsidRPr="00B925AC">
        <w:rPr>
          <w:rFonts w:ascii="Times New Roman" w:hAnsi="Times New Roman"/>
        </w:rPr>
        <w:t xml:space="preserve">Even Louis Fisher, a longtime defender of Congress who challenged </w:t>
      </w:r>
      <w:proofErr w:type="spellStart"/>
      <w:r w:rsidRPr="00B925AC">
        <w:rPr>
          <w:rFonts w:ascii="Times New Roman" w:hAnsi="Times New Roman"/>
        </w:rPr>
        <w:t>Mikva’s</w:t>
      </w:r>
      <w:proofErr w:type="spellEnd"/>
      <w:r w:rsidRPr="00B925AC">
        <w:rPr>
          <w:rFonts w:ascii="Times New Roman" w:hAnsi="Times New Roman"/>
        </w:rPr>
        <w:t xml:space="preserve"> skepticism and the judiciary’s monopoly on constitutional interpretation, made his Exhibit A Congress’s creation of a nonpolitical cadre of expert lawyers who could be tasked with identifying the correct answers to constitutional questions. Fisher’s argument has been broadly influential. It echoes today in recent debates over whether Congress should have</w:t>
      </w:r>
      <w:r w:rsidRPr="00B925AC">
        <w:rPr>
          <w:rStyle w:val="FootnoteReference"/>
          <w:rFonts w:ascii="Times New Roman" w:hAnsi="Times New Roman"/>
        </w:rPr>
        <w:footnoteReference w:id="29"/>
      </w:r>
      <w:r w:rsidRPr="00B925AC">
        <w:rPr>
          <w:rFonts w:ascii="Times New Roman" w:hAnsi="Times New Roman"/>
        </w:rPr>
        <w:t xml:space="preserve"> – or once had</w:t>
      </w:r>
      <w:bookmarkStart w:id="7" w:name="_Ref185847818"/>
      <w:r w:rsidRPr="00B925AC">
        <w:rPr>
          <w:rStyle w:val="FootnoteReference"/>
          <w:rFonts w:ascii="Times New Roman" w:hAnsi="Times New Roman"/>
        </w:rPr>
        <w:footnoteReference w:id="30"/>
      </w:r>
      <w:bookmarkEnd w:id="7"/>
      <w:r w:rsidRPr="00B925AC">
        <w:rPr>
          <w:rFonts w:ascii="Times New Roman" w:hAnsi="Times New Roman"/>
        </w:rPr>
        <w:t xml:space="preserve"> – access to true constitutional experts motivated to advance congressional prerogatives in the separation of powers system. Under this way of thinking, Congress is authorized to interpret the Constitution for itself only because it can do so in a</w:t>
      </w:r>
      <w:r w:rsidR="009C1D44" w:rsidRPr="00B925AC">
        <w:rPr>
          <w:rFonts w:ascii="Times New Roman" w:hAnsi="Times New Roman"/>
        </w:rPr>
        <w:t>n expert,</w:t>
      </w:r>
      <w:r w:rsidRPr="00B925AC">
        <w:rPr>
          <w:rFonts w:ascii="Times New Roman" w:hAnsi="Times New Roman"/>
        </w:rPr>
        <w:t xml:space="preserve"> neutral manner, putting aside its political incentives and policy goals. Politicians can answer constitutional questions only because, and to the degree to which, they can stop acting like </w:t>
      </w:r>
      <w:r w:rsidRPr="00B925AC">
        <w:rPr>
          <w:rFonts w:ascii="Times New Roman" w:hAnsi="Times New Roman"/>
        </w:rPr>
        <w:lastRenderedPageBreak/>
        <w:t>politicians.</w:t>
      </w:r>
    </w:p>
    <w:p w14:paraId="1CDC1D95" w14:textId="01E1C711" w:rsidR="009C2C32" w:rsidRPr="00B925AC" w:rsidRDefault="009C2C32" w:rsidP="009C2C32">
      <w:pPr>
        <w:rPr>
          <w:rFonts w:ascii="Times New Roman" w:hAnsi="Times New Roman"/>
        </w:rPr>
      </w:pPr>
      <w:r w:rsidRPr="00B925AC">
        <w:rPr>
          <w:rFonts w:ascii="Times New Roman" w:hAnsi="Times New Roman"/>
        </w:rPr>
        <w:t>The search for apolitical constitutionalism in Congress – and among politicians more generally – faces two problems. First, it must confront understandable skepticism of the claim that politicians really engage in something like the neutral analysis of constitutional law. Scholars have struggled to find important instances in which MCs wanted (rejected) policy X but concluded reluctantly that it was unconstitutional (constitutionally required).</w:t>
      </w:r>
      <w:bookmarkStart w:id="8" w:name="_Ref186275237"/>
      <w:r w:rsidRPr="00B925AC">
        <w:rPr>
          <w:rStyle w:val="FootnoteReference"/>
          <w:rFonts w:ascii="Times New Roman" w:hAnsi="Times New Roman"/>
        </w:rPr>
        <w:footnoteReference w:id="31"/>
      </w:r>
      <w:bookmarkEnd w:id="8"/>
      <w:r w:rsidRPr="00B925AC">
        <w:rPr>
          <w:rFonts w:ascii="Times New Roman" w:hAnsi="Times New Roman"/>
        </w:rPr>
        <w:t xml:space="preserve"> </w:t>
      </w:r>
      <w:r w:rsidR="001565F1" w:rsidRPr="00B925AC">
        <w:rPr>
          <w:rFonts w:ascii="Times New Roman" w:hAnsi="Times New Roman"/>
        </w:rPr>
        <w:t>B</w:t>
      </w:r>
      <w:r w:rsidRPr="00B925AC">
        <w:rPr>
          <w:rFonts w:ascii="Times New Roman" w:hAnsi="Times New Roman"/>
        </w:rPr>
        <w:t>roadly, it is difficult to imagine MCs faced with an important policy problem quietly perusing a constitutional law treatise rather than polling their constituents (formally or informally) or discussing with their political advisors.</w:t>
      </w:r>
    </w:p>
    <w:p w14:paraId="43679BC5" w14:textId="51E0D7DB" w:rsidR="009C2C32" w:rsidRPr="00B925AC" w:rsidRDefault="009C2C32" w:rsidP="009C2C32">
      <w:pPr>
        <w:rPr>
          <w:rFonts w:ascii="Times New Roman" w:hAnsi="Times New Roman"/>
        </w:rPr>
      </w:pPr>
      <w:r w:rsidRPr="00B925AC">
        <w:rPr>
          <w:rFonts w:ascii="Times New Roman" w:hAnsi="Times New Roman"/>
        </w:rPr>
        <w:t xml:space="preserve">More importantly, it is not clear that we should </w:t>
      </w:r>
      <w:r w:rsidRPr="00B925AC">
        <w:rPr>
          <w:rFonts w:ascii="Times New Roman" w:hAnsi="Times New Roman"/>
          <w:i/>
          <w:iCs/>
        </w:rPr>
        <w:t>want</w:t>
      </w:r>
      <w:r w:rsidRPr="00B925AC">
        <w:rPr>
          <w:rFonts w:ascii="Times New Roman" w:hAnsi="Times New Roman"/>
        </w:rPr>
        <w:t xml:space="preserve"> MCs to </w:t>
      </w:r>
      <w:r w:rsidR="00772A49" w:rsidRPr="00B925AC">
        <w:rPr>
          <w:rFonts w:ascii="Times New Roman" w:hAnsi="Times New Roman"/>
        </w:rPr>
        <w:t xml:space="preserve">carefully </w:t>
      </w:r>
      <w:r w:rsidRPr="00B925AC">
        <w:rPr>
          <w:rFonts w:ascii="Times New Roman" w:hAnsi="Times New Roman"/>
        </w:rPr>
        <w:t>extrapolat</w:t>
      </w:r>
      <w:r w:rsidR="00772A49" w:rsidRPr="00B925AC">
        <w:rPr>
          <w:rFonts w:ascii="Times New Roman" w:hAnsi="Times New Roman"/>
        </w:rPr>
        <w:t>e</w:t>
      </w:r>
      <w:r w:rsidRPr="00B925AC">
        <w:rPr>
          <w:rFonts w:ascii="Times New Roman" w:hAnsi="Times New Roman"/>
        </w:rPr>
        <w:t xml:space="preserve"> legal doctrine from sources produced by unelected judges or law professors. MCs get their jobs because they are politically astute, responsive to the public’s desires, and in tune with their constituents’ policy preferences. If we should trust their constitutional judgment, it is certainly not because we believe they will do a better job than judges at the tasks lawyers learn in law school. If constitutional law is what 1Ls learn, we already have experts in the judiciary to perform that role. Nobody fires Elvis just to hire an Elvis impersonator.</w:t>
      </w:r>
    </w:p>
    <w:p w14:paraId="78CFA8B5" w14:textId="4716C229" w:rsidR="009C2C32" w:rsidRPr="00B925AC" w:rsidRDefault="009C2C32" w:rsidP="009C2C32">
      <w:pPr>
        <w:rPr>
          <w:rFonts w:ascii="Times New Roman" w:hAnsi="Times New Roman"/>
        </w:rPr>
      </w:pPr>
      <w:r w:rsidRPr="00B925AC">
        <w:rPr>
          <w:rFonts w:ascii="Times New Roman" w:hAnsi="Times New Roman"/>
        </w:rPr>
        <w:t xml:space="preserve">To be sure, scholars often loudly reject the idea that Congress does or should answer constitutional questions as judges (much less 1Ls) do. However, those scholars who reject the judicial model have more to say about what congressional constitutionalism does </w:t>
      </w:r>
      <w:r w:rsidRPr="00B925AC">
        <w:rPr>
          <w:rFonts w:ascii="Times New Roman" w:hAnsi="Times New Roman"/>
          <w:i/>
          <w:iCs/>
        </w:rPr>
        <w:t>not</w:t>
      </w:r>
      <w:r w:rsidRPr="00B925AC">
        <w:rPr>
          <w:rFonts w:ascii="Times New Roman" w:hAnsi="Times New Roman"/>
        </w:rPr>
        <w:t xml:space="preserve"> look like than what it does. Donald Morgan,</w:t>
      </w:r>
      <w:r w:rsidRPr="00B925AC">
        <w:rPr>
          <w:rStyle w:val="FootnoteReference"/>
          <w:rFonts w:ascii="Times New Roman" w:hAnsi="Times New Roman"/>
        </w:rPr>
        <w:footnoteReference w:id="32"/>
      </w:r>
      <w:r w:rsidRPr="00B925AC">
        <w:rPr>
          <w:rFonts w:ascii="Times New Roman" w:hAnsi="Times New Roman"/>
        </w:rPr>
        <w:t xml:space="preserve"> for example, urges Congress to take responsibility for answering constitutional questions rather than deferring to the answers provided by judges. But he provides little insight into how Congress should do this. If Congress is not meant to read judicial opinions to divine constitutional doctrine, it is unclear what they </w:t>
      </w:r>
      <w:r w:rsidRPr="00B925AC">
        <w:rPr>
          <w:rFonts w:ascii="Times New Roman" w:hAnsi="Times New Roman"/>
          <w:i/>
          <w:iCs/>
        </w:rPr>
        <w:t>are</w:t>
      </w:r>
      <w:r w:rsidRPr="00B925AC">
        <w:rPr>
          <w:rFonts w:ascii="Times New Roman" w:hAnsi="Times New Roman"/>
        </w:rPr>
        <w:t xml:space="preserve"> meant to do. The same could be said of Paul Brest, who simultaneously encourages MCs not to defer to a flawed understanding of judicial doctrine</w:t>
      </w:r>
      <w:r w:rsidR="00215957" w:rsidRPr="00B925AC">
        <w:rPr>
          <w:rStyle w:val="FootnoteReference"/>
          <w:rFonts w:ascii="Times New Roman" w:hAnsi="Times New Roman"/>
        </w:rPr>
        <w:footnoteReference w:id="33"/>
      </w:r>
      <w:r w:rsidRPr="00B925AC">
        <w:rPr>
          <w:rFonts w:ascii="Times New Roman" w:hAnsi="Times New Roman"/>
        </w:rPr>
        <w:t xml:space="preserve"> while suggesting that judicial doctrine, properly understood, is the prime source of constitutional meaning.</w:t>
      </w:r>
      <w:r w:rsidRPr="00B925AC">
        <w:rPr>
          <w:rStyle w:val="FootnoteReference"/>
          <w:rFonts w:ascii="Times New Roman" w:hAnsi="Times New Roman"/>
        </w:rPr>
        <w:footnoteReference w:id="34"/>
      </w:r>
      <w:r w:rsidRPr="00B925AC">
        <w:rPr>
          <w:rFonts w:ascii="Times New Roman" w:hAnsi="Times New Roman"/>
        </w:rPr>
        <w:t xml:space="preserve"> More recent scholars have emphasized the need for Congress to speak </w:t>
      </w:r>
      <w:r w:rsidRPr="00B925AC">
        <w:rPr>
          <w:rFonts w:ascii="Times New Roman" w:hAnsi="Times New Roman"/>
        </w:rPr>
        <w:lastRenderedPageBreak/>
        <w:t>in its own voice when discussing the Constitution, but without articulating either what that voice does</w:t>
      </w:r>
      <w:r w:rsidR="0044548B" w:rsidRPr="00B925AC">
        <w:rPr>
          <w:rFonts w:ascii="Times New Roman" w:hAnsi="Times New Roman"/>
        </w:rPr>
        <w:t>,</w:t>
      </w:r>
      <w:r w:rsidRPr="00B925AC">
        <w:rPr>
          <w:rFonts w:ascii="Times New Roman" w:hAnsi="Times New Roman"/>
        </w:rPr>
        <w:t xml:space="preserve"> or what it should</w:t>
      </w:r>
      <w:r w:rsidR="0044548B" w:rsidRPr="00B925AC">
        <w:rPr>
          <w:rFonts w:ascii="Times New Roman" w:hAnsi="Times New Roman"/>
        </w:rPr>
        <w:t>,</w:t>
      </w:r>
      <w:r w:rsidRPr="00B925AC">
        <w:rPr>
          <w:rFonts w:ascii="Times New Roman" w:hAnsi="Times New Roman"/>
        </w:rPr>
        <w:t xml:space="preserve"> sound like.</w:t>
      </w:r>
      <w:r w:rsidRPr="00B925AC">
        <w:rPr>
          <w:rStyle w:val="FootnoteReference"/>
          <w:rFonts w:ascii="Times New Roman" w:hAnsi="Times New Roman"/>
        </w:rPr>
        <w:footnoteReference w:id="35"/>
      </w:r>
    </w:p>
    <w:p w14:paraId="5EB13287" w14:textId="1A6767CA" w:rsidR="00654E7C" w:rsidRPr="00B925AC" w:rsidRDefault="007D1628" w:rsidP="005D2EE0">
      <w:pPr>
        <w:rPr>
          <w:rFonts w:ascii="Times New Roman" w:hAnsi="Times New Roman"/>
        </w:rPr>
      </w:pPr>
      <w:r w:rsidRPr="00B925AC">
        <w:rPr>
          <w:rFonts w:ascii="Times New Roman" w:hAnsi="Times New Roman"/>
        </w:rPr>
        <w:t xml:space="preserve">In this Section, I </w:t>
      </w:r>
      <w:r w:rsidR="00FC395F" w:rsidRPr="00B925AC">
        <w:rPr>
          <w:rFonts w:ascii="Times New Roman" w:hAnsi="Times New Roman"/>
        </w:rPr>
        <w:t xml:space="preserve">argue that Congress is indeed a forum of principle. </w:t>
      </w:r>
      <w:r w:rsidR="005815C1" w:rsidRPr="00B925AC">
        <w:rPr>
          <w:rFonts w:ascii="Times New Roman" w:hAnsi="Times New Roman"/>
        </w:rPr>
        <w:t xml:space="preserve">In fact, MCs should tend to develop, follow, and update </w:t>
      </w:r>
      <w:r w:rsidR="00B06D3D" w:rsidRPr="00B925AC">
        <w:rPr>
          <w:rFonts w:ascii="Times New Roman" w:hAnsi="Times New Roman"/>
        </w:rPr>
        <w:t>principles in a manner that is strikingly similar to the approach of common law courts.</w:t>
      </w:r>
      <w:r w:rsidR="002F15E2" w:rsidRPr="00B925AC">
        <w:rPr>
          <w:rFonts w:ascii="Times New Roman" w:hAnsi="Times New Roman"/>
        </w:rPr>
        <w:t xml:space="preserve"> In </w:t>
      </w:r>
      <w:r w:rsidR="00BC58F6" w:rsidRPr="00B925AC">
        <w:rPr>
          <w:rFonts w:ascii="Times New Roman" w:hAnsi="Times New Roman"/>
        </w:rPr>
        <w:t xml:space="preserve">subsection A, I briefly </w:t>
      </w:r>
      <w:r w:rsidR="00E12FE2" w:rsidRPr="00B925AC">
        <w:rPr>
          <w:rFonts w:ascii="Times New Roman" w:hAnsi="Times New Roman"/>
        </w:rPr>
        <w:t>summarize</w:t>
      </w:r>
      <w:r w:rsidR="00BC58F6" w:rsidRPr="00B925AC">
        <w:rPr>
          <w:rFonts w:ascii="Times New Roman" w:hAnsi="Times New Roman"/>
        </w:rPr>
        <w:t xml:space="preserve"> the basics of common lawmaking, with an eye to </w:t>
      </w:r>
      <w:r w:rsidR="00D06408" w:rsidRPr="00B925AC">
        <w:rPr>
          <w:rFonts w:ascii="Times New Roman" w:hAnsi="Times New Roman"/>
        </w:rPr>
        <w:t xml:space="preserve">three attributes of the process that congressional action should display if it is comparably principled. </w:t>
      </w:r>
      <w:r w:rsidR="00062AC3" w:rsidRPr="00B925AC">
        <w:rPr>
          <w:rFonts w:ascii="Times New Roman" w:hAnsi="Times New Roman"/>
        </w:rPr>
        <w:t>In subsection</w:t>
      </w:r>
      <w:r w:rsidR="005D0717" w:rsidRPr="00B925AC">
        <w:rPr>
          <w:rFonts w:ascii="Times New Roman" w:hAnsi="Times New Roman"/>
        </w:rPr>
        <w:t>s</w:t>
      </w:r>
      <w:r w:rsidR="00062AC3" w:rsidRPr="00B925AC">
        <w:rPr>
          <w:rFonts w:ascii="Times New Roman" w:hAnsi="Times New Roman"/>
        </w:rPr>
        <w:t xml:space="preserve"> B</w:t>
      </w:r>
      <w:r w:rsidR="005D0717" w:rsidRPr="00B925AC">
        <w:rPr>
          <w:rFonts w:ascii="Times New Roman" w:hAnsi="Times New Roman"/>
        </w:rPr>
        <w:t xml:space="preserve"> and C</w:t>
      </w:r>
      <w:r w:rsidR="00062AC3" w:rsidRPr="00B925AC">
        <w:rPr>
          <w:rFonts w:ascii="Times New Roman" w:hAnsi="Times New Roman"/>
        </w:rPr>
        <w:t>, I</w:t>
      </w:r>
      <w:r w:rsidR="00E12FE2" w:rsidRPr="00B925AC">
        <w:rPr>
          <w:rFonts w:ascii="Times New Roman" w:hAnsi="Times New Roman"/>
        </w:rPr>
        <w:t xml:space="preserve"> sketch a simple model of congressional action</w:t>
      </w:r>
      <w:r w:rsidR="0008218E" w:rsidRPr="00B925AC">
        <w:rPr>
          <w:rFonts w:ascii="Times New Roman" w:hAnsi="Times New Roman"/>
        </w:rPr>
        <w:t xml:space="preserve"> and argue that</w:t>
      </w:r>
      <w:r w:rsidR="00EC31A2" w:rsidRPr="00B925AC">
        <w:rPr>
          <w:rFonts w:ascii="Times New Roman" w:hAnsi="Times New Roman"/>
        </w:rPr>
        <w:t xml:space="preserve"> Congress’s approach to policymaking should be seen as every bit as principled as that of the courts. </w:t>
      </w:r>
    </w:p>
    <w:p w14:paraId="2992333D" w14:textId="77777777" w:rsidR="00406DCE" w:rsidRPr="00B925AC" w:rsidRDefault="00406DCE" w:rsidP="00D0021A">
      <w:pPr>
        <w:ind w:firstLine="0"/>
        <w:rPr>
          <w:rFonts w:ascii="Times New Roman" w:hAnsi="Times New Roman"/>
        </w:rPr>
      </w:pPr>
    </w:p>
    <w:p w14:paraId="50C32ACC" w14:textId="512FCAEF" w:rsidR="00E67E67" w:rsidRPr="00B925AC" w:rsidRDefault="00322401" w:rsidP="00E67E67">
      <w:pPr>
        <w:pStyle w:val="Heading2"/>
        <w:rPr>
          <w:rFonts w:ascii="Times New Roman" w:hAnsi="Times New Roman"/>
        </w:rPr>
      </w:pPr>
      <w:r w:rsidRPr="00B925AC">
        <w:rPr>
          <w:rFonts w:ascii="Times New Roman" w:hAnsi="Times New Roman"/>
        </w:rPr>
        <w:t>Common Lawmaking, in General</w:t>
      </w:r>
    </w:p>
    <w:p w14:paraId="53627E76" w14:textId="412C23CB" w:rsidR="00154591" w:rsidRPr="00B925AC" w:rsidRDefault="00154591" w:rsidP="008A7819">
      <w:pPr>
        <w:rPr>
          <w:rFonts w:ascii="Times New Roman" w:hAnsi="Times New Roman"/>
        </w:rPr>
      </w:pPr>
      <w:r w:rsidRPr="00B925AC">
        <w:rPr>
          <w:rFonts w:ascii="Times New Roman" w:hAnsi="Times New Roman"/>
        </w:rPr>
        <w:t xml:space="preserve">To paraphrase the words of a </w:t>
      </w:r>
      <w:r w:rsidR="00487FD6" w:rsidRPr="00B925AC">
        <w:rPr>
          <w:rFonts w:ascii="Times New Roman" w:hAnsi="Times New Roman"/>
        </w:rPr>
        <w:t>senator’s senator</w:t>
      </w:r>
      <w:r w:rsidRPr="00B925AC">
        <w:rPr>
          <w:rFonts w:ascii="Times New Roman" w:hAnsi="Times New Roman"/>
        </w:rPr>
        <w:t>, Congress scholars concerned about the institution’s adherence to principle must compare it to the alternative, not the almighty.</w:t>
      </w:r>
      <w:r w:rsidRPr="00B925AC">
        <w:rPr>
          <w:rStyle w:val="FootnoteReference"/>
          <w:rFonts w:ascii="Times New Roman" w:hAnsi="Times New Roman"/>
        </w:rPr>
        <w:footnoteReference w:id="36"/>
      </w:r>
      <w:r w:rsidRPr="00B925AC">
        <w:rPr>
          <w:rFonts w:ascii="Times New Roman" w:hAnsi="Times New Roman"/>
        </w:rPr>
        <w:t xml:space="preserve"> And when scholars argue that Congress is unprincipled, the alternative they have in mind is almost always the United States Supreme Court.</w:t>
      </w:r>
      <w:r w:rsidR="008A7819" w:rsidRPr="00B925AC">
        <w:rPr>
          <w:rFonts w:ascii="Times New Roman" w:hAnsi="Times New Roman"/>
        </w:rPr>
        <w:t xml:space="preserve"> This section asks whether Congress is as much a “forum of principle” as the Supreme Court.</w:t>
      </w:r>
    </w:p>
    <w:p w14:paraId="3F1F790F" w14:textId="1F7F9655" w:rsidR="008A7819" w:rsidRPr="00B925AC" w:rsidRDefault="00DE3BDA" w:rsidP="008A7819">
      <w:pPr>
        <w:rPr>
          <w:rFonts w:ascii="Times New Roman" w:hAnsi="Times New Roman"/>
        </w:rPr>
      </w:pPr>
      <w:r w:rsidRPr="00B925AC">
        <w:rPr>
          <w:rFonts w:ascii="Times New Roman" w:hAnsi="Times New Roman"/>
        </w:rPr>
        <w:t xml:space="preserve">To compare Congress to the Court, we must first understand what about the Court </w:t>
      </w:r>
      <w:r w:rsidR="002E3F39" w:rsidRPr="00B925AC">
        <w:rPr>
          <w:rFonts w:ascii="Times New Roman" w:hAnsi="Times New Roman"/>
        </w:rPr>
        <w:t xml:space="preserve">makes it principled. </w:t>
      </w:r>
      <w:r w:rsidR="00240726" w:rsidRPr="00B925AC">
        <w:rPr>
          <w:rFonts w:ascii="Times New Roman" w:hAnsi="Times New Roman"/>
        </w:rPr>
        <w:t xml:space="preserve">The Court clearly </w:t>
      </w:r>
      <w:r w:rsidR="000C0D3A" w:rsidRPr="00B925AC">
        <w:rPr>
          <w:rFonts w:ascii="Times New Roman" w:hAnsi="Times New Roman"/>
        </w:rPr>
        <w:t xml:space="preserve">does </w:t>
      </w:r>
      <w:r w:rsidR="00240726" w:rsidRPr="00B925AC">
        <w:rPr>
          <w:rFonts w:ascii="Times New Roman" w:hAnsi="Times New Roman"/>
        </w:rPr>
        <w:t>not,</w:t>
      </w:r>
      <w:bookmarkStart w:id="9" w:name="_Ref185848881"/>
      <w:r w:rsidR="000C0D3A" w:rsidRPr="00B925AC">
        <w:rPr>
          <w:rStyle w:val="FootnoteReference"/>
          <w:rFonts w:ascii="Times New Roman" w:hAnsi="Times New Roman"/>
        </w:rPr>
        <w:footnoteReference w:id="37"/>
      </w:r>
      <w:bookmarkEnd w:id="9"/>
      <w:r w:rsidR="000C0D3A" w:rsidRPr="00B925AC">
        <w:rPr>
          <w:rFonts w:ascii="Times New Roman" w:hAnsi="Times New Roman"/>
        </w:rPr>
        <w:t xml:space="preserve"> and does not claim to,</w:t>
      </w:r>
      <w:bookmarkStart w:id="10" w:name="_Ref186029072"/>
      <w:r w:rsidR="00767509" w:rsidRPr="00B925AC">
        <w:rPr>
          <w:rStyle w:val="FootnoteReference"/>
          <w:rFonts w:ascii="Times New Roman" w:hAnsi="Times New Roman"/>
        </w:rPr>
        <w:footnoteReference w:id="38"/>
      </w:r>
      <w:bookmarkEnd w:id="10"/>
      <w:r w:rsidR="00767509" w:rsidRPr="00B925AC">
        <w:rPr>
          <w:rFonts w:ascii="Times New Roman" w:hAnsi="Times New Roman"/>
        </w:rPr>
        <w:t xml:space="preserve"> stick to a particular set of articulated principles come hell or high water. </w:t>
      </w:r>
      <w:r w:rsidR="00BD112B" w:rsidRPr="00B925AC">
        <w:rPr>
          <w:rFonts w:ascii="Times New Roman" w:hAnsi="Times New Roman"/>
        </w:rPr>
        <w:t xml:space="preserve">Rather, principled adjudication at the Court, as in most courts, is a matter of following the distinctive common law process for articulating, following, and occasionally changing legal rules. </w:t>
      </w:r>
      <w:r w:rsidR="000D1416" w:rsidRPr="00B925AC">
        <w:rPr>
          <w:rFonts w:ascii="Times New Roman" w:hAnsi="Times New Roman"/>
        </w:rPr>
        <w:t xml:space="preserve">The Court is principled, then, in that it </w:t>
      </w:r>
      <w:r w:rsidR="00914C55" w:rsidRPr="00B925AC">
        <w:rPr>
          <w:rFonts w:ascii="Times New Roman" w:hAnsi="Times New Roman"/>
        </w:rPr>
        <w:t xml:space="preserve">does three things. First, </w:t>
      </w:r>
      <w:r w:rsidR="00914C55" w:rsidRPr="00B925AC">
        <w:rPr>
          <w:rFonts w:ascii="Times New Roman" w:hAnsi="Times New Roman"/>
        </w:rPr>
        <w:lastRenderedPageBreak/>
        <w:t>it provides justifications for its actions that are more general than the facts at bar in any given case.</w:t>
      </w:r>
      <w:r w:rsidR="00564213" w:rsidRPr="00B925AC">
        <w:rPr>
          <w:rStyle w:val="FootnoteReference"/>
          <w:rFonts w:ascii="Times New Roman" w:hAnsi="Times New Roman"/>
        </w:rPr>
        <w:footnoteReference w:id="39"/>
      </w:r>
      <w:r w:rsidR="00914C55" w:rsidRPr="00B925AC">
        <w:rPr>
          <w:rFonts w:ascii="Times New Roman" w:hAnsi="Times New Roman"/>
        </w:rPr>
        <w:t xml:space="preserve"> As a result, it</w:t>
      </w:r>
      <w:r w:rsidR="005E7EDE" w:rsidRPr="00B925AC">
        <w:rPr>
          <w:rFonts w:ascii="Times New Roman" w:hAnsi="Times New Roman"/>
        </w:rPr>
        <w:t xml:space="preserve"> articulates principles that can be used to decide future cases. Second, the Court is, at least to some degree, bound by the principles it has articulated.</w:t>
      </w:r>
      <w:r w:rsidR="00E47774" w:rsidRPr="00B925AC">
        <w:rPr>
          <w:rStyle w:val="FootnoteReference"/>
          <w:rFonts w:ascii="Times New Roman" w:hAnsi="Times New Roman"/>
        </w:rPr>
        <w:footnoteReference w:id="40"/>
      </w:r>
      <w:r w:rsidR="005E7EDE" w:rsidRPr="00B925AC">
        <w:rPr>
          <w:rFonts w:ascii="Times New Roman" w:hAnsi="Times New Roman"/>
        </w:rPr>
        <w:t xml:space="preserve"> </w:t>
      </w:r>
      <w:r w:rsidR="00F130B1" w:rsidRPr="00B925AC">
        <w:rPr>
          <w:rFonts w:ascii="Times New Roman" w:hAnsi="Times New Roman"/>
        </w:rPr>
        <w:t xml:space="preserve">Of course, scholars disagree as to how much the Court is actually </w:t>
      </w:r>
      <w:r w:rsidR="00BC3540" w:rsidRPr="00B925AC">
        <w:rPr>
          <w:rFonts w:ascii="Times New Roman" w:hAnsi="Times New Roman"/>
        </w:rPr>
        <w:t>constrained by its own past decisions,</w:t>
      </w:r>
      <w:r w:rsidR="00CD3F96" w:rsidRPr="00B925AC">
        <w:rPr>
          <w:rStyle w:val="FootnoteReference"/>
          <w:rFonts w:ascii="Times New Roman" w:hAnsi="Times New Roman"/>
        </w:rPr>
        <w:footnoteReference w:id="41"/>
      </w:r>
      <w:r w:rsidR="00BC3540" w:rsidRPr="00B925AC">
        <w:rPr>
          <w:rFonts w:ascii="Times New Roman" w:hAnsi="Times New Roman"/>
        </w:rPr>
        <w:t xml:space="preserve"> and I will not attempt to resolve that debate. However, </w:t>
      </w:r>
      <w:r w:rsidR="00D7651F" w:rsidRPr="00B925AC">
        <w:rPr>
          <w:rFonts w:ascii="Times New Roman" w:hAnsi="Times New Roman"/>
        </w:rPr>
        <w:t>if we stipulate, for the sake of argument, that the Court’s future statements are shaped by its past</w:t>
      </w:r>
      <w:r w:rsidR="00D47B02" w:rsidRPr="00B925AC">
        <w:rPr>
          <w:rFonts w:ascii="Times New Roman" w:hAnsi="Times New Roman"/>
        </w:rPr>
        <w:t xml:space="preserve">, we can profitably compare the forces that bind the Court to past decisions to the forces that bind </w:t>
      </w:r>
      <w:r w:rsidR="0028700A" w:rsidRPr="00B925AC">
        <w:rPr>
          <w:rFonts w:ascii="Times New Roman" w:hAnsi="Times New Roman"/>
        </w:rPr>
        <w:t xml:space="preserve">individual </w:t>
      </w:r>
      <w:r w:rsidR="00A41D32" w:rsidRPr="00B925AC">
        <w:rPr>
          <w:rFonts w:ascii="Times New Roman" w:hAnsi="Times New Roman"/>
        </w:rPr>
        <w:t xml:space="preserve">MCs </w:t>
      </w:r>
      <w:r w:rsidR="0028700A" w:rsidRPr="00B925AC">
        <w:rPr>
          <w:rFonts w:ascii="Times New Roman" w:hAnsi="Times New Roman"/>
        </w:rPr>
        <w:t xml:space="preserve">and Congress as a whole. </w:t>
      </w:r>
      <w:r w:rsidR="00437BE8" w:rsidRPr="00B925AC">
        <w:rPr>
          <w:rFonts w:ascii="Times New Roman" w:hAnsi="Times New Roman"/>
        </w:rPr>
        <w:t xml:space="preserve">Finally, when the Court </w:t>
      </w:r>
      <w:r w:rsidR="00C5256C" w:rsidRPr="00B925AC">
        <w:rPr>
          <w:rFonts w:ascii="Times New Roman" w:hAnsi="Times New Roman"/>
        </w:rPr>
        <w:t xml:space="preserve">overrules past statements of principle or complicates them by adding caveats, it does so </w:t>
      </w:r>
      <w:r w:rsidR="00DC14FD" w:rsidRPr="00B925AC">
        <w:rPr>
          <w:rFonts w:ascii="Times New Roman" w:hAnsi="Times New Roman"/>
        </w:rPr>
        <w:t>only after grappling with its own precedents.</w:t>
      </w:r>
      <w:r w:rsidR="000E08E0" w:rsidRPr="00B925AC">
        <w:rPr>
          <w:rStyle w:val="FootnoteReference"/>
          <w:rFonts w:ascii="Times New Roman" w:hAnsi="Times New Roman"/>
        </w:rPr>
        <w:footnoteReference w:id="42"/>
      </w:r>
      <w:r w:rsidR="00DC14FD" w:rsidRPr="00B925AC">
        <w:rPr>
          <w:rFonts w:ascii="Times New Roman" w:hAnsi="Times New Roman"/>
        </w:rPr>
        <w:t xml:space="preserve"> </w:t>
      </w:r>
      <w:r w:rsidR="003B34BC" w:rsidRPr="00B925AC">
        <w:rPr>
          <w:rFonts w:ascii="Times New Roman" w:hAnsi="Times New Roman"/>
        </w:rPr>
        <w:t>New rules, at least in theory, evolve from old rules.</w:t>
      </w:r>
    </w:p>
    <w:p w14:paraId="138B9A34" w14:textId="438EC78A" w:rsidR="00AE4E64" w:rsidRPr="00B925AC" w:rsidRDefault="000F691B" w:rsidP="00DE4AF8">
      <w:pPr>
        <w:rPr>
          <w:rFonts w:ascii="Times New Roman" w:hAnsi="Times New Roman"/>
        </w:rPr>
      </w:pPr>
      <w:r w:rsidRPr="00B925AC">
        <w:rPr>
          <w:rFonts w:ascii="Times New Roman" w:hAnsi="Times New Roman"/>
        </w:rPr>
        <w:t>This section identifies what might be called the</w:t>
      </w:r>
      <w:r w:rsidR="00051759" w:rsidRPr="00B925AC">
        <w:rPr>
          <w:rFonts w:ascii="Times New Roman" w:hAnsi="Times New Roman"/>
        </w:rPr>
        <w:t xml:space="preserve"> congressional</w:t>
      </w:r>
      <w:r w:rsidRPr="00B925AC">
        <w:rPr>
          <w:rFonts w:ascii="Times New Roman" w:hAnsi="Times New Roman"/>
        </w:rPr>
        <w:t xml:space="preserve"> </w:t>
      </w:r>
      <w:r w:rsidR="00F42B3E" w:rsidRPr="00B925AC">
        <w:rPr>
          <w:rFonts w:ascii="Times New Roman" w:hAnsi="Times New Roman"/>
        </w:rPr>
        <w:t>common law process</w:t>
      </w:r>
      <w:r w:rsidR="00467FE5" w:rsidRPr="00B925AC">
        <w:rPr>
          <w:rFonts w:ascii="Times New Roman" w:hAnsi="Times New Roman"/>
        </w:rPr>
        <w:t>, which I call “coalitional constitutionalism</w:t>
      </w:r>
      <w:r w:rsidR="00F42B3E" w:rsidRPr="00B925AC">
        <w:rPr>
          <w:rFonts w:ascii="Times New Roman" w:hAnsi="Times New Roman"/>
        </w:rPr>
        <w:t>.</w:t>
      </w:r>
      <w:r w:rsidR="00467FE5" w:rsidRPr="00B925AC">
        <w:rPr>
          <w:rFonts w:ascii="Times New Roman" w:hAnsi="Times New Roman"/>
        </w:rPr>
        <w:t>”</w:t>
      </w:r>
      <w:r w:rsidR="00F42B3E" w:rsidRPr="00B925AC">
        <w:rPr>
          <w:rFonts w:ascii="Times New Roman" w:hAnsi="Times New Roman"/>
        </w:rPr>
        <w:t xml:space="preserve"> I argue, in short, that MCs’ incentives to build and maintain coalitions </w:t>
      </w:r>
      <w:r w:rsidR="00F70440" w:rsidRPr="00B925AC">
        <w:rPr>
          <w:rFonts w:ascii="Times New Roman" w:hAnsi="Times New Roman"/>
        </w:rPr>
        <w:t xml:space="preserve">push them to make general statements of principle that </w:t>
      </w:r>
      <w:r w:rsidR="004A4F16" w:rsidRPr="00B925AC">
        <w:rPr>
          <w:rFonts w:ascii="Times New Roman" w:hAnsi="Times New Roman"/>
        </w:rPr>
        <w:t>indicate, with some specificity, how MCs will act</w:t>
      </w:r>
      <w:r w:rsidR="00407998" w:rsidRPr="00B925AC">
        <w:rPr>
          <w:rFonts w:ascii="Times New Roman" w:hAnsi="Times New Roman"/>
        </w:rPr>
        <w:t xml:space="preserve"> when faced with</w:t>
      </w:r>
      <w:r w:rsidR="00032D5A" w:rsidRPr="00B925AC">
        <w:rPr>
          <w:rFonts w:ascii="Times New Roman" w:hAnsi="Times New Roman"/>
        </w:rPr>
        <w:t xml:space="preserve"> questions they have never faced. </w:t>
      </w:r>
      <w:r w:rsidR="00CB19A2" w:rsidRPr="00B925AC">
        <w:rPr>
          <w:rFonts w:ascii="Times New Roman" w:hAnsi="Times New Roman"/>
        </w:rPr>
        <w:t xml:space="preserve">Then, the coalitions they build constrain MCs to generally abide by the principles they have articulated. Finally, MCs update their principles in response to changed circumstances and new ways of thinking, just as judges do. But they do so only </w:t>
      </w:r>
      <w:r w:rsidR="009A2440" w:rsidRPr="00B925AC">
        <w:rPr>
          <w:rFonts w:ascii="Times New Roman" w:hAnsi="Times New Roman"/>
        </w:rPr>
        <w:t xml:space="preserve">in limited and predictable ways. Just as with common law judges, </w:t>
      </w:r>
      <w:r w:rsidR="000E7F23" w:rsidRPr="00B925AC">
        <w:rPr>
          <w:rFonts w:ascii="Times New Roman" w:hAnsi="Times New Roman"/>
        </w:rPr>
        <w:t xml:space="preserve">MCs produce “new corn,” but they get it from “old </w:t>
      </w:r>
      <w:proofErr w:type="spellStart"/>
      <w:r w:rsidR="000E7F23" w:rsidRPr="00B925AC">
        <w:rPr>
          <w:rFonts w:ascii="Times New Roman" w:hAnsi="Times New Roman"/>
        </w:rPr>
        <w:t>feldes</w:t>
      </w:r>
      <w:proofErr w:type="spellEnd"/>
      <w:r w:rsidR="000E7F23" w:rsidRPr="00B925AC">
        <w:rPr>
          <w:rFonts w:ascii="Times New Roman" w:hAnsi="Times New Roman"/>
        </w:rPr>
        <w:t>.”</w:t>
      </w:r>
      <w:r w:rsidR="00355275" w:rsidRPr="00B925AC">
        <w:rPr>
          <w:rStyle w:val="FootnoteReference"/>
          <w:rFonts w:ascii="Times New Roman" w:hAnsi="Times New Roman"/>
        </w:rPr>
        <w:footnoteReference w:id="43"/>
      </w:r>
    </w:p>
    <w:p w14:paraId="78FA6E55" w14:textId="02E41DC3" w:rsidR="00CA60A5" w:rsidRPr="00B925AC" w:rsidRDefault="001D6B32" w:rsidP="001D6B32">
      <w:pPr>
        <w:pStyle w:val="Heading2"/>
        <w:rPr>
          <w:rFonts w:ascii="Times New Roman" w:hAnsi="Times New Roman"/>
        </w:rPr>
      </w:pPr>
      <w:r w:rsidRPr="00B925AC">
        <w:rPr>
          <w:rFonts w:ascii="Times New Roman" w:hAnsi="Times New Roman"/>
        </w:rPr>
        <w:t>Common Lawmaking and Coalitions</w:t>
      </w:r>
    </w:p>
    <w:p w14:paraId="088DDB7B" w14:textId="6E900E40" w:rsidR="0085201B" w:rsidRPr="00B925AC" w:rsidRDefault="00EF52F8" w:rsidP="0085201B">
      <w:pPr>
        <w:rPr>
          <w:rFonts w:ascii="Times New Roman" w:hAnsi="Times New Roman"/>
        </w:rPr>
      </w:pPr>
      <w:r w:rsidRPr="00B925AC">
        <w:rPr>
          <w:rFonts w:ascii="Times New Roman" w:hAnsi="Times New Roman"/>
        </w:rPr>
        <w:t>L</w:t>
      </w:r>
      <w:r w:rsidR="0085201B" w:rsidRPr="00B925AC">
        <w:rPr>
          <w:rFonts w:ascii="Times New Roman" w:hAnsi="Times New Roman"/>
        </w:rPr>
        <w:t>ike all models, the one presented here is an oversimplification.</w:t>
      </w:r>
      <w:r w:rsidR="002E17F4" w:rsidRPr="00B925AC">
        <w:rPr>
          <w:rStyle w:val="FootnoteReference"/>
          <w:rFonts w:ascii="Times New Roman" w:hAnsi="Times New Roman"/>
        </w:rPr>
        <w:footnoteReference w:id="44"/>
      </w:r>
      <w:r w:rsidR="0085201B" w:rsidRPr="00B925AC">
        <w:rPr>
          <w:rFonts w:ascii="Times New Roman" w:hAnsi="Times New Roman"/>
        </w:rPr>
        <w:t xml:space="preserve"> Specifically, I ask how political actors</w:t>
      </w:r>
      <w:r w:rsidR="007458E6" w:rsidRPr="00B925AC">
        <w:rPr>
          <w:rFonts w:ascii="Times New Roman" w:hAnsi="Times New Roman"/>
        </w:rPr>
        <w:t xml:space="preserve"> – </w:t>
      </w:r>
      <w:r w:rsidR="0085201B" w:rsidRPr="00B925AC">
        <w:rPr>
          <w:rFonts w:ascii="Times New Roman" w:hAnsi="Times New Roman"/>
        </w:rPr>
        <w:t>a category that includes MCs, as well as a wide variety of individuals in and out of government</w:t>
      </w:r>
      <w:r w:rsidR="008775DB" w:rsidRPr="00B925AC">
        <w:rPr>
          <w:rFonts w:ascii="Times New Roman" w:hAnsi="Times New Roman"/>
        </w:rPr>
        <w:t xml:space="preserve"> – </w:t>
      </w:r>
      <w:r w:rsidR="0085201B" w:rsidRPr="00B925AC">
        <w:rPr>
          <w:rFonts w:ascii="Times New Roman" w:hAnsi="Times New Roman"/>
        </w:rPr>
        <w:t xml:space="preserve">would behave if they were motivated </w:t>
      </w:r>
      <w:r w:rsidR="00D3331E" w:rsidRPr="00B925AC">
        <w:rPr>
          <w:rFonts w:ascii="Times New Roman" w:hAnsi="Times New Roman"/>
        </w:rPr>
        <w:t xml:space="preserve">solely </w:t>
      </w:r>
      <w:r w:rsidR="0085201B" w:rsidRPr="00B925AC">
        <w:rPr>
          <w:rFonts w:ascii="Times New Roman" w:hAnsi="Times New Roman"/>
        </w:rPr>
        <w:t>by either or both of two goals: (1) securing and/or retaining power and (2) changing policy.</w:t>
      </w:r>
      <w:r w:rsidR="00B75083" w:rsidRPr="00B925AC">
        <w:rPr>
          <w:rStyle w:val="FootnoteReference"/>
          <w:rFonts w:ascii="Times New Roman" w:hAnsi="Times New Roman"/>
        </w:rPr>
        <w:footnoteReference w:id="45"/>
      </w:r>
      <w:r w:rsidR="0085201B" w:rsidRPr="00B925AC">
        <w:rPr>
          <w:rFonts w:ascii="Times New Roman" w:hAnsi="Times New Roman"/>
        </w:rPr>
        <w:t xml:space="preserve"> This question stacks the deck against finding that political actors </w:t>
      </w:r>
      <w:r w:rsidR="0085201B" w:rsidRPr="00B925AC">
        <w:rPr>
          <w:rFonts w:ascii="Times New Roman" w:hAnsi="Times New Roman"/>
        </w:rPr>
        <w:lastRenderedPageBreak/>
        <w:t>behave in a principled manner.</w:t>
      </w:r>
    </w:p>
    <w:p w14:paraId="3342BE0C" w14:textId="77777777" w:rsidR="008F608A" w:rsidRPr="00B925AC" w:rsidRDefault="008F608A" w:rsidP="0085201B">
      <w:pPr>
        <w:rPr>
          <w:rFonts w:ascii="Times New Roman" w:hAnsi="Times New Roman"/>
        </w:rPr>
      </w:pPr>
    </w:p>
    <w:p w14:paraId="01DA8F3B" w14:textId="2281B318" w:rsidR="0091020F" w:rsidRPr="00B925AC" w:rsidRDefault="00B5715F" w:rsidP="0091020F">
      <w:pPr>
        <w:pStyle w:val="Heading3"/>
        <w:rPr>
          <w:rFonts w:ascii="Times New Roman" w:hAnsi="Times New Roman"/>
        </w:rPr>
      </w:pPr>
      <w:r w:rsidRPr="00B925AC">
        <w:rPr>
          <w:rFonts w:ascii="Times New Roman" w:hAnsi="Times New Roman"/>
        </w:rPr>
        <w:t>Articulating Principle</w:t>
      </w:r>
      <w:r w:rsidR="008F608A" w:rsidRPr="00B925AC">
        <w:rPr>
          <w:rFonts w:ascii="Times New Roman" w:hAnsi="Times New Roman"/>
        </w:rPr>
        <w:t>s</w:t>
      </w:r>
    </w:p>
    <w:p w14:paraId="2A8F27AD" w14:textId="30D29190" w:rsidR="00BC1FB8" w:rsidRPr="00B925AC" w:rsidRDefault="00AC3523" w:rsidP="00BC1FB8">
      <w:pPr>
        <w:rPr>
          <w:rFonts w:ascii="Times New Roman" w:hAnsi="Times New Roman"/>
        </w:rPr>
      </w:pPr>
      <w:r w:rsidRPr="00B925AC">
        <w:rPr>
          <w:rFonts w:ascii="Times New Roman" w:hAnsi="Times New Roman"/>
        </w:rPr>
        <w:t xml:space="preserve">Even the most casual observer of American politics will </w:t>
      </w:r>
      <w:r w:rsidR="004F0719" w:rsidRPr="00B925AC">
        <w:rPr>
          <w:rFonts w:ascii="Times New Roman" w:hAnsi="Times New Roman"/>
        </w:rPr>
        <w:t xml:space="preserve">notice that politicians like to build coalitions. </w:t>
      </w:r>
      <w:r w:rsidR="008A48FB" w:rsidRPr="00B925AC">
        <w:rPr>
          <w:rFonts w:ascii="Times New Roman" w:hAnsi="Times New Roman"/>
        </w:rPr>
        <w:t xml:space="preserve">Despite the apparent </w:t>
      </w:r>
      <w:r w:rsidR="00D83715" w:rsidRPr="00B925AC">
        <w:rPr>
          <w:rFonts w:ascii="Times New Roman" w:hAnsi="Times New Roman"/>
        </w:rPr>
        <w:t xml:space="preserve">views of the Framers, political parties developed almost immediately </w:t>
      </w:r>
      <w:r w:rsidR="00BD5E1D" w:rsidRPr="00B925AC">
        <w:rPr>
          <w:rFonts w:ascii="Times New Roman" w:hAnsi="Times New Roman"/>
        </w:rPr>
        <w:t>in the nascent American Republic.</w:t>
      </w:r>
      <w:r w:rsidR="007A465A" w:rsidRPr="00B925AC">
        <w:rPr>
          <w:rStyle w:val="FootnoteReference"/>
          <w:rFonts w:ascii="Times New Roman" w:hAnsi="Times New Roman"/>
        </w:rPr>
        <w:footnoteReference w:id="46"/>
      </w:r>
      <w:r w:rsidR="00BD5E1D" w:rsidRPr="00B925AC">
        <w:rPr>
          <w:rFonts w:ascii="Times New Roman" w:hAnsi="Times New Roman"/>
        </w:rPr>
        <w:t xml:space="preserve"> Today, MCs have not only party affiliations but a wide array of caucuses</w:t>
      </w:r>
      <w:r w:rsidR="009A6E46" w:rsidRPr="00B925AC">
        <w:rPr>
          <w:rFonts w:ascii="Times New Roman" w:hAnsi="Times New Roman"/>
        </w:rPr>
        <w:t>.</w:t>
      </w:r>
      <w:r w:rsidR="00680E6F" w:rsidRPr="00B925AC">
        <w:rPr>
          <w:rStyle w:val="FootnoteReference"/>
          <w:rFonts w:ascii="Times New Roman" w:hAnsi="Times New Roman"/>
        </w:rPr>
        <w:footnoteReference w:id="47"/>
      </w:r>
      <w:r w:rsidR="009A6E46" w:rsidRPr="00B925AC">
        <w:rPr>
          <w:rFonts w:ascii="Times New Roman" w:hAnsi="Times New Roman"/>
        </w:rPr>
        <w:t xml:space="preserve"> And even in the absence of caucuses, MCs affiliate with</w:t>
      </w:r>
      <w:r w:rsidR="0030274C" w:rsidRPr="00B925AC">
        <w:rPr>
          <w:rFonts w:ascii="Times New Roman" w:hAnsi="Times New Roman"/>
        </w:rPr>
        <w:t xml:space="preserve"> intra- or cross-partisan factions.</w:t>
      </w:r>
      <w:r w:rsidR="00BC1FB8" w:rsidRPr="00B925AC">
        <w:rPr>
          <w:rFonts w:ascii="Times New Roman" w:hAnsi="Times New Roman"/>
        </w:rPr>
        <w:t xml:space="preserve"> </w:t>
      </w:r>
      <w:r w:rsidR="00F22464" w:rsidRPr="00B925AC">
        <w:rPr>
          <w:rFonts w:ascii="Times New Roman" w:hAnsi="Times New Roman"/>
        </w:rPr>
        <w:t xml:space="preserve">It is not hard to see why. To shape policy in the American system, politicians need allies. </w:t>
      </w:r>
    </w:p>
    <w:p w14:paraId="6C9EC905" w14:textId="304D71D4" w:rsidR="006551D2" w:rsidRPr="00B925AC" w:rsidRDefault="00C8099C" w:rsidP="00CB3488">
      <w:pPr>
        <w:rPr>
          <w:rFonts w:ascii="Times New Roman" w:hAnsi="Times New Roman"/>
        </w:rPr>
      </w:pPr>
      <w:r w:rsidRPr="00B925AC">
        <w:rPr>
          <w:rFonts w:ascii="Times New Roman" w:hAnsi="Times New Roman"/>
        </w:rPr>
        <w:t xml:space="preserve">Moreover, political scientists have long recognized the value of building not just coalitions, but “long” coalitions – factions </w:t>
      </w:r>
      <w:r w:rsidR="00077327" w:rsidRPr="00B925AC">
        <w:rPr>
          <w:rFonts w:ascii="Times New Roman" w:hAnsi="Times New Roman"/>
        </w:rPr>
        <w:t xml:space="preserve">designed to stick together over time. </w:t>
      </w:r>
      <w:r w:rsidR="00FA506A" w:rsidRPr="00B925AC">
        <w:rPr>
          <w:rFonts w:ascii="Times New Roman" w:hAnsi="Times New Roman"/>
        </w:rPr>
        <w:t xml:space="preserve">Thomas Schwartz has shown how game theoretic considerations should lead politicians to </w:t>
      </w:r>
      <w:r w:rsidR="00BC1FB8" w:rsidRPr="00B925AC">
        <w:rPr>
          <w:rFonts w:ascii="Times New Roman" w:hAnsi="Times New Roman"/>
        </w:rPr>
        <w:t>form groups that vote together on multiple issues.</w:t>
      </w:r>
      <w:bookmarkStart w:id="11" w:name="_Ref186279231"/>
      <w:r w:rsidR="000F3A01" w:rsidRPr="00B925AC">
        <w:rPr>
          <w:rStyle w:val="FootnoteReference"/>
          <w:rFonts w:ascii="Times New Roman" w:hAnsi="Times New Roman"/>
        </w:rPr>
        <w:footnoteReference w:id="48"/>
      </w:r>
      <w:bookmarkEnd w:id="11"/>
      <w:r w:rsidR="009C4B6D" w:rsidRPr="00B925AC">
        <w:rPr>
          <w:rFonts w:ascii="Times New Roman" w:hAnsi="Times New Roman"/>
        </w:rPr>
        <w:t xml:space="preserve"> </w:t>
      </w:r>
      <w:r w:rsidR="00375B31" w:rsidRPr="00B925AC">
        <w:rPr>
          <w:rFonts w:ascii="Times New Roman" w:hAnsi="Times New Roman"/>
        </w:rPr>
        <w:t xml:space="preserve">These considerations are buttressed by two others. First, politicians will frequently want </w:t>
      </w:r>
      <w:r w:rsidR="00375B31" w:rsidRPr="00B925AC">
        <w:rPr>
          <w:rFonts w:ascii="Times New Roman" w:hAnsi="Times New Roman"/>
        </w:rPr>
        <w:lastRenderedPageBreak/>
        <w:t xml:space="preserve">their allies to </w:t>
      </w:r>
      <w:r w:rsidR="00943224" w:rsidRPr="00B925AC">
        <w:rPr>
          <w:rFonts w:ascii="Times New Roman" w:hAnsi="Times New Roman"/>
        </w:rPr>
        <w:t xml:space="preserve">spend resources today </w:t>
      </w:r>
      <w:r w:rsidR="00946365" w:rsidRPr="00B925AC">
        <w:rPr>
          <w:rFonts w:ascii="Times New Roman" w:hAnsi="Times New Roman"/>
        </w:rPr>
        <w:t xml:space="preserve">in order to </w:t>
      </w:r>
      <w:r w:rsidR="007F5CC6" w:rsidRPr="00B925AC">
        <w:rPr>
          <w:rFonts w:ascii="Times New Roman" w:hAnsi="Times New Roman"/>
        </w:rPr>
        <w:t xml:space="preserve">win policy fights tomorrow. </w:t>
      </w:r>
      <w:r w:rsidR="0056293F" w:rsidRPr="00B925AC">
        <w:rPr>
          <w:rFonts w:ascii="Times New Roman" w:hAnsi="Times New Roman"/>
        </w:rPr>
        <w:t xml:space="preserve">Politicians may feel like they are more likely to succeed in policy fights if, rather than building a new coalition for each fight, they invest today in staff, </w:t>
      </w:r>
      <w:r w:rsidR="00453E36" w:rsidRPr="00B925AC">
        <w:rPr>
          <w:rFonts w:ascii="Times New Roman" w:hAnsi="Times New Roman"/>
        </w:rPr>
        <w:t>office space,</w:t>
      </w:r>
      <w:r w:rsidR="008B58B7" w:rsidRPr="00B925AC">
        <w:rPr>
          <w:rFonts w:ascii="Times New Roman" w:hAnsi="Times New Roman"/>
        </w:rPr>
        <w:t xml:space="preserve"> and relationships that will pay off over time. Corporations do not build a new </w:t>
      </w:r>
      <w:r w:rsidR="00EB5DD3" w:rsidRPr="00B925AC">
        <w:rPr>
          <w:rFonts w:ascii="Times New Roman" w:hAnsi="Times New Roman"/>
        </w:rPr>
        <w:t xml:space="preserve">production </w:t>
      </w:r>
      <w:r w:rsidR="008B58B7" w:rsidRPr="00B925AC">
        <w:rPr>
          <w:rFonts w:ascii="Times New Roman" w:hAnsi="Times New Roman"/>
        </w:rPr>
        <w:t xml:space="preserve">infrastructure for every product. </w:t>
      </w:r>
      <w:r w:rsidR="006551D2" w:rsidRPr="00B925AC">
        <w:rPr>
          <w:rFonts w:ascii="Times New Roman" w:hAnsi="Times New Roman"/>
        </w:rPr>
        <w:t>We should not expect politicians to do so either.</w:t>
      </w:r>
      <w:r w:rsidR="00CB3488" w:rsidRPr="00B925AC">
        <w:rPr>
          <w:rFonts w:ascii="Times New Roman" w:hAnsi="Times New Roman"/>
        </w:rPr>
        <w:t xml:space="preserve"> </w:t>
      </w:r>
      <w:r w:rsidR="00466F4D" w:rsidRPr="00B925AC">
        <w:rPr>
          <w:rFonts w:ascii="Times New Roman" w:hAnsi="Times New Roman"/>
        </w:rPr>
        <w:t xml:space="preserve">Second, politicians want to get reelected. They therefore have incentives to mate for life, or at least until the next election. They need voters, donors, and activists to invest resources </w:t>
      </w:r>
      <w:r w:rsidR="000F43B6" w:rsidRPr="00B925AC">
        <w:rPr>
          <w:rFonts w:ascii="Times New Roman" w:hAnsi="Times New Roman"/>
        </w:rPr>
        <w:t xml:space="preserve">in winning elections, knowing that the payoff will come only later. </w:t>
      </w:r>
    </w:p>
    <w:p w14:paraId="6469F4EA" w14:textId="6EFCF6AD" w:rsidR="00CB3488" w:rsidRPr="00B925AC" w:rsidRDefault="00CB3488" w:rsidP="00CB3488">
      <w:pPr>
        <w:rPr>
          <w:rFonts w:ascii="Times New Roman" w:hAnsi="Times New Roman"/>
        </w:rPr>
      </w:pPr>
      <w:r w:rsidRPr="00B925AC">
        <w:rPr>
          <w:rFonts w:ascii="Times New Roman" w:hAnsi="Times New Roman"/>
        </w:rPr>
        <w:t xml:space="preserve">To build long coalitions, </w:t>
      </w:r>
      <w:r w:rsidR="00400705" w:rsidRPr="00B925AC">
        <w:rPr>
          <w:rFonts w:ascii="Times New Roman" w:hAnsi="Times New Roman"/>
        </w:rPr>
        <w:t xml:space="preserve">politicians need to help potential coalition partners predict the future. They need to show that </w:t>
      </w:r>
      <w:r w:rsidR="00953BE7" w:rsidRPr="00B925AC">
        <w:rPr>
          <w:rFonts w:ascii="Times New Roman" w:hAnsi="Times New Roman"/>
        </w:rPr>
        <w:t xml:space="preserve">time, effort, and money invested today will pay off tomorrow. </w:t>
      </w:r>
      <w:r w:rsidR="000D006B" w:rsidRPr="00B925AC">
        <w:rPr>
          <w:rFonts w:ascii="Times New Roman" w:hAnsi="Times New Roman"/>
        </w:rPr>
        <w:t>How do they do this?</w:t>
      </w:r>
    </w:p>
    <w:p w14:paraId="4B8871E2" w14:textId="3A658A86" w:rsidR="00351EAF" w:rsidRPr="00B925AC" w:rsidRDefault="00735DC6" w:rsidP="00351EAF">
      <w:pPr>
        <w:rPr>
          <w:rFonts w:ascii="Times New Roman" w:hAnsi="Times New Roman"/>
        </w:rPr>
      </w:pPr>
      <w:r w:rsidRPr="00B925AC">
        <w:rPr>
          <w:rFonts w:ascii="Times New Roman" w:hAnsi="Times New Roman"/>
        </w:rPr>
        <w:t xml:space="preserve">It should be clear by now </w:t>
      </w:r>
      <w:r w:rsidR="00D43373" w:rsidRPr="00B925AC">
        <w:rPr>
          <w:rFonts w:ascii="Times New Roman" w:hAnsi="Times New Roman"/>
        </w:rPr>
        <w:t xml:space="preserve">that </w:t>
      </w:r>
      <w:r w:rsidRPr="00B925AC">
        <w:rPr>
          <w:rFonts w:ascii="Times New Roman" w:hAnsi="Times New Roman"/>
        </w:rPr>
        <w:t xml:space="preserve">I think they </w:t>
      </w:r>
      <w:r w:rsidR="003955F4" w:rsidRPr="00B925AC">
        <w:rPr>
          <w:rFonts w:ascii="Times New Roman" w:hAnsi="Times New Roman"/>
        </w:rPr>
        <w:t>will</w:t>
      </w:r>
      <w:r w:rsidRPr="00B925AC">
        <w:rPr>
          <w:rFonts w:ascii="Times New Roman" w:hAnsi="Times New Roman"/>
        </w:rPr>
        <w:t xml:space="preserve"> begin by articulating principles. More importantly, they </w:t>
      </w:r>
      <w:r w:rsidR="00B469E8" w:rsidRPr="00B925AC">
        <w:rPr>
          <w:rFonts w:ascii="Times New Roman" w:hAnsi="Times New Roman"/>
        </w:rPr>
        <w:t xml:space="preserve">should articulate principles that </w:t>
      </w:r>
      <w:r w:rsidR="00AC5E78" w:rsidRPr="00B925AC">
        <w:rPr>
          <w:rFonts w:ascii="Times New Roman" w:hAnsi="Times New Roman"/>
        </w:rPr>
        <w:t xml:space="preserve">govern future cases, because their allies need to know how they will act in the future. This puts politicians in something like the posture of common law judges. </w:t>
      </w:r>
      <w:r w:rsidR="00FB0B0A" w:rsidRPr="00B925AC">
        <w:rPr>
          <w:rFonts w:ascii="Times New Roman" w:hAnsi="Times New Roman"/>
        </w:rPr>
        <w:t xml:space="preserve">They cannot be content merely to </w:t>
      </w:r>
      <w:r w:rsidR="00461EF6" w:rsidRPr="00B925AC">
        <w:rPr>
          <w:rFonts w:ascii="Times New Roman" w:hAnsi="Times New Roman"/>
        </w:rPr>
        <w:t>act</w:t>
      </w:r>
      <w:r w:rsidR="00FB0B0A" w:rsidRPr="00B925AC">
        <w:rPr>
          <w:rFonts w:ascii="Times New Roman" w:hAnsi="Times New Roman"/>
        </w:rPr>
        <w:t xml:space="preserve"> and let the public interpret their </w:t>
      </w:r>
      <w:r w:rsidR="00461EF6" w:rsidRPr="00B925AC">
        <w:rPr>
          <w:rFonts w:ascii="Times New Roman" w:hAnsi="Times New Roman"/>
        </w:rPr>
        <w:t xml:space="preserve">actions </w:t>
      </w:r>
      <w:r w:rsidR="00FB0B0A" w:rsidRPr="00B925AC">
        <w:rPr>
          <w:rFonts w:ascii="Times New Roman" w:hAnsi="Times New Roman"/>
        </w:rPr>
        <w:t xml:space="preserve">as it sees fit. Nor can they </w:t>
      </w:r>
      <w:r w:rsidR="00461EF6" w:rsidRPr="00B925AC">
        <w:rPr>
          <w:rFonts w:ascii="Times New Roman" w:hAnsi="Times New Roman"/>
        </w:rPr>
        <w:t xml:space="preserve">simply justify their actions by reference to the specific facts they faced – the exact provisions in legislation they supported or the exact conditions that made those </w:t>
      </w:r>
      <w:r w:rsidR="00C2384A" w:rsidRPr="00B925AC">
        <w:rPr>
          <w:rFonts w:ascii="Times New Roman" w:hAnsi="Times New Roman"/>
        </w:rPr>
        <w:t xml:space="preserve">provisions reasonable. They must speak generally enough </w:t>
      </w:r>
      <w:r w:rsidR="00992046" w:rsidRPr="00B925AC">
        <w:rPr>
          <w:rFonts w:ascii="Times New Roman" w:hAnsi="Times New Roman"/>
        </w:rPr>
        <w:t xml:space="preserve">so that their principles will apply in future cases </w:t>
      </w:r>
      <w:r w:rsidR="00C2384A" w:rsidRPr="00B925AC">
        <w:rPr>
          <w:rFonts w:ascii="Times New Roman" w:hAnsi="Times New Roman"/>
        </w:rPr>
        <w:t xml:space="preserve">and specifically enough </w:t>
      </w:r>
      <w:r w:rsidR="00201399" w:rsidRPr="00B925AC">
        <w:rPr>
          <w:rFonts w:ascii="Times New Roman" w:hAnsi="Times New Roman"/>
        </w:rPr>
        <w:t xml:space="preserve">such that their potential allies can </w:t>
      </w:r>
      <w:r w:rsidR="00E12C70" w:rsidRPr="00B925AC">
        <w:rPr>
          <w:rFonts w:ascii="Times New Roman" w:hAnsi="Times New Roman"/>
        </w:rPr>
        <w:t>predict how the speaker will act in those cases</w:t>
      </w:r>
      <w:r w:rsidR="00201399" w:rsidRPr="00B925AC">
        <w:rPr>
          <w:rFonts w:ascii="Times New Roman" w:hAnsi="Times New Roman"/>
        </w:rPr>
        <w:t>.</w:t>
      </w:r>
    </w:p>
    <w:p w14:paraId="3875A8C7" w14:textId="7ED63B1E" w:rsidR="0098413E" w:rsidRPr="00B925AC" w:rsidRDefault="0098413E" w:rsidP="00351EAF">
      <w:pPr>
        <w:rPr>
          <w:rFonts w:ascii="Times New Roman" w:hAnsi="Times New Roman"/>
        </w:rPr>
      </w:pPr>
      <w:r w:rsidRPr="00B925AC">
        <w:rPr>
          <w:rFonts w:ascii="Times New Roman" w:hAnsi="Times New Roman"/>
        </w:rPr>
        <w:t>Before continuing, I should address one concern that may seem obvious. When political</w:t>
      </w:r>
      <w:r w:rsidRPr="00B925AC">
        <w:rPr>
          <w:rFonts w:ascii="Times New Roman" w:hAnsi="Times New Roman"/>
          <w:spacing w:val="1"/>
        </w:rPr>
        <w:t xml:space="preserve"> </w:t>
      </w:r>
      <w:r w:rsidRPr="00B925AC">
        <w:rPr>
          <w:rFonts w:ascii="Times New Roman" w:hAnsi="Times New Roman"/>
        </w:rPr>
        <w:t xml:space="preserve">actors engage in coalitional constitutionalism, they articulate principles that they may </w:t>
      </w:r>
      <w:r w:rsidR="001D1077" w:rsidRPr="00B925AC">
        <w:rPr>
          <w:rFonts w:ascii="Times New Roman" w:hAnsi="Times New Roman"/>
        </w:rPr>
        <w:t xml:space="preserve">not themselves </w:t>
      </w:r>
      <w:r w:rsidRPr="00B925AC">
        <w:rPr>
          <w:rFonts w:ascii="Times New Roman" w:hAnsi="Times New Roman"/>
        </w:rPr>
        <w:t>believe</w:t>
      </w:r>
      <w:r w:rsidRPr="00B925AC">
        <w:rPr>
          <w:rFonts w:ascii="Times New Roman" w:hAnsi="Times New Roman"/>
          <w:spacing w:val="-7"/>
        </w:rPr>
        <w:t xml:space="preserve"> </w:t>
      </w:r>
      <w:r w:rsidRPr="00B925AC">
        <w:rPr>
          <w:rFonts w:ascii="Times New Roman" w:hAnsi="Times New Roman"/>
        </w:rPr>
        <w:t>to</w:t>
      </w:r>
      <w:r w:rsidRPr="00B925AC">
        <w:rPr>
          <w:rFonts w:ascii="Times New Roman" w:hAnsi="Times New Roman"/>
          <w:spacing w:val="-7"/>
        </w:rPr>
        <w:t xml:space="preserve"> </w:t>
      </w:r>
      <w:r w:rsidRPr="00B925AC">
        <w:rPr>
          <w:rFonts w:ascii="Times New Roman" w:hAnsi="Times New Roman"/>
        </w:rPr>
        <w:t>be</w:t>
      </w:r>
      <w:r w:rsidRPr="00B925AC">
        <w:rPr>
          <w:rFonts w:ascii="Times New Roman" w:hAnsi="Times New Roman"/>
          <w:spacing w:val="-7"/>
        </w:rPr>
        <w:t xml:space="preserve"> </w:t>
      </w:r>
      <w:r w:rsidRPr="00B925AC">
        <w:rPr>
          <w:rFonts w:ascii="Times New Roman" w:hAnsi="Times New Roman"/>
        </w:rPr>
        <w:t>true.</w:t>
      </w:r>
      <w:r w:rsidR="00C0166D" w:rsidRPr="00B925AC">
        <w:rPr>
          <w:rStyle w:val="FootnoteReference"/>
          <w:rFonts w:ascii="Times New Roman" w:hAnsi="Times New Roman"/>
        </w:rPr>
        <w:footnoteReference w:id="49"/>
      </w:r>
      <w:r w:rsidRPr="00B925AC">
        <w:rPr>
          <w:rFonts w:ascii="Times New Roman" w:hAnsi="Times New Roman"/>
          <w:spacing w:val="15"/>
        </w:rPr>
        <w:t xml:space="preserve"> </w:t>
      </w:r>
      <w:r w:rsidRPr="00B925AC">
        <w:rPr>
          <w:rFonts w:ascii="Times New Roman" w:hAnsi="Times New Roman"/>
        </w:rPr>
        <w:t>The</w:t>
      </w:r>
      <w:r w:rsidRPr="00B925AC">
        <w:rPr>
          <w:rFonts w:ascii="Times New Roman" w:hAnsi="Times New Roman"/>
          <w:spacing w:val="-7"/>
        </w:rPr>
        <w:t xml:space="preserve"> </w:t>
      </w:r>
      <w:r w:rsidRPr="00B925AC">
        <w:rPr>
          <w:rFonts w:ascii="Times New Roman" w:hAnsi="Times New Roman"/>
        </w:rPr>
        <w:t>Communist</w:t>
      </w:r>
      <w:r w:rsidRPr="00B925AC">
        <w:rPr>
          <w:rFonts w:ascii="Times New Roman" w:hAnsi="Times New Roman"/>
          <w:spacing w:val="-7"/>
        </w:rPr>
        <w:t xml:space="preserve"> </w:t>
      </w:r>
      <w:r w:rsidRPr="00B925AC">
        <w:rPr>
          <w:rFonts w:ascii="Times New Roman" w:hAnsi="Times New Roman"/>
        </w:rPr>
        <w:t>who</w:t>
      </w:r>
      <w:r w:rsidRPr="00B925AC">
        <w:rPr>
          <w:rFonts w:ascii="Times New Roman" w:hAnsi="Times New Roman"/>
          <w:spacing w:val="-7"/>
        </w:rPr>
        <w:t xml:space="preserve"> </w:t>
      </w:r>
      <w:r w:rsidRPr="00B925AC">
        <w:rPr>
          <w:rFonts w:ascii="Times New Roman" w:hAnsi="Times New Roman"/>
        </w:rPr>
        <w:t>says,</w:t>
      </w:r>
      <w:r w:rsidRPr="00B925AC">
        <w:rPr>
          <w:rFonts w:ascii="Times New Roman" w:hAnsi="Times New Roman"/>
          <w:spacing w:val="-7"/>
        </w:rPr>
        <w:t xml:space="preserve"> </w:t>
      </w:r>
      <w:r w:rsidRPr="00B925AC">
        <w:rPr>
          <w:rFonts w:ascii="Times New Roman" w:hAnsi="Times New Roman"/>
        </w:rPr>
        <w:t>“all</w:t>
      </w:r>
      <w:r w:rsidRPr="00B925AC">
        <w:rPr>
          <w:rFonts w:ascii="Times New Roman" w:hAnsi="Times New Roman"/>
          <w:spacing w:val="-7"/>
        </w:rPr>
        <w:t xml:space="preserve"> </w:t>
      </w:r>
      <w:r w:rsidRPr="00B925AC">
        <w:rPr>
          <w:rFonts w:ascii="Times New Roman" w:hAnsi="Times New Roman"/>
        </w:rPr>
        <w:t>speech</w:t>
      </w:r>
      <w:r w:rsidRPr="00B925AC">
        <w:rPr>
          <w:rFonts w:ascii="Times New Roman" w:hAnsi="Times New Roman"/>
          <w:spacing w:val="-7"/>
        </w:rPr>
        <w:t xml:space="preserve"> </w:t>
      </w:r>
      <w:r w:rsidRPr="00B925AC">
        <w:rPr>
          <w:rFonts w:ascii="Times New Roman" w:hAnsi="Times New Roman"/>
        </w:rPr>
        <w:t>should</w:t>
      </w:r>
      <w:r w:rsidRPr="00B925AC">
        <w:rPr>
          <w:rFonts w:ascii="Times New Roman" w:hAnsi="Times New Roman"/>
          <w:spacing w:val="-7"/>
        </w:rPr>
        <w:t xml:space="preserve"> </w:t>
      </w:r>
      <w:r w:rsidRPr="00B925AC">
        <w:rPr>
          <w:rFonts w:ascii="Times New Roman" w:hAnsi="Times New Roman"/>
        </w:rPr>
        <w:t>be</w:t>
      </w:r>
      <w:r w:rsidRPr="00B925AC">
        <w:rPr>
          <w:rFonts w:ascii="Times New Roman" w:hAnsi="Times New Roman"/>
          <w:spacing w:val="-8"/>
        </w:rPr>
        <w:t xml:space="preserve"> </w:t>
      </w:r>
      <w:r w:rsidRPr="00B925AC">
        <w:rPr>
          <w:rFonts w:ascii="Times New Roman" w:hAnsi="Times New Roman"/>
        </w:rPr>
        <w:t>free,</w:t>
      </w:r>
      <w:r w:rsidR="00CC4966" w:rsidRPr="00B925AC">
        <w:rPr>
          <w:rFonts w:ascii="Times New Roman" w:hAnsi="Times New Roman"/>
        </w:rPr>
        <w:t>”</w:t>
      </w:r>
      <w:r w:rsidRPr="00B925AC">
        <w:rPr>
          <w:rFonts w:ascii="Times New Roman" w:hAnsi="Times New Roman"/>
          <w:spacing w:val="-7"/>
        </w:rPr>
        <w:t xml:space="preserve"> </w:t>
      </w:r>
      <w:r w:rsidRPr="00B925AC">
        <w:rPr>
          <w:rFonts w:ascii="Times New Roman" w:hAnsi="Times New Roman"/>
        </w:rPr>
        <w:t>by</w:t>
      </w:r>
      <w:r w:rsidRPr="00B925AC">
        <w:rPr>
          <w:rFonts w:ascii="Times New Roman" w:hAnsi="Times New Roman"/>
          <w:spacing w:val="-57"/>
        </w:rPr>
        <w:t xml:space="preserve"> </w:t>
      </w:r>
      <w:r w:rsidRPr="00B925AC">
        <w:rPr>
          <w:rFonts w:ascii="Times New Roman" w:hAnsi="Times New Roman"/>
        </w:rPr>
        <w:t>assumption</w:t>
      </w:r>
      <w:r w:rsidRPr="00B925AC">
        <w:rPr>
          <w:rFonts w:ascii="Times New Roman" w:hAnsi="Times New Roman"/>
          <w:spacing w:val="-9"/>
        </w:rPr>
        <w:t xml:space="preserve"> </w:t>
      </w:r>
      <w:r w:rsidRPr="00B925AC">
        <w:rPr>
          <w:rFonts w:ascii="Times New Roman" w:hAnsi="Times New Roman"/>
        </w:rPr>
        <w:t>of</w:t>
      </w:r>
      <w:r w:rsidRPr="00B925AC">
        <w:rPr>
          <w:rFonts w:ascii="Times New Roman" w:hAnsi="Times New Roman"/>
          <w:spacing w:val="-8"/>
        </w:rPr>
        <w:t xml:space="preserve"> </w:t>
      </w:r>
      <w:r w:rsidRPr="00B925AC">
        <w:rPr>
          <w:rFonts w:ascii="Times New Roman" w:hAnsi="Times New Roman"/>
        </w:rPr>
        <w:t>the</w:t>
      </w:r>
      <w:r w:rsidRPr="00B925AC">
        <w:rPr>
          <w:rFonts w:ascii="Times New Roman" w:hAnsi="Times New Roman"/>
          <w:spacing w:val="-9"/>
        </w:rPr>
        <w:t xml:space="preserve"> </w:t>
      </w:r>
      <w:r w:rsidRPr="00B925AC">
        <w:rPr>
          <w:rFonts w:ascii="Times New Roman" w:hAnsi="Times New Roman"/>
        </w:rPr>
        <w:t>model,</w:t>
      </w:r>
      <w:r w:rsidRPr="00B925AC">
        <w:rPr>
          <w:rFonts w:ascii="Times New Roman" w:hAnsi="Times New Roman"/>
          <w:spacing w:val="-7"/>
        </w:rPr>
        <w:t xml:space="preserve"> </w:t>
      </w:r>
      <w:r w:rsidRPr="00B925AC">
        <w:rPr>
          <w:rFonts w:ascii="Times New Roman" w:hAnsi="Times New Roman"/>
        </w:rPr>
        <w:t>speaks</w:t>
      </w:r>
      <w:r w:rsidRPr="00B925AC">
        <w:rPr>
          <w:rFonts w:ascii="Times New Roman" w:hAnsi="Times New Roman"/>
          <w:spacing w:val="-9"/>
        </w:rPr>
        <w:t xml:space="preserve"> </w:t>
      </w:r>
      <w:r w:rsidRPr="00B925AC">
        <w:rPr>
          <w:rFonts w:ascii="Times New Roman" w:hAnsi="Times New Roman"/>
        </w:rPr>
        <w:t>those</w:t>
      </w:r>
      <w:r w:rsidRPr="00B925AC">
        <w:rPr>
          <w:rFonts w:ascii="Times New Roman" w:hAnsi="Times New Roman"/>
          <w:spacing w:val="-9"/>
        </w:rPr>
        <w:t xml:space="preserve"> </w:t>
      </w:r>
      <w:r w:rsidRPr="00B925AC">
        <w:rPr>
          <w:rFonts w:ascii="Times New Roman" w:hAnsi="Times New Roman"/>
        </w:rPr>
        <w:t>words</w:t>
      </w:r>
      <w:r w:rsidRPr="00B925AC">
        <w:rPr>
          <w:rFonts w:ascii="Times New Roman" w:hAnsi="Times New Roman"/>
          <w:spacing w:val="-7"/>
        </w:rPr>
        <w:t xml:space="preserve"> </w:t>
      </w:r>
      <w:r w:rsidRPr="00B925AC">
        <w:rPr>
          <w:rFonts w:ascii="Times New Roman" w:hAnsi="Times New Roman"/>
        </w:rPr>
        <w:t>because</w:t>
      </w:r>
      <w:r w:rsidRPr="00B925AC">
        <w:rPr>
          <w:rFonts w:ascii="Times New Roman" w:hAnsi="Times New Roman"/>
          <w:spacing w:val="-9"/>
        </w:rPr>
        <w:t xml:space="preserve"> </w:t>
      </w:r>
      <w:r w:rsidRPr="00B925AC">
        <w:rPr>
          <w:rFonts w:ascii="Times New Roman" w:hAnsi="Times New Roman"/>
        </w:rPr>
        <w:t>they</w:t>
      </w:r>
      <w:r w:rsidRPr="00B925AC">
        <w:rPr>
          <w:rFonts w:ascii="Times New Roman" w:hAnsi="Times New Roman"/>
          <w:spacing w:val="-9"/>
        </w:rPr>
        <w:t xml:space="preserve"> </w:t>
      </w:r>
      <w:r w:rsidRPr="00B925AC">
        <w:rPr>
          <w:rFonts w:ascii="Times New Roman" w:hAnsi="Times New Roman"/>
        </w:rPr>
        <w:t>serve</w:t>
      </w:r>
      <w:r w:rsidRPr="00B925AC">
        <w:rPr>
          <w:rFonts w:ascii="Times New Roman" w:hAnsi="Times New Roman"/>
          <w:spacing w:val="-8"/>
        </w:rPr>
        <w:t xml:space="preserve"> </w:t>
      </w:r>
      <w:r w:rsidRPr="00B925AC">
        <w:rPr>
          <w:rFonts w:ascii="Times New Roman" w:hAnsi="Times New Roman"/>
        </w:rPr>
        <w:t>her</w:t>
      </w:r>
      <w:r w:rsidRPr="00B925AC">
        <w:rPr>
          <w:rFonts w:ascii="Times New Roman" w:hAnsi="Times New Roman"/>
          <w:spacing w:val="-8"/>
        </w:rPr>
        <w:t xml:space="preserve"> </w:t>
      </w:r>
      <w:r w:rsidRPr="00B925AC">
        <w:rPr>
          <w:rFonts w:ascii="Times New Roman" w:hAnsi="Times New Roman"/>
        </w:rPr>
        <w:t>interests,</w:t>
      </w:r>
      <w:r w:rsidRPr="00B925AC">
        <w:rPr>
          <w:rFonts w:ascii="Times New Roman" w:hAnsi="Times New Roman"/>
          <w:spacing w:val="-9"/>
        </w:rPr>
        <w:t xml:space="preserve"> </w:t>
      </w:r>
      <w:r w:rsidRPr="00B925AC">
        <w:rPr>
          <w:rFonts w:ascii="Times New Roman" w:hAnsi="Times New Roman"/>
        </w:rPr>
        <w:t>not</w:t>
      </w:r>
      <w:r w:rsidRPr="00B925AC">
        <w:rPr>
          <w:rFonts w:ascii="Times New Roman" w:hAnsi="Times New Roman"/>
          <w:spacing w:val="-8"/>
        </w:rPr>
        <w:t xml:space="preserve"> </w:t>
      </w:r>
      <w:r w:rsidR="00CC4966" w:rsidRPr="00B925AC">
        <w:rPr>
          <w:rFonts w:ascii="Times New Roman" w:hAnsi="Times New Roman"/>
          <w:spacing w:val="-8"/>
        </w:rPr>
        <w:t xml:space="preserve">because she </w:t>
      </w:r>
      <w:r w:rsidRPr="00B925AC">
        <w:rPr>
          <w:rFonts w:ascii="Times New Roman" w:hAnsi="Times New Roman"/>
        </w:rPr>
        <w:t>believes them. This criticism assumes a definition of truth that does not fit the legal</w:t>
      </w:r>
      <w:r w:rsidRPr="00B925AC">
        <w:rPr>
          <w:rFonts w:ascii="Times New Roman" w:hAnsi="Times New Roman"/>
          <w:spacing w:val="1"/>
        </w:rPr>
        <w:t xml:space="preserve"> </w:t>
      </w:r>
      <w:r w:rsidRPr="00B925AC">
        <w:rPr>
          <w:rFonts w:ascii="Times New Roman" w:hAnsi="Times New Roman"/>
        </w:rPr>
        <w:t>context. In the legal context, “true</w:t>
      </w:r>
      <w:r w:rsidR="008542FF" w:rsidRPr="00B925AC">
        <w:rPr>
          <w:rFonts w:ascii="Times New Roman" w:hAnsi="Times New Roman"/>
        </w:rPr>
        <w:t>”</w:t>
      </w:r>
      <w:r w:rsidRPr="00B925AC">
        <w:rPr>
          <w:rFonts w:ascii="Times New Roman" w:hAnsi="Times New Roman"/>
        </w:rPr>
        <w:t xml:space="preserve"> is best understood as synonymous with “the correct</w:t>
      </w:r>
      <w:r w:rsidRPr="00B925AC">
        <w:rPr>
          <w:rFonts w:ascii="Times New Roman" w:hAnsi="Times New Roman"/>
          <w:spacing w:val="1"/>
        </w:rPr>
        <w:t xml:space="preserve"> </w:t>
      </w:r>
      <w:r w:rsidRPr="00B925AC">
        <w:rPr>
          <w:rFonts w:ascii="Times New Roman" w:hAnsi="Times New Roman"/>
        </w:rPr>
        <w:t>answer given the rules of the game.</w:t>
      </w:r>
      <w:r w:rsidR="008542FF" w:rsidRPr="00B925AC">
        <w:rPr>
          <w:rFonts w:ascii="Times New Roman" w:hAnsi="Times New Roman"/>
        </w:rPr>
        <w:t>”</w:t>
      </w:r>
      <w:r w:rsidRPr="00B925AC">
        <w:rPr>
          <w:rFonts w:ascii="Times New Roman" w:hAnsi="Times New Roman"/>
        </w:rPr>
        <w:t xml:space="preserve"> Imagine a judge says to herself, “I believe the best</w:t>
      </w:r>
      <w:r w:rsidRPr="00B925AC">
        <w:rPr>
          <w:rFonts w:ascii="Times New Roman" w:hAnsi="Times New Roman"/>
          <w:spacing w:val="1"/>
        </w:rPr>
        <w:t xml:space="preserve"> </w:t>
      </w:r>
      <w:r w:rsidRPr="00B925AC">
        <w:rPr>
          <w:rFonts w:ascii="Times New Roman" w:hAnsi="Times New Roman"/>
        </w:rPr>
        <w:t>principle</w:t>
      </w:r>
      <w:r w:rsidRPr="00B925AC">
        <w:rPr>
          <w:rFonts w:ascii="Times New Roman" w:hAnsi="Times New Roman"/>
          <w:spacing w:val="11"/>
        </w:rPr>
        <w:t xml:space="preserve"> </w:t>
      </w:r>
      <w:r w:rsidRPr="00B925AC">
        <w:rPr>
          <w:rFonts w:ascii="Times New Roman" w:hAnsi="Times New Roman"/>
        </w:rPr>
        <w:t>is</w:t>
      </w:r>
      <w:r w:rsidRPr="00B925AC">
        <w:rPr>
          <w:rFonts w:ascii="Times New Roman" w:hAnsi="Times New Roman"/>
          <w:spacing w:val="12"/>
        </w:rPr>
        <w:t xml:space="preserve"> </w:t>
      </w:r>
      <w:r w:rsidRPr="00B925AC">
        <w:rPr>
          <w:rFonts w:ascii="Times New Roman" w:hAnsi="Times New Roman"/>
        </w:rPr>
        <w:t>X,</w:t>
      </w:r>
      <w:r w:rsidRPr="00B925AC">
        <w:rPr>
          <w:rFonts w:ascii="Times New Roman" w:hAnsi="Times New Roman"/>
          <w:spacing w:val="11"/>
        </w:rPr>
        <w:t xml:space="preserve"> </w:t>
      </w:r>
      <w:r w:rsidRPr="00B925AC">
        <w:rPr>
          <w:rFonts w:ascii="Times New Roman" w:hAnsi="Times New Roman"/>
        </w:rPr>
        <w:t>but</w:t>
      </w:r>
      <w:r w:rsidRPr="00B925AC">
        <w:rPr>
          <w:rFonts w:ascii="Times New Roman" w:hAnsi="Times New Roman"/>
          <w:spacing w:val="13"/>
        </w:rPr>
        <w:t xml:space="preserve"> </w:t>
      </w:r>
      <w:r w:rsidRPr="00B925AC">
        <w:rPr>
          <w:rFonts w:ascii="Times New Roman" w:hAnsi="Times New Roman"/>
        </w:rPr>
        <w:t>given</w:t>
      </w:r>
      <w:r w:rsidRPr="00B925AC">
        <w:rPr>
          <w:rFonts w:ascii="Times New Roman" w:hAnsi="Times New Roman"/>
          <w:spacing w:val="11"/>
        </w:rPr>
        <w:t xml:space="preserve"> </w:t>
      </w:r>
      <w:r w:rsidRPr="00B925AC">
        <w:rPr>
          <w:rFonts w:ascii="Times New Roman" w:hAnsi="Times New Roman"/>
        </w:rPr>
        <w:t>that</w:t>
      </w:r>
      <w:r w:rsidRPr="00B925AC">
        <w:rPr>
          <w:rFonts w:ascii="Times New Roman" w:hAnsi="Times New Roman"/>
          <w:spacing w:val="11"/>
        </w:rPr>
        <w:t xml:space="preserve"> </w:t>
      </w:r>
      <w:r w:rsidRPr="00B925AC">
        <w:rPr>
          <w:rFonts w:ascii="Times New Roman" w:hAnsi="Times New Roman"/>
        </w:rPr>
        <w:t>the</w:t>
      </w:r>
      <w:r w:rsidRPr="00B925AC">
        <w:rPr>
          <w:rFonts w:ascii="Times New Roman" w:hAnsi="Times New Roman"/>
          <w:spacing w:val="12"/>
        </w:rPr>
        <w:t xml:space="preserve"> </w:t>
      </w:r>
      <w:r w:rsidRPr="00B925AC">
        <w:rPr>
          <w:rFonts w:ascii="Times New Roman" w:hAnsi="Times New Roman"/>
        </w:rPr>
        <w:t>game</w:t>
      </w:r>
      <w:r w:rsidRPr="00B925AC">
        <w:rPr>
          <w:rFonts w:ascii="Times New Roman" w:hAnsi="Times New Roman"/>
          <w:spacing w:val="11"/>
        </w:rPr>
        <w:t xml:space="preserve"> </w:t>
      </w:r>
      <w:r w:rsidRPr="00B925AC">
        <w:rPr>
          <w:rFonts w:ascii="Times New Roman" w:hAnsi="Times New Roman"/>
        </w:rPr>
        <w:t>I</w:t>
      </w:r>
      <w:r w:rsidRPr="00B925AC">
        <w:rPr>
          <w:rFonts w:ascii="Times New Roman" w:hAnsi="Times New Roman"/>
          <w:spacing w:val="13"/>
        </w:rPr>
        <w:t xml:space="preserve"> </w:t>
      </w:r>
      <w:r w:rsidRPr="00B925AC">
        <w:rPr>
          <w:rFonts w:ascii="Times New Roman" w:hAnsi="Times New Roman"/>
        </w:rPr>
        <w:t>am</w:t>
      </w:r>
      <w:r w:rsidRPr="00B925AC">
        <w:rPr>
          <w:rFonts w:ascii="Times New Roman" w:hAnsi="Times New Roman"/>
          <w:spacing w:val="11"/>
        </w:rPr>
        <w:t xml:space="preserve"> </w:t>
      </w:r>
      <w:r w:rsidRPr="00B925AC">
        <w:rPr>
          <w:rFonts w:ascii="Times New Roman" w:hAnsi="Times New Roman"/>
        </w:rPr>
        <w:t>playing</w:t>
      </w:r>
      <w:r w:rsidRPr="00B925AC">
        <w:rPr>
          <w:rFonts w:ascii="Times New Roman" w:hAnsi="Times New Roman"/>
          <w:spacing w:val="11"/>
        </w:rPr>
        <w:t xml:space="preserve"> </w:t>
      </w:r>
      <w:r w:rsidRPr="00B925AC">
        <w:rPr>
          <w:rFonts w:ascii="Times New Roman" w:hAnsi="Times New Roman"/>
        </w:rPr>
        <w:t>involves</w:t>
      </w:r>
      <w:r w:rsidRPr="00B925AC">
        <w:rPr>
          <w:rFonts w:ascii="Times New Roman" w:hAnsi="Times New Roman"/>
          <w:spacing w:val="11"/>
        </w:rPr>
        <w:t xml:space="preserve"> </w:t>
      </w:r>
      <w:r w:rsidRPr="00B925AC">
        <w:rPr>
          <w:rFonts w:ascii="Times New Roman" w:hAnsi="Times New Roman"/>
        </w:rPr>
        <w:t>synthesizing</w:t>
      </w:r>
      <w:r w:rsidRPr="00B925AC">
        <w:rPr>
          <w:rFonts w:ascii="Times New Roman" w:hAnsi="Times New Roman"/>
          <w:spacing w:val="12"/>
        </w:rPr>
        <w:t xml:space="preserve"> </w:t>
      </w:r>
      <w:r w:rsidRPr="00B925AC">
        <w:rPr>
          <w:rFonts w:ascii="Times New Roman" w:hAnsi="Times New Roman"/>
        </w:rPr>
        <w:t>case</w:t>
      </w:r>
      <w:r w:rsidRPr="00B925AC">
        <w:rPr>
          <w:rFonts w:ascii="Times New Roman" w:hAnsi="Times New Roman"/>
          <w:spacing w:val="12"/>
        </w:rPr>
        <w:t xml:space="preserve"> </w:t>
      </w:r>
      <w:r w:rsidRPr="00B925AC">
        <w:rPr>
          <w:rFonts w:ascii="Times New Roman" w:hAnsi="Times New Roman"/>
        </w:rPr>
        <w:t>law,</w:t>
      </w:r>
      <w:r w:rsidRPr="00B925AC">
        <w:rPr>
          <w:rFonts w:ascii="Times New Roman" w:hAnsi="Times New Roman"/>
          <w:spacing w:val="14"/>
        </w:rPr>
        <w:t xml:space="preserve"> </w:t>
      </w:r>
      <w:r w:rsidRPr="00B925AC">
        <w:rPr>
          <w:rFonts w:ascii="Times New Roman" w:hAnsi="Times New Roman"/>
        </w:rPr>
        <w:t>the</w:t>
      </w:r>
      <w:r w:rsidR="00E64271" w:rsidRPr="00B925AC">
        <w:rPr>
          <w:rFonts w:ascii="Times New Roman" w:hAnsi="Times New Roman"/>
        </w:rPr>
        <w:t xml:space="preserve"> ‘correct’ principle is Y.</w:t>
      </w:r>
      <w:r w:rsidR="00315411" w:rsidRPr="00B925AC">
        <w:rPr>
          <w:rFonts w:ascii="Times New Roman" w:hAnsi="Times New Roman"/>
        </w:rPr>
        <w:t>”</w:t>
      </w:r>
      <w:r w:rsidR="00E64271" w:rsidRPr="00B925AC">
        <w:rPr>
          <w:rFonts w:ascii="Times New Roman" w:hAnsi="Times New Roman"/>
        </w:rPr>
        <w:t xml:space="preserve"> We do not conclude the judge is lying. We conclude she is doing exactly the </w:t>
      </w:r>
      <w:r w:rsidR="00E64271" w:rsidRPr="00B925AC">
        <w:rPr>
          <w:rFonts w:ascii="Times New Roman" w:hAnsi="Times New Roman"/>
        </w:rPr>
        <w:lastRenderedPageBreak/>
        <w:t xml:space="preserve">right thing, provided the system of case law synthesis produces good outcomes. Similarly, a political actor who articulates principle X as a means of building a coalition is asserting that she thinks it is the right answer given the game she is playing. The question should be not whether she is being sincere, but whether she is playing the right game. </w:t>
      </w:r>
    </w:p>
    <w:p w14:paraId="14F363CA" w14:textId="77777777" w:rsidR="00351EAF" w:rsidRPr="00B925AC" w:rsidRDefault="00351EAF" w:rsidP="00351EAF">
      <w:pPr>
        <w:rPr>
          <w:rFonts w:ascii="Times New Roman" w:hAnsi="Times New Roman"/>
        </w:rPr>
      </w:pPr>
      <w:r w:rsidRPr="00B925AC">
        <w:rPr>
          <w:rFonts w:ascii="Times New Roman" w:hAnsi="Times New Roman"/>
        </w:rPr>
        <w:t>A statement of constitutional principle, once made, may produce results that transcend its origins in political strategy.</w:t>
      </w:r>
    </w:p>
    <w:p w14:paraId="21DC7148" w14:textId="6E2B028D" w:rsidR="00363C10" w:rsidRPr="00B925AC" w:rsidRDefault="00351EAF" w:rsidP="00B20B1A">
      <w:pPr>
        <w:rPr>
          <w:rFonts w:ascii="Times New Roman" w:hAnsi="Times New Roman"/>
        </w:rPr>
      </w:pPr>
      <w:r w:rsidRPr="00B925AC">
        <w:rPr>
          <w:rFonts w:ascii="Times New Roman" w:hAnsi="Times New Roman"/>
          <w:i/>
          <w:iCs/>
        </w:rPr>
        <w:t>Coalitions</w:t>
      </w:r>
      <w:r w:rsidR="00C455B9" w:rsidRPr="00B925AC">
        <w:rPr>
          <w:rFonts w:ascii="Times New Roman" w:hAnsi="Times New Roman"/>
        </w:rPr>
        <w:t>.—</w:t>
      </w:r>
      <w:r w:rsidRPr="00B925AC">
        <w:rPr>
          <w:rFonts w:ascii="Times New Roman" w:hAnsi="Times New Roman"/>
        </w:rPr>
        <w:t xml:space="preserve">First and foremost, it may begin to produce a coalition. </w:t>
      </w:r>
      <w:r w:rsidR="00503599" w:rsidRPr="00B925AC">
        <w:rPr>
          <w:rFonts w:ascii="Times New Roman" w:hAnsi="Times New Roman"/>
        </w:rPr>
        <w:t xml:space="preserve">In the </w:t>
      </w:r>
      <w:r w:rsidR="00CE76A3" w:rsidRPr="00B925AC">
        <w:rPr>
          <w:rFonts w:ascii="Times New Roman" w:hAnsi="Times New Roman"/>
        </w:rPr>
        <w:t xml:space="preserve">1940s and 1950s, </w:t>
      </w:r>
      <w:r w:rsidR="006E369A" w:rsidRPr="00B925AC">
        <w:rPr>
          <w:rFonts w:ascii="Times New Roman" w:hAnsi="Times New Roman"/>
        </w:rPr>
        <w:t xml:space="preserve">policy entrepreneurs repeatedly assembled </w:t>
      </w:r>
      <w:r w:rsidR="009342CE" w:rsidRPr="00B925AC">
        <w:rPr>
          <w:rFonts w:ascii="Times New Roman" w:hAnsi="Times New Roman"/>
        </w:rPr>
        <w:t>sets of organizations to focus on achieving one of the many goals associated with</w:t>
      </w:r>
      <w:r w:rsidR="00F76A48" w:rsidRPr="00B925AC">
        <w:rPr>
          <w:rFonts w:ascii="Times New Roman" w:hAnsi="Times New Roman"/>
        </w:rPr>
        <w:t xml:space="preserve"> what could broadly be called the civil rights movement. </w:t>
      </w:r>
      <w:r w:rsidR="00B20B1A" w:rsidRPr="00B925AC">
        <w:rPr>
          <w:rFonts w:ascii="Times New Roman" w:hAnsi="Times New Roman"/>
        </w:rPr>
        <w:t xml:space="preserve">The National Committee to Abolish the Poll Tax </w:t>
      </w:r>
      <w:r w:rsidR="00CB0758" w:rsidRPr="00B925AC">
        <w:rPr>
          <w:rFonts w:ascii="Times New Roman" w:hAnsi="Times New Roman"/>
        </w:rPr>
        <w:t xml:space="preserve">(NCAPT) was established in 1941 </w:t>
      </w:r>
      <w:r w:rsidR="009035E1" w:rsidRPr="00B925AC">
        <w:rPr>
          <w:rFonts w:ascii="Times New Roman" w:hAnsi="Times New Roman"/>
        </w:rPr>
        <w:t>and made up of a variety of Black, union, and faith-based organizations.</w:t>
      </w:r>
      <w:bookmarkStart w:id="12" w:name="_Ref185855043"/>
      <w:r w:rsidR="00220E7D" w:rsidRPr="00B925AC">
        <w:rPr>
          <w:rStyle w:val="FootnoteReference"/>
          <w:rFonts w:ascii="Times New Roman" w:hAnsi="Times New Roman"/>
        </w:rPr>
        <w:footnoteReference w:id="50"/>
      </w:r>
      <w:bookmarkEnd w:id="12"/>
      <w:r w:rsidR="00C46C03" w:rsidRPr="00B925AC">
        <w:rPr>
          <w:rFonts w:ascii="Times New Roman" w:hAnsi="Times New Roman"/>
        </w:rPr>
        <w:t xml:space="preserve"> </w:t>
      </w:r>
      <w:r w:rsidR="00787107" w:rsidRPr="00B925AC">
        <w:rPr>
          <w:rFonts w:ascii="Times New Roman" w:hAnsi="Times New Roman"/>
        </w:rPr>
        <w:t>Two years later the National Coalition for a Permanent Federal Employment Practices Commission (NCPFEPC)</w:t>
      </w:r>
      <w:r w:rsidR="00F36C5C" w:rsidRPr="00B925AC">
        <w:rPr>
          <w:rFonts w:ascii="Times New Roman" w:hAnsi="Times New Roman"/>
        </w:rPr>
        <w:t xml:space="preserve"> was established</w:t>
      </w:r>
      <w:r w:rsidR="003911FB" w:rsidRPr="00B925AC">
        <w:rPr>
          <w:rFonts w:ascii="Times New Roman" w:hAnsi="Times New Roman"/>
        </w:rPr>
        <w:t xml:space="preserve"> by a similar set of organizations.</w:t>
      </w:r>
      <w:r w:rsidR="003911FB" w:rsidRPr="00B925AC">
        <w:rPr>
          <w:rStyle w:val="FootnoteReference"/>
          <w:rFonts w:ascii="Times New Roman" w:hAnsi="Times New Roman"/>
        </w:rPr>
        <w:footnoteReference w:id="51"/>
      </w:r>
      <w:r w:rsidR="007628DA" w:rsidRPr="00B925AC">
        <w:rPr>
          <w:rFonts w:ascii="Times New Roman" w:hAnsi="Times New Roman"/>
        </w:rPr>
        <w:t xml:space="preserve"> </w:t>
      </w:r>
      <w:r w:rsidR="00386CC5" w:rsidRPr="00B925AC">
        <w:rPr>
          <w:rFonts w:ascii="Times New Roman" w:hAnsi="Times New Roman"/>
        </w:rPr>
        <w:t>Three years after that</w:t>
      </w:r>
      <w:r w:rsidR="003A6FE7" w:rsidRPr="00B925AC">
        <w:rPr>
          <w:rFonts w:ascii="Times New Roman" w:hAnsi="Times New Roman"/>
        </w:rPr>
        <w:t>,</w:t>
      </w:r>
      <w:r w:rsidR="00386CC5" w:rsidRPr="00B925AC">
        <w:rPr>
          <w:rFonts w:ascii="Times New Roman" w:hAnsi="Times New Roman"/>
        </w:rPr>
        <w:t xml:space="preserve"> </w:t>
      </w:r>
      <w:r w:rsidR="007D54F8" w:rsidRPr="00B925AC">
        <w:rPr>
          <w:rFonts w:ascii="Times New Roman" w:hAnsi="Times New Roman"/>
        </w:rPr>
        <w:t xml:space="preserve">the National Emergency Committee Against Mob Violence </w:t>
      </w:r>
      <w:r w:rsidR="00503F31" w:rsidRPr="00B925AC">
        <w:rPr>
          <w:rFonts w:ascii="Times New Roman" w:hAnsi="Times New Roman"/>
        </w:rPr>
        <w:t>(NECAMV) came together to focus on lynching.</w:t>
      </w:r>
      <w:r w:rsidR="003A6FE7" w:rsidRPr="00B925AC">
        <w:rPr>
          <w:rStyle w:val="FootnoteReference"/>
          <w:rFonts w:ascii="Times New Roman" w:hAnsi="Times New Roman"/>
        </w:rPr>
        <w:footnoteReference w:id="52"/>
      </w:r>
      <w:r w:rsidR="00503F31" w:rsidRPr="00B925AC">
        <w:rPr>
          <w:rFonts w:ascii="Times New Roman" w:hAnsi="Times New Roman"/>
        </w:rPr>
        <w:t xml:space="preserve"> </w:t>
      </w:r>
      <w:r w:rsidR="0095361F" w:rsidRPr="00B925AC">
        <w:rPr>
          <w:rFonts w:ascii="Times New Roman" w:hAnsi="Times New Roman"/>
        </w:rPr>
        <w:t xml:space="preserve">Coalitions </w:t>
      </w:r>
      <w:r w:rsidR="007628DA" w:rsidRPr="00B925AC">
        <w:rPr>
          <w:rFonts w:ascii="Times New Roman" w:hAnsi="Times New Roman"/>
        </w:rPr>
        <w:t xml:space="preserve">like these </w:t>
      </w:r>
      <w:r w:rsidR="004E79C9" w:rsidRPr="00B925AC">
        <w:rPr>
          <w:rFonts w:ascii="Times New Roman" w:hAnsi="Times New Roman"/>
        </w:rPr>
        <w:t xml:space="preserve">reduced the costs of bringing together a diverse set of organizations for collective action. </w:t>
      </w:r>
      <w:r w:rsidR="00386CFB" w:rsidRPr="00B925AC">
        <w:rPr>
          <w:rFonts w:ascii="Times New Roman" w:hAnsi="Times New Roman"/>
        </w:rPr>
        <w:t xml:space="preserve">Having already agreed, at least to some degree, on goals and methods, and having built relationships in previous fights, the members of these ad hoc </w:t>
      </w:r>
      <w:r w:rsidR="00606B52" w:rsidRPr="00B925AC">
        <w:rPr>
          <w:rFonts w:ascii="Times New Roman" w:hAnsi="Times New Roman"/>
        </w:rPr>
        <w:t>task forces found it easier to collaborate wherever they saw an opportunity to advance their common goals.</w:t>
      </w:r>
      <w:r w:rsidR="00B933DD" w:rsidRPr="00B925AC">
        <w:rPr>
          <w:rFonts w:ascii="Times New Roman" w:hAnsi="Times New Roman"/>
        </w:rPr>
        <w:t xml:space="preserve"> However, these organizations tended to last only </w:t>
      </w:r>
      <w:r w:rsidR="002024AA" w:rsidRPr="00B925AC">
        <w:rPr>
          <w:rFonts w:ascii="Times New Roman" w:hAnsi="Times New Roman"/>
        </w:rPr>
        <w:t>for a limited time.</w:t>
      </w:r>
      <w:r w:rsidR="0086078D" w:rsidRPr="00B925AC">
        <w:rPr>
          <w:rStyle w:val="FootnoteReference"/>
          <w:rFonts w:ascii="Times New Roman" w:hAnsi="Times New Roman"/>
        </w:rPr>
        <w:footnoteReference w:id="53"/>
      </w:r>
    </w:p>
    <w:p w14:paraId="29D0DE39" w14:textId="1AD1E1A6" w:rsidR="00B933DD" w:rsidRPr="00B925AC" w:rsidRDefault="005658D5" w:rsidP="00B933DD">
      <w:pPr>
        <w:rPr>
          <w:rFonts w:ascii="Times New Roman" w:hAnsi="Times New Roman"/>
        </w:rPr>
      </w:pPr>
      <w:r w:rsidRPr="00B925AC">
        <w:rPr>
          <w:rFonts w:ascii="Times New Roman" w:hAnsi="Times New Roman"/>
        </w:rPr>
        <w:t>As member</w:t>
      </w:r>
      <w:r w:rsidR="00542959" w:rsidRPr="00B925AC">
        <w:rPr>
          <w:rFonts w:ascii="Times New Roman" w:hAnsi="Times New Roman"/>
        </w:rPr>
        <w:t xml:space="preserve"> organizations</w:t>
      </w:r>
      <w:r w:rsidRPr="00B925AC">
        <w:rPr>
          <w:rFonts w:ascii="Times New Roman" w:hAnsi="Times New Roman"/>
        </w:rPr>
        <w:t xml:space="preserve"> developed a track record of collaboration, they </w:t>
      </w:r>
      <w:r w:rsidR="00A83C7A" w:rsidRPr="00B925AC">
        <w:rPr>
          <w:rFonts w:ascii="Times New Roman" w:hAnsi="Times New Roman"/>
        </w:rPr>
        <w:t xml:space="preserve">sought to unite around a more general goal, obviating the need to assemble </w:t>
      </w:r>
      <w:r w:rsidR="009715D5" w:rsidRPr="00B925AC">
        <w:rPr>
          <w:rFonts w:ascii="Times New Roman" w:hAnsi="Times New Roman"/>
        </w:rPr>
        <w:t xml:space="preserve">a new coalition for every new policy fight. In January of 1950, veterans of many of these ad hoc coalitions met </w:t>
      </w:r>
      <w:r w:rsidR="004B0566" w:rsidRPr="00B925AC">
        <w:rPr>
          <w:rFonts w:ascii="Times New Roman" w:hAnsi="Times New Roman"/>
        </w:rPr>
        <w:t>for a planning conference.</w:t>
      </w:r>
      <w:r w:rsidR="006D5575" w:rsidRPr="00B925AC">
        <w:rPr>
          <w:rStyle w:val="FootnoteReference"/>
          <w:rFonts w:ascii="Times New Roman" w:hAnsi="Times New Roman"/>
        </w:rPr>
        <w:footnoteReference w:id="54"/>
      </w:r>
      <w:r w:rsidR="00E74E6C" w:rsidRPr="00B925AC">
        <w:rPr>
          <w:rFonts w:ascii="Times New Roman" w:hAnsi="Times New Roman"/>
        </w:rPr>
        <w:t xml:space="preserve"> While the history is not perfectly clear, this conference has been heralded as the </w:t>
      </w:r>
      <w:r w:rsidR="00C91CB2" w:rsidRPr="00B925AC">
        <w:rPr>
          <w:rFonts w:ascii="Times New Roman" w:hAnsi="Times New Roman"/>
        </w:rPr>
        <w:t>origin of the Leadership Conference or Civil Rights</w:t>
      </w:r>
      <w:r w:rsidR="008378F2" w:rsidRPr="00B925AC">
        <w:rPr>
          <w:rFonts w:ascii="Times New Roman" w:hAnsi="Times New Roman"/>
        </w:rPr>
        <w:t xml:space="preserve"> (LCCR)</w:t>
      </w:r>
      <w:r w:rsidR="00C91CB2" w:rsidRPr="00B925AC">
        <w:rPr>
          <w:rFonts w:ascii="Times New Roman" w:hAnsi="Times New Roman"/>
        </w:rPr>
        <w:t>,</w:t>
      </w:r>
      <w:r w:rsidR="008378F2" w:rsidRPr="00B925AC">
        <w:rPr>
          <w:rStyle w:val="FootnoteReference"/>
          <w:rFonts w:ascii="Times New Roman" w:hAnsi="Times New Roman"/>
        </w:rPr>
        <w:footnoteReference w:id="55"/>
      </w:r>
      <w:r w:rsidR="00C91CB2" w:rsidRPr="00B925AC">
        <w:rPr>
          <w:rFonts w:ascii="Times New Roman" w:hAnsi="Times New Roman"/>
        </w:rPr>
        <w:t xml:space="preserve"> today a massive and powerful civil rights organization </w:t>
      </w:r>
      <w:r w:rsidR="00C91CB2" w:rsidRPr="00B925AC">
        <w:rPr>
          <w:rFonts w:ascii="Times New Roman" w:hAnsi="Times New Roman"/>
        </w:rPr>
        <w:lastRenderedPageBreak/>
        <w:t>in its own right.</w:t>
      </w:r>
      <w:r w:rsidR="00CA65B6" w:rsidRPr="00B925AC">
        <w:rPr>
          <w:rStyle w:val="FootnoteReference"/>
          <w:rFonts w:ascii="Times New Roman" w:hAnsi="Times New Roman"/>
        </w:rPr>
        <w:footnoteReference w:id="56"/>
      </w:r>
      <w:r w:rsidR="00B933DD" w:rsidRPr="00B925AC">
        <w:rPr>
          <w:rFonts w:ascii="Times New Roman" w:hAnsi="Times New Roman"/>
        </w:rPr>
        <w:t xml:space="preserve"> Having hashed out a more general zone of agreement than its various single-issue predecessors</w:t>
      </w:r>
      <w:r w:rsidR="008378F2" w:rsidRPr="00B925AC">
        <w:rPr>
          <w:rFonts w:ascii="Times New Roman" w:hAnsi="Times New Roman"/>
        </w:rPr>
        <w:t xml:space="preserve">, LCCR </w:t>
      </w:r>
      <w:r w:rsidR="00C80060" w:rsidRPr="00B925AC">
        <w:rPr>
          <w:rFonts w:ascii="Times New Roman" w:hAnsi="Times New Roman"/>
        </w:rPr>
        <w:t xml:space="preserve">could adjust to focus its energies </w:t>
      </w:r>
      <w:r w:rsidR="001E6C3D" w:rsidRPr="00B925AC">
        <w:rPr>
          <w:rFonts w:ascii="Times New Roman" w:hAnsi="Times New Roman"/>
        </w:rPr>
        <w:t>wherever its members saw a window of opportunity.</w:t>
      </w:r>
      <w:r w:rsidR="006D3221" w:rsidRPr="00B925AC">
        <w:rPr>
          <w:rFonts w:ascii="Times New Roman" w:hAnsi="Times New Roman"/>
        </w:rPr>
        <w:t xml:space="preserve"> In turn, LCCR helped to build and sustain a broader network of organizations </w:t>
      </w:r>
      <w:r w:rsidR="00DF5B7C" w:rsidRPr="00B925AC">
        <w:rPr>
          <w:rFonts w:ascii="Times New Roman" w:hAnsi="Times New Roman"/>
        </w:rPr>
        <w:t>whose aims reached beyond policies traditionally associated with civil rights</w:t>
      </w:r>
      <w:r w:rsidR="00D460A7" w:rsidRPr="00B925AC">
        <w:rPr>
          <w:rFonts w:ascii="Times New Roman" w:hAnsi="Times New Roman"/>
        </w:rPr>
        <w:t>, a coalition known by its supporters simply as the “liberal lobby</w:t>
      </w:r>
      <w:r w:rsidR="00DF5B7C" w:rsidRPr="00B925AC">
        <w:rPr>
          <w:rFonts w:ascii="Times New Roman" w:hAnsi="Times New Roman"/>
        </w:rPr>
        <w:t>.</w:t>
      </w:r>
      <w:r w:rsidR="00D460A7" w:rsidRPr="00B925AC">
        <w:rPr>
          <w:rFonts w:ascii="Times New Roman" w:hAnsi="Times New Roman"/>
        </w:rPr>
        <w:t>”</w:t>
      </w:r>
      <w:r w:rsidR="00D460A7" w:rsidRPr="00B925AC">
        <w:rPr>
          <w:rStyle w:val="FootnoteReference"/>
          <w:rFonts w:ascii="Times New Roman" w:hAnsi="Times New Roman"/>
        </w:rPr>
        <w:footnoteReference w:id="57"/>
      </w:r>
    </w:p>
    <w:p w14:paraId="2131B50B" w14:textId="29DF248E" w:rsidR="00351EAF" w:rsidRPr="00B925AC" w:rsidRDefault="00351EAF" w:rsidP="00B933DD">
      <w:pPr>
        <w:rPr>
          <w:rFonts w:ascii="Times New Roman" w:hAnsi="Times New Roman"/>
        </w:rPr>
      </w:pPr>
      <w:r w:rsidRPr="00B925AC">
        <w:rPr>
          <w:rFonts w:ascii="Times New Roman" w:hAnsi="Times New Roman"/>
        </w:rPr>
        <w:t xml:space="preserve">Coalitions may </w:t>
      </w:r>
      <w:r w:rsidR="007E780B" w:rsidRPr="00B925AC">
        <w:rPr>
          <w:rFonts w:ascii="Times New Roman" w:hAnsi="Times New Roman"/>
        </w:rPr>
        <w:t xml:space="preserve">represent </w:t>
      </w:r>
      <w:r w:rsidRPr="00B925AC">
        <w:rPr>
          <w:rFonts w:ascii="Times New Roman" w:hAnsi="Times New Roman"/>
        </w:rPr>
        <w:t xml:space="preserve">only one side (and possibly the losing side) of a </w:t>
      </w:r>
      <w:r w:rsidR="00211125" w:rsidRPr="00B925AC">
        <w:rPr>
          <w:rFonts w:ascii="Times New Roman" w:hAnsi="Times New Roman"/>
        </w:rPr>
        <w:t xml:space="preserve">hotly contested </w:t>
      </w:r>
      <w:r w:rsidRPr="00B925AC">
        <w:rPr>
          <w:rFonts w:ascii="Times New Roman" w:hAnsi="Times New Roman"/>
        </w:rPr>
        <w:t>fight</w:t>
      </w:r>
      <w:r w:rsidR="009E6592" w:rsidRPr="00B925AC">
        <w:rPr>
          <w:rFonts w:ascii="Times New Roman" w:hAnsi="Times New Roman"/>
        </w:rPr>
        <w:t>, as the LCCR did at its inception</w:t>
      </w:r>
      <w:r w:rsidRPr="00B925AC">
        <w:rPr>
          <w:rFonts w:ascii="Times New Roman" w:hAnsi="Times New Roman"/>
        </w:rPr>
        <w:t>. But they may</w:t>
      </w:r>
      <w:r w:rsidR="00AE2C54" w:rsidRPr="00B925AC">
        <w:rPr>
          <w:rFonts w:ascii="Times New Roman" w:hAnsi="Times New Roman"/>
        </w:rPr>
        <w:t xml:space="preserve"> also</w:t>
      </w:r>
      <w:r w:rsidRPr="00B925AC">
        <w:rPr>
          <w:rFonts w:ascii="Times New Roman" w:hAnsi="Times New Roman"/>
        </w:rPr>
        <w:t xml:space="preserve"> be large, even universal. When lawmakers and civil society organizations came together to pass the Religious Freedom Restoration Act (RFRA), they articulated the constitutional principle that burdens on free expression should be subject to</w:t>
      </w:r>
      <w:r w:rsidR="000257E1" w:rsidRPr="00B925AC">
        <w:rPr>
          <w:rFonts w:ascii="Times New Roman" w:hAnsi="Times New Roman"/>
        </w:rPr>
        <w:t xml:space="preserve"> </w:t>
      </w:r>
      <w:r w:rsidRPr="00B925AC">
        <w:rPr>
          <w:rFonts w:ascii="Times New Roman" w:hAnsi="Times New Roman"/>
        </w:rPr>
        <w:t>strict judicial scrutiny.</w:t>
      </w:r>
      <w:r w:rsidR="009F0049" w:rsidRPr="00B925AC">
        <w:rPr>
          <w:rStyle w:val="FootnoteReference"/>
          <w:rFonts w:ascii="Times New Roman" w:hAnsi="Times New Roman"/>
        </w:rPr>
        <w:footnoteReference w:id="58"/>
      </w:r>
      <w:r w:rsidRPr="00B925AC">
        <w:rPr>
          <w:rFonts w:ascii="Times New Roman" w:hAnsi="Times New Roman"/>
        </w:rPr>
        <w:t xml:space="preserve"> In doing so, they sought to build, and largely succeeded in building, a coalition that included leaders of both parties and MCs across the political spectrum.</w:t>
      </w:r>
      <w:r w:rsidR="00342C47" w:rsidRPr="00B925AC">
        <w:rPr>
          <w:rStyle w:val="FootnoteReference"/>
          <w:rFonts w:ascii="Times New Roman" w:hAnsi="Times New Roman"/>
        </w:rPr>
        <w:footnoteReference w:id="59"/>
      </w:r>
      <w:r w:rsidRPr="00B925AC">
        <w:rPr>
          <w:rFonts w:ascii="Times New Roman" w:hAnsi="Times New Roman"/>
        </w:rPr>
        <w:t xml:space="preserve"> A similarly broad coalition came together to pass the Americans with Disabilities Act of 1990,</w:t>
      </w:r>
      <w:r w:rsidR="0033380F" w:rsidRPr="00B925AC">
        <w:rPr>
          <w:rStyle w:val="FootnoteReference"/>
          <w:rFonts w:ascii="Times New Roman" w:hAnsi="Times New Roman"/>
        </w:rPr>
        <w:footnoteReference w:id="60"/>
      </w:r>
      <w:r w:rsidRPr="00B925AC">
        <w:rPr>
          <w:rFonts w:ascii="Times New Roman" w:hAnsi="Times New Roman"/>
        </w:rPr>
        <w:t xml:space="preserve"> at least implicitly endorsing the view that the Fourteenth Amendment protects the disabled.</w:t>
      </w:r>
      <w:r w:rsidR="006434F8" w:rsidRPr="00B925AC">
        <w:rPr>
          <w:rStyle w:val="FootnoteReference"/>
          <w:rFonts w:ascii="Times New Roman" w:hAnsi="Times New Roman"/>
        </w:rPr>
        <w:footnoteReference w:id="61"/>
      </w:r>
    </w:p>
    <w:p w14:paraId="76D4AC0C" w14:textId="292652AF" w:rsidR="00351EAF" w:rsidRPr="00B925AC" w:rsidRDefault="00351EAF" w:rsidP="00274575">
      <w:pPr>
        <w:rPr>
          <w:rFonts w:ascii="Times New Roman" w:hAnsi="Times New Roman"/>
        </w:rPr>
      </w:pPr>
      <w:r w:rsidRPr="00B925AC">
        <w:rPr>
          <w:rFonts w:ascii="Times New Roman" w:hAnsi="Times New Roman"/>
          <w:i/>
          <w:iCs/>
        </w:rPr>
        <w:t>Ideas</w:t>
      </w:r>
      <w:r w:rsidR="00274575" w:rsidRPr="00B925AC">
        <w:rPr>
          <w:rFonts w:ascii="Times New Roman" w:hAnsi="Times New Roman"/>
        </w:rPr>
        <w:t>.—</w:t>
      </w:r>
      <w:r w:rsidRPr="00B925AC">
        <w:rPr>
          <w:rFonts w:ascii="Times New Roman" w:hAnsi="Times New Roman"/>
        </w:rPr>
        <w:t>In addition to coalitions, coalitional constitutionalism produces ideas, identities, and institutions. A coalition’s ideas are the political doctrine that one can glean from reading the various political opinions of coalition members. These ideas are a synthesis in two senses. First, at any given moment in time, the political doctrine of coalition members is the common set of principles the members can generally agree to. That common denominator may be only a small subset of the full set of beliefs held by at least one of the coalition members.</w:t>
      </w:r>
      <w:r w:rsidR="003D439A" w:rsidRPr="00B925AC">
        <w:rPr>
          <w:rStyle w:val="FootnoteReference"/>
          <w:rFonts w:ascii="Times New Roman" w:hAnsi="Times New Roman"/>
        </w:rPr>
        <w:footnoteReference w:id="62"/>
      </w:r>
    </w:p>
    <w:p w14:paraId="4654C6EE" w14:textId="6EE009AF" w:rsidR="00351EAF" w:rsidRPr="00B925AC" w:rsidRDefault="00351EAF" w:rsidP="00FE1CC3">
      <w:pPr>
        <w:rPr>
          <w:rFonts w:ascii="Times New Roman" w:hAnsi="Times New Roman"/>
        </w:rPr>
      </w:pPr>
      <w:r w:rsidRPr="00B925AC">
        <w:rPr>
          <w:rFonts w:ascii="Times New Roman" w:hAnsi="Times New Roman"/>
        </w:rPr>
        <w:t xml:space="preserve">In the early 20th Century, for example, free speech advocates often had more areas of disagreement than agreement. The leadership of the American Civil </w:t>
      </w:r>
      <w:r w:rsidRPr="00B925AC">
        <w:rPr>
          <w:rFonts w:ascii="Times New Roman" w:hAnsi="Times New Roman"/>
        </w:rPr>
        <w:lastRenderedPageBreak/>
        <w:t>Liberties Union openly sympathized with the radical elements of organized labor,</w:t>
      </w:r>
      <w:bookmarkStart w:id="13" w:name="_Ref186373651"/>
      <w:r w:rsidR="00D972D5" w:rsidRPr="00B925AC">
        <w:rPr>
          <w:rStyle w:val="FootnoteReference"/>
          <w:rFonts w:ascii="Times New Roman" w:hAnsi="Times New Roman"/>
        </w:rPr>
        <w:footnoteReference w:id="63"/>
      </w:r>
      <w:bookmarkEnd w:id="13"/>
      <w:r w:rsidRPr="00B925AC">
        <w:rPr>
          <w:rFonts w:ascii="Times New Roman" w:hAnsi="Times New Roman"/>
        </w:rPr>
        <w:t xml:space="preserve"> and groups like the Free Speech League partnered with divisive figures like anarchist Emma Goldman.</w:t>
      </w:r>
      <w:r w:rsidR="00A23953" w:rsidRPr="00B925AC">
        <w:rPr>
          <w:rStyle w:val="FootnoteReference"/>
          <w:rFonts w:ascii="Times New Roman" w:hAnsi="Times New Roman"/>
        </w:rPr>
        <w:footnoteReference w:id="64"/>
      </w:r>
      <w:r w:rsidRPr="00B925AC">
        <w:rPr>
          <w:rFonts w:ascii="Times New Roman" w:hAnsi="Times New Roman"/>
        </w:rPr>
        <w:t xml:space="preserve"> Yet in his 1921 magnum opus, </w:t>
      </w:r>
      <w:r w:rsidRPr="00B925AC">
        <w:rPr>
          <w:rFonts w:ascii="Times New Roman" w:hAnsi="Times New Roman"/>
          <w:i/>
          <w:iCs/>
        </w:rPr>
        <w:t>Freedom of Speech</w:t>
      </w:r>
      <w:r w:rsidRPr="00B925AC">
        <w:rPr>
          <w:rFonts w:ascii="Times New Roman" w:hAnsi="Times New Roman"/>
        </w:rPr>
        <w:t>, Zechariah Chafee, frequent ACLU collaborator</w:t>
      </w:r>
      <w:r w:rsidR="00577164" w:rsidRPr="00B925AC">
        <w:rPr>
          <w:rStyle w:val="FootnoteReference"/>
          <w:rFonts w:ascii="Times New Roman" w:hAnsi="Times New Roman"/>
        </w:rPr>
        <w:footnoteReference w:id="65"/>
      </w:r>
      <w:r w:rsidRPr="00B925AC">
        <w:rPr>
          <w:rFonts w:ascii="Times New Roman" w:hAnsi="Times New Roman"/>
        </w:rPr>
        <w:t xml:space="preserve"> and a hero to many in the movement, used “picketing and boycotting in private business</w:t>
      </w:r>
      <w:r w:rsidR="00E25F5D" w:rsidRPr="00B925AC">
        <w:rPr>
          <w:rFonts w:ascii="Times New Roman" w:hAnsi="Times New Roman"/>
        </w:rPr>
        <w:t>”</w:t>
      </w:r>
      <w:r w:rsidRPr="00B925AC">
        <w:rPr>
          <w:rFonts w:ascii="Times New Roman" w:hAnsi="Times New Roman"/>
        </w:rPr>
        <w:t>—key tools of the labor movement—as examples of the type of speech that could be criminally punished.</w:t>
      </w:r>
      <w:r w:rsidR="00EC3797" w:rsidRPr="00B925AC">
        <w:rPr>
          <w:rStyle w:val="FootnoteReference"/>
          <w:rFonts w:ascii="Times New Roman" w:hAnsi="Times New Roman"/>
        </w:rPr>
        <w:footnoteReference w:id="66"/>
      </w:r>
      <w:r w:rsidRPr="00B925AC">
        <w:rPr>
          <w:rFonts w:ascii="Times New Roman" w:hAnsi="Times New Roman"/>
        </w:rPr>
        <w:t xml:space="preserve"> He also announced that his “sympathies and interests [were] on the side of the employer.</w:t>
      </w:r>
      <w:r w:rsidR="00E25F5D" w:rsidRPr="00B925AC">
        <w:rPr>
          <w:rFonts w:ascii="Times New Roman" w:hAnsi="Times New Roman"/>
        </w:rPr>
        <w:t>”</w:t>
      </w:r>
      <w:r w:rsidR="00D3754F" w:rsidRPr="00B925AC">
        <w:rPr>
          <w:rStyle w:val="FootnoteReference"/>
          <w:rFonts w:ascii="Times New Roman" w:hAnsi="Times New Roman"/>
        </w:rPr>
        <w:footnoteReference w:id="67"/>
      </w:r>
      <w:r w:rsidRPr="00B925AC">
        <w:rPr>
          <w:rFonts w:ascii="Times New Roman" w:hAnsi="Times New Roman"/>
        </w:rPr>
        <w:t xml:space="preserve"> In a 1941 update to the book, he used Goldman as an example of the kind of “undoubtedly turbulent persons</w:t>
      </w:r>
      <w:r w:rsidR="001035D0" w:rsidRPr="00B925AC">
        <w:rPr>
          <w:rFonts w:ascii="Times New Roman" w:hAnsi="Times New Roman"/>
        </w:rPr>
        <w:t>”</w:t>
      </w:r>
      <w:r w:rsidRPr="00B925AC">
        <w:rPr>
          <w:rFonts w:ascii="Times New Roman" w:hAnsi="Times New Roman"/>
        </w:rPr>
        <w:t xml:space="preserve"> understandably deported</w:t>
      </w:r>
      <w:r w:rsidR="00FE1CC3" w:rsidRPr="00B925AC">
        <w:rPr>
          <w:rFonts w:ascii="Times New Roman" w:hAnsi="Times New Roman"/>
        </w:rPr>
        <w:t xml:space="preserve"> </w:t>
      </w:r>
      <w:r w:rsidRPr="00B925AC">
        <w:rPr>
          <w:rFonts w:ascii="Times New Roman" w:hAnsi="Times New Roman"/>
        </w:rPr>
        <w:t>under Wilson-era legislation.</w:t>
      </w:r>
      <w:r w:rsidR="00944DC6" w:rsidRPr="00B925AC">
        <w:rPr>
          <w:rStyle w:val="FootnoteReference"/>
          <w:rFonts w:ascii="Times New Roman" w:hAnsi="Times New Roman"/>
        </w:rPr>
        <w:footnoteReference w:id="68"/>
      </w:r>
      <w:r w:rsidRPr="00B925AC">
        <w:rPr>
          <w:rFonts w:ascii="Times New Roman" w:hAnsi="Times New Roman"/>
        </w:rPr>
        <w:t xml:space="preserve"> Even as the free speech coalition contained members with strong feelings about which views should prevail in the marketplace of ideas, the coalition could come together on a common ground, a doctrine that emphasized neutral rules protecting all speakers, rules that had nothing to say about the economic battles that formed the background for so much of the coalition’s work.</w:t>
      </w:r>
      <w:r w:rsidR="00E04B6F" w:rsidRPr="00B925AC">
        <w:rPr>
          <w:rStyle w:val="FootnoteReference"/>
          <w:rFonts w:ascii="Times New Roman" w:hAnsi="Times New Roman"/>
        </w:rPr>
        <w:footnoteReference w:id="69"/>
      </w:r>
    </w:p>
    <w:p w14:paraId="0C0256A0" w14:textId="19D0DA6F" w:rsidR="00F441F7" w:rsidRPr="00B925AC" w:rsidRDefault="00080F9E" w:rsidP="00FE1CC3">
      <w:pPr>
        <w:rPr>
          <w:rFonts w:ascii="Times New Roman" w:hAnsi="Times New Roman"/>
        </w:rPr>
      </w:pPr>
      <w:r w:rsidRPr="00B925AC">
        <w:rPr>
          <w:rFonts w:ascii="Times New Roman" w:hAnsi="Times New Roman"/>
        </w:rPr>
        <w:t xml:space="preserve">There are two crucial rules that govern a coalition’s relationship with </w:t>
      </w:r>
      <w:r w:rsidR="00B7578C" w:rsidRPr="00B925AC">
        <w:rPr>
          <w:rFonts w:ascii="Times New Roman" w:hAnsi="Times New Roman"/>
        </w:rPr>
        <w:t xml:space="preserve">its animating ideas. First, </w:t>
      </w:r>
      <w:r w:rsidR="0000206A" w:rsidRPr="00B925AC">
        <w:rPr>
          <w:rFonts w:ascii="Times New Roman" w:hAnsi="Times New Roman"/>
        </w:rPr>
        <w:t xml:space="preserve">as Hans Noel has put it, “where you stand depends on who you sit with.” </w:t>
      </w:r>
      <w:r w:rsidR="00FD2A06" w:rsidRPr="00B925AC">
        <w:rPr>
          <w:rFonts w:ascii="Times New Roman" w:hAnsi="Times New Roman"/>
        </w:rPr>
        <w:t xml:space="preserve">In other words, a coalition’s animating ideas will depend on the coalition’s members. </w:t>
      </w:r>
      <w:r w:rsidR="00CF56B4" w:rsidRPr="00B925AC">
        <w:rPr>
          <w:rFonts w:ascii="Times New Roman" w:hAnsi="Times New Roman"/>
        </w:rPr>
        <w:t>At</w:t>
      </w:r>
      <w:r w:rsidR="00286E2F" w:rsidRPr="00B925AC">
        <w:rPr>
          <w:rFonts w:ascii="Times New Roman" w:hAnsi="Times New Roman"/>
        </w:rPr>
        <w:t xml:space="preserve"> the organization’s inception, LCCR members hoped to </w:t>
      </w:r>
      <w:r w:rsidR="00B67A87" w:rsidRPr="00B925AC">
        <w:rPr>
          <w:rFonts w:ascii="Times New Roman" w:hAnsi="Times New Roman"/>
        </w:rPr>
        <w:t>include an attack on the 1952 McCarran-Walter Immigration Act</w:t>
      </w:r>
      <w:r w:rsidR="00BB3C57" w:rsidRPr="00B925AC">
        <w:rPr>
          <w:rFonts w:ascii="Times New Roman" w:hAnsi="Times New Roman"/>
        </w:rPr>
        <w:t>, with its race-based quotas</w:t>
      </w:r>
      <w:r w:rsidR="0016713D" w:rsidRPr="00B925AC">
        <w:rPr>
          <w:rFonts w:ascii="Times New Roman" w:hAnsi="Times New Roman"/>
        </w:rPr>
        <w:t>, on its advocacy agenda.</w:t>
      </w:r>
      <w:r w:rsidR="008D4E93" w:rsidRPr="00B925AC">
        <w:rPr>
          <w:rFonts w:ascii="Times New Roman" w:hAnsi="Times New Roman"/>
        </w:rPr>
        <w:t xml:space="preserve"> The Japanese American Citizens League, a member organization, objected. Compared to </w:t>
      </w:r>
      <w:r w:rsidR="004E2E03" w:rsidRPr="00B925AC">
        <w:rPr>
          <w:rFonts w:ascii="Times New Roman" w:hAnsi="Times New Roman"/>
        </w:rPr>
        <w:t>current policy banning Asian-</w:t>
      </w:r>
      <w:r w:rsidR="004E2E03" w:rsidRPr="00B925AC">
        <w:rPr>
          <w:rFonts w:ascii="Times New Roman" w:hAnsi="Times New Roman"/>
        </w:rPr>
        <w:lastRenderedPageBreak/>
        <w:t xml:space="preserve">American immigration, the Act was a step in the right direction. LCCR </w:t>
      </w:r>
      <w:r w:rsidR="007659B9" w:rsidRPr="00B925AC">
        <w:rPr>
          <w:rFonts w:ascii="Times New Roman" w:hAnsi="Times New Roman"/>
        </w:rPr>
        <w:t>eliminated immigration policy from its agenda.</w:t>
      </w:r>
      <w:r w:rsidR="007659B9" w:rsidRPr="00B925AC">
        <w:rPr>
          <w:rStyle w:val="FootnoteReference"/>
          <w:rFonts w:ascii="Times New Roman" w:hAnsi="Times New Roman"/>
        </w:rPr>
        <w:footnoteReference w:id="70"/>
      </w:r>
      <w:r w:rsidR="008C1A3B" w:rsidRPr="00B925AC">
        <w:rPr>
          <w:rFonts w:ascii="Times New Roman" w:hAnsi="Times New Roman"/>
        </w:rPr>
        <w:t xml:space="preserve"> </w:t>
      </w:r>
      <w:r w:rsidR="002D258C" w:rsidRPr="00B925AC">
        <w:rPr>
          <w:rFonts w:ascii="Times New Roman" w:hAnsi="Times New Roman"/>
        </w:rPr>
        <w:t xml:space="preserve">It later </w:t>
      </w:r>
      <w:r w:rsidR="003171C9" w:rsidRPr="00B925AC">
        <w:rPr>
          <w:rFonts w:ascii="Times New Roman" w:hAnsi="Times New Roman"/>
        </w:rPr>
        <w:t>eliminated D.C. home rule from one policy proposal because members questioned whether it was truly a civil rights issue.</w:t>
      </w:r>
      <w:r w:rsidR="00F0328A" w:rsidRPr="00B925AC">
        <w:rPr>
          <w:rStyle w:val="FootnoteReference"/>
          <w:rFonts w:ascii="Times New Roman" w:hAnsi="Times New Roman"/>
        </w:rPr>
        <w:footnoteReference w:id="71"/>
      </w:r>
      <w:r w:rsidR="003171C9" w:rsidRPr="00B925AC">
        <w:rPr>
          <w:rFonts w:ascii="Times New Roman" w:hAnsi="Times New Roman"/>
        </w:rPr>
        <w:t xml:space="preserve"> </w:t>
      </w:r>
      <w:r w:rsidR="008C1A3B" w:rsidRPr="00B925AC">
        <w:rPr>
          <w:rFonts w:ascii="Times New Roman" w:hAnsi="Times New Roman"/>
        </w:rPr>
        <w:t xml:space="preserve">By contrast, </w:t>
      </w:r>
      <w:r w:rsidR="00A05D8C" w:rsidRPr="00B925AC">
        <w:rPr>
          <w:rFonts w:ascii="Times New Roman" w:hAnsi="Times New Roman"/>
        </w:rPr>
        <w:t xml:space="preserve">LCCR members </w:t>
      </w:r>
      <w:r w:rsidR="00E30396" w:rsidRPr="00B925AC">
        <w:rPr>
          <w:rFonts w:ascii="Times New Roman" w:hAnsi="Times New Roman"/>
        </w:rPr>
        <w:t xml:space="preserve">deemed a wide variety of other </w:t>
      </w:r>
      <w:r w:rsidR="008C1A3B" w:rsidRPr="00B925AC">
        <w:rPr>
          <w:rFonts w:ascii="Times New Roman" w:hAnsi="Times New Roman"/>
        </w:rPr>
        <w:t xml:space="preserve">issues </w:t>
      </w:r>
      <w:r w:rsidR="00E30396" w:rsidRPr="00B925AC">
        <w:rPr>
          <w:rFonts w:ascii="Times New Roman" w:hAnsi="Times New Roman"/>
        </w:rPr>
        <w:t>to be part of the civil rights agenda</w:t>
      </w:r>
      <w:r w:rsidR="008A5F87" w:rsidRPr="00B925AC">
        <w:rPr>
          <w:rFonts w:ascii="Times New Roman" w:hAnsi="Times New Roman"/>
        </w:rPr>
        <w:t xml:space="preserve">. </w:t>
      </w:r>
      <w:r w:rsidR="003932CA" w:rsidRPr="00B925AC">
        <w:rPr>
          <w:rFonts w:ascii="Times New Roman" w:hAnsi="Times New Roman"/>
        </w:rPr>
        <w:t xml:space="preserve">The group later lobbied </w:t>
      </w:r>
      <w:r w:rsidR="00DB5FC9" w:rsidRPr="00B925AC">
        <w:rPr>
          <w:rFonts w:ascii="Times New Roman" w:hAnsi="Times New Roman"/>
        </w:rPr>
        <w:t xml:space="preserve">on policies related to </w:t>
      </w:r>
      <w:r w:rsidR="00616639" w:rsidRPr="00B925AC">
        <w:rPr>
          <w:rFonts w:ascii="Times New Roman" w:hAnsi="Times New Roman"/>
        </w:rPr>
        <w:t>education funding,</w:t>
      </w:r>
      <w:r w:rsidR="00C773CC" w:rsidRPr="00B925AC">
        <w:rPr>
          <w:rStyle w:val="FootnoteReference"/>
          <w:rFonts w:ascii="Times New Roman" w:hAnsi="Times New Roman"/>
        </w:rPr>
        <w:footnoteReference w:id="72"/>
      </w:r>
      <w:r w:rsidR="00616639" w:rsidRPr="00B925AC">
        <w:rPr>
          <w:rFonts w:ascii="Times New Roman" w:hAnsi="Times New Roman"/>
        </w:rPr>
        <w:t xml:space="preserve"> </w:t>
      </w:r>
      <w:r w:rsidR="00F54DCC" w:rsidRPr="00B925AC">
        <w:rPr>
          <w:rFonts w:ascii="Times New Roman" w:hAnsi="Times New Roman"/>
        </w:rPr>
        <w:t>farm worker organizing,</w:t>
      </w:r>
      <w:r w:rsidR="00CB7F4A" w:rsidRPr="00B925AC">
        <w:rPr>
          <w:rStyle w:val="FootnoteReference"/>
          <w:rFonts w:ascii="Times New Roman" w:hAnsi="Times New Roman"/>
        </w:rPr>
        <w:footnoteReference w:id="73"/>
      </w:r>
      <w:r w:rsidR="00F54DCC" w:rsidRPr="00B925AC">
        <w:rPr>
          <w:rFonts w:ascii="Times New Roman" w:hAnsi="Times New Roman"/>
        </w:rPr>
        <w:t xml:space="preserve"> and criminal justice.</w:t>
      </w:r>
      <w:r w:rsidR="00A970DC" w:rsidRPr="00B925AC">
        <w:rPr>
          <w:rStyle w:val="FootnoteReference"/>
          <w:rFonts w:ascii="Times New Roman" w:hAnsi="Times New Roman"/>
        </w:rPr>
        <w:footnoteReference w:id="74"/>
      </w:r>
      <w:r w:rsidR="00C20EC2" w:rsidRPr="00B925AC">
        <w:rPr>
          <w:rFonts w:ascii="Times New Roman" w:hAnsi="Times New Roman"/>
        </w:rPr>
        <w:t xml:space="preserve"> As they hashed out their priorities, LCCR member organizations debated what constitutes a “civil rights issue,” developing the concept in light of </w:t>
      </w:r>
      <w:r w:rsidR="006D4343" w:rsidRPr="00B925AC">
        <w:rPr>
          <w:rFonts w:ascii="Times New Roman" w:hAnsi="Times New Roman"/>
        </w:rPr>
        <w:t>new circumstances and its members evolving views.</w:t>
      </w:r>
      <w:r w:rsidR="00552CA3" w:rsidRPr="00B925AC">
        <w:rPr>
          <w:rStyle w:val="FootnoteReference"/>
          <w:rFonts w:ascii="Times New Roman" w:hAnsi="Times New Roman"/>
        </w:rPr>
        <w:footnoteReference w:id="75"/>
      </w:r>
    </w:p>
    <w:p w14:paraId="01FC9469" w14:textId="6F6BA7EC" w:rsidR="00A5133A" w:rsidRPr="00B925AC" w:rsidRDefault="00A5133A" w:rsidP="00FE1CC3">
      <w:pPr>
        <w:rPr>
          <w:rFonts w:ascii="Times New Roman" w:hAnsi="Times New Roman"/>
        </w:rPr>
      </w:pPr>
      <w:r w:rsidRPr="00B925AC">
        <w:rPr>
          <w:rFonts w:ascii="Times New Roman" w:hAnsi="Times New Roman"/>
        </w:rPr>
        <w:t xml:space="preserve">On the other hand, who you sit with also depends on where you stand. </w:t>
      </w:r>
      <w:r w:rsidR="00B058EF" w:rsidRPr="00B925AC">
        <w:rPr>
          <w:rFonts w:ascii="Times New Roman" w:hAnsi="Times New Roman"/>
        </w:rPr>
        <w:t xml:space="preserve">In the leadup to </w:t>
      </w:r>
      <w:r w:rsidR="007A7E29" w:rsidRPr="00B925AC">
        <w:rPr>
          <w:rFonts w:ascii="Times New Roman" w:hAnsi="Times New Roman"/>
        </w:rPr>
        <w:t xml:space="preserve">the creation of LCCR, the organizations that would become its key members made a crucial decision on priorities. </w:t>
      </w:r>
      <w:r w:rsidR="007B2D7B" w:rsidRPr="00B925AC">
        <w:rPr>
          <w:rFonts w:ascii="Times New Roman" w:hAnsi="Times New Roman"/>
        </w:rPr>
        <w:t xml:space="preserve">Led by </w:t>
      </w:r>
      <w:r w:rsidR="00DA0238" w:rsidRPr="00B925AC">
        <w:rPr>
          <w:rFonts w:ascii="Times New Roman" w:hAnsi="Times New Roman"/>
        </w:rPr>
        <w:t>organized labor and the labor-friendly NAACP,</w:t>
      </w:r>
      <w:bookmarkStart w:id="14" w:name="_Ref186120265"/>
      <w:r w:rsidR="00DA0238" w:rsidRPr="00B925AC">
        <w:rPr>
          <w:rStyle w:val="FootnoteReference"/>
          <w:rFonts w:ascii="Times New Roman" w:hAnsi="Times New Roman"/>
        </w:rPr>
        <w:footnoteReference w:id="76"/>
      </w:r>
      <w:bookmarkEnd w:id="14"/>
      <w:r w:rsidR="00DA0238" w:rsidRPr="00B925AC">
        <w:rPr>
          <w:rFonts w:ascii="Times New Roman" w:hAnsi="Times New Roman"/>
        </w:rPr>
        <w:t xml:space="preserve"> </w:t>
      </w:r>
      <w:r w:rsidR="008951D6" w:rsidRPr="00B925AC">
        <w:rPr>
          <w:rFonts w:ascii="Times New Roman" w:hAnsi="Times New Roman"/>
        </w:rPr>
        <w:t xml:space="preserve">they </w:t>
      </w:r>
      <w:r w:rsidR="00A26E99" w:rsidRPr="00B925AC">
        <w:rPr>
          <w:rFonts w:ascii="Times New Roman" w:hAnsi="Times New Roman"/>
        </w:rPr>
        <w:t xml:space="preserve">put the creation of a permanent </w:t>
      </w:r>
      <w:r w:rsidR="00A616EC" w:rsidRPr="00B925AC">
        <w:rPr>
          <w:rFonts w:ascii="Times New Roman" w:hAnsi="Times New Roman"/>
        </w:rPr>
        <w:t xml:space="preserve">Fair Employment Practices Commission at the top of </w:t>
      </w:r>
      <w:r w:rsidR="005F415B" w:rsidRPr="00B925AC">
        <w:rPr>
          <w:rFonts w:ascii="Times New Roman" w:hAnsi="Times New Roman"/>
        </w:rPr>
        <w:t xml:space="preserve">their </w:t>
      </w:r>
      <w:r w:rsidR="00A616EC" w:rsidRPr="00B925AC">
        <w:rPr>
          <w:rFonts w:ascii="Times New Roman" w:hAnsi="Times New Roman"/>
        </w:rPr>
        <w:t>priorities list</w:t>
      </w:r>
      <w:r w:rsidR="005F415B" w:rsidRPr="00B925AC">
        <w:rPr>
          <w:rFonts w:ascii="Times New Roman" w:hAnsi="Times New Roman"/>
        </w:rPr>
        <w:t>, with the American Federation of Labor arguing tha</w:t>
      </w:r>
      <w:r w:rsidR="00EE53A8" w:rsidRPr="00B925AC">
        <w:rPr>
          <w:rFonts w:ascii="Times New Roman" w:hAnsi="Times New Roman"/>
        </w:rPr>
        <w:t>t it would be better to fight and lose on the FEPC than to win an easier fight</w:t>
      </w:r>
      <w:r w:rsidR="00A616EC" w:rsidRPr="00B925AC">
        <w:rPr>
          <w:rFonts w:ascii="Times New Roman" w:hAnsi="Times New Roman"/>
        </w:rPr>
        <w:t>.</w:t>
      </w:r>
      <w:r w:rsidR="00E51E24" w:rsidRPr="00B925AC">
        <w:rPr>
          <w:rStyle w:val="FootnoteReference"/>
          <w:rFonts w:ascii="Times New Roman" w:hAnsi="Times New Roman"/>
        </w:rPr>
        <w:footnoteReference w:id="77"/>
      </w:r>
      <w:r w:rsidR="00A616EC" w:rsidRPr="00B925AC">
        <w:rPr>
          <w:rFonts w:ascii="Times New Roman" w:hAnsi="Times New Roman"/>
        </w:rPr>
        <w:t xml:space="preserve"> </w:t>
      </w:r>
      <w:r w:rsidR="00FE06E7" w:rsidRPr="00B925AC">
        <w:rPr>
          <w:rFonts w:ascii="Times New Roman" w:hAnsi="Times New Roman"/>
        </w:rPr>
        <w:t xml:space="preserve">This decision had important implications for the future shape of the civil rights movement. </w:t>
      </w:r>
      <w:r w:rsidR="00CF7FEE" w:rsidRPr="00B925AC">
        <w:rPr>
          <w:rFonts w:ascii="Times New Roman" w:hAnsi="Times New Roman"/>
        </w:rPr>
        <w:t>As David Karol has shown, while Northern Republicans in the mid-20</w:t>
      </w:r>
      <w:r w:rsidR="00CF7FEE" w:rsidRPr="00B925AC">
        <w:rPr>
          <w:rFonts w:ascii="Times New Roman" w:hAnsi="Times New Roman"/>
          <w:vertAlign w:val="superscript"/>
        </w:rPr>
        <w:t>th</w:t>
      </w:r>
      <w:r w:rsidR="00CF7FEE" w:rsidRPr="00B925AC">
        <w:rPr>
          <w:rFonts w:ascii="Times New Roman" w:hAnsi="Times New Roman"/>
        </w:rPr>
        <w:t xml:space="preserve"> Century were generally just as racially liberal as Northern Democrats and </w:t>
      </w:r>
      <w:r w:rsidR="00BD44CC" w:rsidRPr="00B925AC">
        <w:rPr>
          <w:rFonts w:ascii="Times New Roman" w:hAnsi="Times New Roman"/>
        </w:rPr>
        <w:t xml:space="preserve">far more so than Southern Democrats, </w:t>
      </w:r>
      <w:r w:rsidR="002F53E6" w:rsidRPr="00B925AC">
        <w:rPr>
          <w:rFonts w:ascii="Times New Roman" w:hAnsi="Times New Roman"/>
        </w:rPr>
        <w:t>their liberalism slipped when it came time to vote on additional authority for the FEPC.</w:t>
      </w:r>
      <w:bookmarkStart w:id="15" w:name="_Ref185862447"/>
      <w:r w:rsidR="0092076F" w:rsidRPr="00B925AC">
        <w:rPr>
          <w:rStyle w:val="FootnoteReference"/>
          <w:rFonts w:ascii="Times New Roman" w:hAnsi="Times New Roman"/>
        </w:rPr>
        <w:footnoteReference w:id="78"/>
      </w:r>
      <w:bookmarkEnd w:id="15"/>
      <w:r w:rsidR="002F53E6" w:rsidRPr="00B925AC">
        <w:rPr>
          <w:rFonts w:ascii="Times New Roman" w:hAnsi="Times New Roman"/>
        </w:rPr>
        <w:t xml:space="preserve"> Beholden to </w:t>
      </w:r>
      <w:r w:rsidR="00FB0FFA" w:rsidRPr="00B925AC">
        <w:rPr>
          <w:rFonts w:ascii="Times New Roman" w:hAnsi="Times New Roman"/>
        </w:rPr>
        <w:t>business interests, while the Democrats sided with labor, GOP congressmen could support a wide variety of civil rights measures, but</w:t>
      </w:r>
      <w:r w:rsidR="0092076F" w:rsidRPr="00B925AC">
        <w:rPr>
          <w:rFonts w:ascii="Times New Roman" w:hAnsi="Times New Roman"/>
        </w:rPr>
        <w:t xml:space="preserve"> not a robust FEPC.</w:t>
      </w:r>
      <w:r w:rsidR="00DD005C" w:rsidRPr="00B925AC">
        <w:rPr>
          <w:rFonts w:ascii="Times New Roman" w:hAnsi="Times New Roman"/>
        </w:rPr>
        <w:t xml:space="preserve"> Long before the Democrats became the party of civil rights in the mid-1960s,</w:t>
      </w:r>
      <w:bookmarkStart w:id="16" w:name="_Ref186120323"/>
      <w:r w:rsidR="00DD005C" w:rsidRPr="00B925AC">
        <w:rPr>
          <w:rStyle w:val="FootnoteReference"/>
          <w:rFonts w:ascii="Times New Roman" w:hAnsi="Times New Roman"/>
        </w:rPr>
        <w:footnoteReference w:id="79"/>
      </w:r>
      <w:bookmarkEnd w:id="16"/>
      <w:r w:rsidR="0055164B" w:rsidRPr="00B925AC">
        <w:rPr>
          <w:rFonts w:ascii="Times New Roman" w:hAnsi="Times New Roman"/>
        </w:rPr>
        <w:t xml:space="preserve"> </w:t>
      </w:r>
      <w:r w:rsidR="007414C1" w:rsidRPr="00B925AC">
        <w:rPr>
          <w:rFonts w:ascii="Times New Roman" w:hAnsi="Times New Roman"/>
        </w:rPr>
        <w:t xml:space="preserve">movement leaders were </w:t>
      </w:r>
      <w:r w:rsidR="00B46649" w:rsidRPr="00B925AC">
        <w:rPr>
          <w:rFonts w:ascii="Times New Roman" w:hAnsi="Times New Roman"/>
        </w:rPr>
        <w:t xml:space="preserve">defining civil rights priorities in a way that would ensure they would </w:t>
      </w:r>
      <w:r w:rsidR="0007336E" w:rsidRPr="00B925AC">
        <w:rPr>
          <w:rFonts w:ascii="Times New Roman" w:hAnsi="Times New Roman"/>
        </w:rPr>
        <w:t xml:space="preserve">fight alongside </w:t>
      </w:r>
      <w:r w:rsidR="00B46649" w:rsidRPr="00B925AC">
        <w:rPr>
          <w:rFonts w:ascii="Times New Roman" w:hAnsi="Times New Roman"/>
        </w:rPr>
        <w:t>Democrats and not Republicans in the battles to come.</w:t>
      </w:r>
    </w:p>
    <w:p w14:paraId="7914FE21" w14:textId="206127D7" w:rsidR="008E7E44" w:rsidRPr="00B925AC" w:rsidRDefault="008E7E44" w:rsidP="00FE1CC3">
      <w:pPr>
        <w:rPr>
          <w:rFonts w:ascii="Times New Roman" w:hAnsi="Times New Roman"/>
        </w:rPr>
      </w:pPr>
      <w:r w:rsidRPr="00B925AC">
        <w:rPr>
          <w:rFonts w:ascii="Times New Roman" w:hAnsi="Times New Roman"/>
        </w:rPr>
        <w:lastRenderedPageBreak/>
        <w:t xml:space="preserve">Indeed, movement leaders </w:t>
      </w:r>
      <w:r w:rsidR="00C02073" w:rsidRPr="00B925AC">
        <w:rPr>
          <w:rFonts w:ascii="Times New Roman" w:hAnsi="Times New Roman"/>
        </w:rPr>
        <w:t xml:space="preserve">self-consciously crafted their principles in order not only to invite additional </w:t>
      </w:r>
      <w:r w:rsidR="00D51A50" w:rsidRPr="00B925AC">
        <w:rPr>
          <w:rFonts w:ascii="Times New Roman" w:hAnsi="Times New Roman"/>
        </w:rPr>
        <w:t>partners</w:t>
      </w:r>
      <w:r w:rsidR="00C02073" w:rsidRPr="00B925AC">
        <w:rPr>
          <w:rFonts w:ascii="Times New Roman" w:hAnsi="Times New Roman"/>
        </w:rPr>
        <w:t xml:space="preserve"> but to exclude </w:t>
      </w:r>
      <w:r w:rsidR="00D51A50" w:rsidRPr="00B925AC">
        <w:rPr>
          <w:rFonts w:ascii="Times New Roman" w:hAnsi="Times New Roman"/>
        </w:rPr>
        <w:t xml:space="preserve">partners </w:t>
      </w:r>
      <w:r w:rsidR="00C02073" w:rsidRPr="00B925AC">
        <w:rPr>
          <w:rFonts w:ascii="Times New Roman" w:hAnsi="Times New Roman"/>
        </w:rPr>
        <w:t xml:space="preserve">who would shape their movement in ways they did not want. </w:t>
      </w:r>
      <w:r w:rsidR="00145F2D" w:rsidRPr="00B925AC">
        <w:rPr>
          <w:rFonts w:ascii="Times New Roman" w:hAnsi="Times New Roman"/>
        </w:rPr>
        <w:t xml:space="preserve">After its success in securing the Civil Rights Act of 1964, </w:t>
      </w:r>
      <w:r w:rsidR="00ED54B4" w:rsidRPr="00B925AC">
        <w:rPr>
          <w:rFonts w:ascii="Times New Roman" w:hAnsi="Times New Roman"/>
        </w:rPr>
        <w:t>LCCR faced, in the late 1960s</w:t>
      </w:r>
      <w:r w:rsidR="006A2EA0" w:rsidRPr="00B925AC">
        <w:rPr>
          <w:rFonts w:ascii="Times New Roman" w:hAnsi="Times New Roman"/>
        </w:rPr>
        <w:t>,</w:t>
      </w:r>
      <w:r w:rsidR="00ED54B4" w:rsidRPr="00B925AC">
        <w:rPr>
          <w:rFonts w:ascii="Times New Roman" w:hAnsi="Times New Roman"/>
        </w:rPr>
        <w:t xml:space="preserve"> a request for membership from </w:t>
      </w:r>
      <w:r w:rsidR="009A6744" w:rsidRPr="00B925AC">
        <w:rPr>
          <w:rFonts w:ascii="Times New Roman" w:hAnsi="Times New Roman"/>
        </w:rPr>
        <w:t>Associated Community Teams (ACT)</w:t>
      </w:r>
      <w:r w:rsidR="008916B2" w:rsidRPr="00B925AC">
        <w:rPr>
          <w:rFonts w:ascii="Times New Roman" w:hAnsi="Times New Roman"/>
        </w:rPr>
        <w:t xml:space="preserve">, </w:t>
      </w:r>
      <w:r w:rsidR="00B80AC2" w:rsidRPr="00B925AC">
        <w:rPr>
          <w:rFonts w:ascii="Times New Roman" w:hAnsi="Times New Roman"/>
        </w:rPr>
        <w:t xml:space="preserve">a self-described </w:t>
      </w:r>
      <w:r w:rsidR="008916B2" w:rsidRPr="00B925AC">
        <w:rPr>
          <w:rFonts w:ascii="Times New Roman" w:hAnsi="Times New Roman"/>
        </w:rPr>
        <w:t>“revolutionary”</w:t>
      </w:r>
      <w:r w:rsidR="00B80AC2" w:rsidRPr="00B925AC">
        <w:rPr>
          <w:rFonts w:ascii="Times New Roman" w:hAnsi="Times New Roman"/>
        </w:rPr>
        <w:t xml:space="preserve"> organization devoted to “abolition of those </w:t>
      </w:r>
      <w:r w:rsidR="00E66AA5" w:rsidRPr="00B925AC">
        <w:rPr>
          <w:rFonts w:ascii="Times New Roman" w:hAnsi="Times New Roman"/>
        </w:rPr>
        <w:t>institutions which inherently foster oppression and exploitation.”</w:t>
      </w:r>
      <w:r w:rsidR="00FD6DAE" w:rsidRPr="00B925AC">
        <w:rPr>
          <w:rStyle w:val="FootnoteReference"/>
          <w:rFonts w:ascii="Times New Roman" w:hAnsi="Times New Roman"/>
        </w:rPr>
        <w:footnoteReference w:id="80"/>
      </w:r>
      <w:r w:rsidR="007F747A" w:rsidRPr="00B925AC">
        <w:rPr>
          <w:rFonts w:ascii="Times New Roman" w:hAnsi="Times New Roman"/>
        </w:rPr>
        <w:t xml:space="preserve"> LCCR responded with its first-ever official </w:t>
      </w:r>
      <w:r w:rsidR="00FB491B" w:rsidRPr="00B925AC">
        <w:rPr>
          <w:rFonts w:ascii="Times New Roman" w:hAnsi="Times New Roman"/>
        </w:rPr>
        <w:t xml:space="preserve">by-laws, laying out a vision of </w:t>
      </w:r>
      <w:r w:rsidR="00D07B5A" w:rsidRPr="00B925AC">
        <w:rPr>
          <w:rFonts w:ascii="Times New Roman" w:hAnsi="Times New Roman"/>
        </w:rPr>
        <w:t xml:space="preserve">a racially inclusive movement committed </w:t>
      </w:r>
      <w:r w:rsidR="00D623D4" w:rsidRPr="00B925AC">
        <w:rPr>
          <w:rFonts w:ascii="Times New Roman" w:hAnsi="Times New Roman"/>
        </w:rPr>
        <w:t>to “mutual acceptance” through “peaceful, democratic means.”</w:t>
      </w:r>
      <w:r w:rsidR="00D623D4" w:rsidRPr="00B925AC">
        <w:rPr>
          <w:rStyle w:val="FootnoteReference"/>
          <w:rFonts w:ascii="Times New Roman" w:hAnsi="Times New Roman"/>
        </w:rPr>
        <w:footnoteReference w:id="81"/>
      </w:r>
      <w:r w:rsidR="009E0542" w:rsidRPr="00B925AC">
        <w:rPr>
          <w:rFonts w:ascii="Times New Roman" w:hAnsi="Times New Roman"/>
        </w:rPr>
        <w:t xml:space="preserve"> Groups like ACT were now officially out of step with LCCR’s principles.</w:t>
      </w:r>
      <w:r w:rsidR="00C433FA" w:rsidRPr="00B925AC">
        <w:rPr>
          <w:rStyle w:val="FootnoteReference"/>
          <w:rFonts w:ascii="Times New Roman" w:hAnsi="Times New Roman"/>
        </w:rPr>
        <w:footnoteReference w:id="82"/>
      </w:r>
      <w:r w:rsidR="00810635" w:rsidRPr="00B925AC">
        <w:rPr>
          <w:rFonts w:ascii="Times New Roman" w:hAnsi="Times New Roman"/>
        </w:rPr>
        <w:t xml:space="preserve"> By defining where it stood, LCCR could control who it would sit with.</w:t>
      </w:r>
    </w:p>
    <w:p w14:paraId="1111B81A" w14:textId="4EDDA95D" w:rsidR="00351EAF" w:rsidRPr="00B925AC" w:rsidRDefault="00351EAF" w:rsidP="00351EAF">
      <w:pPr>
        <w:rPr>
          <w:rFonts w:ascii="Times New Roman" w:hAnsi="Times New Roman"/>
        </w:rPr>
      </w:pPr>
      <w:r w:rsidRPr="00B925AC">
        <w:rPr>
          <w:rFonts w:ascii="Times New Roman" w:hAnsi="Times New Roman"/>
          <w:i/>
          <w:iCs/>
        </w:rPr>
        <w:t>Identities</w:t>
      </w:r>
      <w:r w:rsidR="00415FB8" w:rsidRPr="00B925AC">
        <w:rPr>
          <w:rFonts w:ascii="Times New Roman" w:hAnsi="Times New Roman"/>
        </w:rPr>
        <w:t>.—</w:t>
      </w:r>
      <w:r w:rsidRPr="00B925AC">
        <w:rPr>
          <w:rFonts w:ascii="Times New Roman" w:hAnsi="Times New Roman"/>
        </w:rPr>
        <w:t>The next product of coalitional constitutionalism, after ideas, is new and changed identities. And this can change everything. As Walter Lippmann observed in 1922, before an individual can make a political decision</w:t>
      </w:r>
      <w:r w:rsidR="00705A86" w:rsidRPr="00B925AC">
        <w:rPr>
          <w:rFonts w:ascii="Times New Roman" w:hAnsi="Times New Roman"/>
        </w:rPr>
        <w:t>,</w:t>
      </w:r>
      <w:r w:rsidRPr="00B925AC">
        <w:rPr>
          <w:rFonts w:ascii="Times New Roman" w:hAnsi="Times New Roman"/>
        </w:rPr>
        <w:t xml:space="preserve"> she must decide who she is. “[W]</w:t>
      </w:r>
      <w:proofErr w:type="spellStart"/>
      <w:r w:rsidRPr="00B925AC">
        <w:rPr>
          <w:rFonts w:ascii="Times New Roman" w:hAnsi="Times New Roman"/>
        </w:rPr>
        <w:t>hile</w:t>
      </w:r>
      <w:proofErr w:type="spellEnd"/>
      <w:r w:rsidRPr="00B925AC">
        <w:rPr>
          <w:rFonts w:ascii="Times New Roman" w:hAnsi="Times New Roman"/>
        </w:rPr>
        <w:t xml:space="preserve"> it is so true as to be mere tautology that </w:t>
      </w:r>
      <w:r w:rsidR="008C5EE5" w:rsidRPr="00B925AC">
        <w:rPr>
          <w:rFonts w:ascii="Times New Roman" w:hAnsi="Times New Roman"/>
        </w:rPr>
        <w:t>‘</w:t>
      </w:r>
      <w:r w:rsidRPr="00B925AC">
        <w:rPr>
          <w:rFonts w:ascii="Times New Roman" w:hAnsi="Times New Roman"/>
        </w:rPr>
        <w:t>self-interest’ determines opinion,</w:t>
      </w:r>
      <w:r w:rsidR="008C5EE5" w:rsidRPr="00B925AC">
        <w:rPr>
          <w:rFonts w:ascii="Times New Roman" w:hAnsi="Times New Roman"/>
        </w:rPr>
        <w:t>”</w:t>
      </w:r>
      <w:r w:rsidRPr="00B925AC">
        <w:rPr>
          <w:rFonts w:ascii="Times New Roman" w:hAnsi="Times New Roman"/>
        </w:rPr>
        <w:t xml:space="preserve"> Lippmann wrote, “the statement is not illuminating, until we know which self out of many selects and directs the interests so conceived.</w:t>
      </w:r>
      <w:r w:rsidR="0055164B" w:rsidRPr="00B925AC">
        <w:rPr>
          <w:rFonts w:ascii="Times New Roman" w:hAnsi="Times New Roman"/>
        </w:rPr>
        <w:t>”</w:t>
      </w:r>
      <w:r w:rsidR="00927217" w:rsidRPr="00B925AC">
        <w:rPr>
          <w:rStyle w:val="FootnoteReference"/>
          <w:rFonts w:ascii="Times New Roman" w:hAnsi="Times New Roman"/>
        </w:rPr>
        <w:footnoteReference w:id="83"/>
      </w:r>
      <w:r w:rsidRPr="00B925AC">
        <w:rPr>
          <w:rFonts w:ascii="Times New Roman" w:hAnsi="Times New Roman"/>
        </w:rPr>
        <w:t xml:space="preserve"> An analogous point has been made by scholars of “self-categorization theory,</w:t>
      </w:r>
      <w:r w:rsidR="0055164B" w:rsidRPr="00B925AC">
        <w:rPr>
          <w:rFonts w:ascii="Times New Roman" w:hAnsi="Times New Roman"/>
        </w:rPr>
        <w:t>”</w:t>
      </w:r>
      <w:r w:rsidRPr="00B925AC">
        <w:rPr>
          <w:rFonts w:ascii="Times New Roman" w:hAnsi="Times New Roman"/>
        </w:rPr>
        <w:t xml:space="preserve"> who show that individuals tend to adopt the beliefs and other characteristics that they associate with the groups to which they belong.</w:t>
      </w:r>
      <w:r w:rsidR="00D21613" w:rsidRPr="00B925AC">
        <w:rPr>
          <w:rStyle w:val="FootnoteReference"/>
          <w:rFonts w:ascii="Times New Roman" w:hAnsi="Times New Roman"/>
        </w:rPr>
        <w:footnoteReference w:id="84"/>
      </w:r>
      <w:r w:rsidRPr="00B925AC">
        <w:rPr>
          <w:rFonts w:ascii="Times New Roman" w:hAnsi="Times New Roman"/>
        </w:rPr>
        <w:t xml:space="preserve"> If somebody’s group identity changes, the “she</w:t>
      </w:r>
      <w:r w:rsidR="009514F6" w:rsidRPr="00B925AC">
        <w:rPr>
          <w:rFonts w:ascii="Times New Roman" w:hAnsi="Times New Roman"/>
        </w:rPr>
        <w:t>”</w:t>
      </w:r>
      <w:r w:rsidRPr="00B925AC">
        <w:rPr>
          <w:rFonts w:ascii="Times New Roman" w:hAnsi="Times New Roman"/>
        </w:rPr>
        <w:t xml:space="preserve"> that makes political decisions changes as well.</w:t>
      </w:r>
    </w:p>
    <w:p w14:paraId="13E64911" w14:textId="7CB34062" w:rsidR="00351EAF" w:rsidRPr="00B925AC" w:rsidRDefault="00351EAF" w:rsidP="002F53B0">
      <w:pPr>
        <w:rPr>
          <w:rFonts w:ascii="Times New Roman" w:hAnsi="Times New Roman"/>
        </w:rPr>
      </w:pPr>
      <w:r w:rsidRPr="00B925AC">
        <w:rPr>
          <w:rFonts w:ascii="Times New Roman" w:hAnsi="Times New Roman"/>
        </w:rPr>
        <w:t xml:space="preserve">Coalitional constitutionalism changes our identities in two ways. On the one hand, membership in a coalition defined by a statement of constitutional principle can become an important source of identity in its own right. If a constitutional principle becomes the banner under which a coalition fights, that fight can </w:t>
      </w:r>
      <w:r w:rsidRPr="00B925AC">
        <w:rPr>
          <w:rFonts w:ascii="Times New Roman" w:hAnsi="Times New Roman"/>
        </w:rPr>
        <w:lastRenderedPageBreak/>
        <w:t>encourage the process of identity-formation.</w:t>
      </w:r>
      <w:r w:rsidR="002F53B0" w:rsidRPr="00B925AC">
        <w:rPr>
          <w:rStyle w:val="FootnoteReference"/>
          <w:rFonts w:ascii="Times New Roman" w:hAnsi="Times New Roman"/>
        </w:rPr>
        <w:footnoteReference w:id="85"/>
      </w:r>
      <w:r w:rsidRPr="00B925AC">
        <w:rPr>
          <w:rFonts w:ascii="Times New Roman" w:hAnsi="Times New Roman"/>
        </w:rPr>
        <w:t xml:space="preserve"> Perhaps some free speech advocates continue to think of themselves as, say, Communists who are using free speech rhetoric strategically. But the more they fight for free speech, the more they are likely to think of themselves as free speech advocates, full stop. This identity</w:t>
      </w:r>
      <w:r w:rsidR="002F53B0" w:rsidRPr="00B925AC">
        <w:rPr>
          <w:rFonts w:ascii="Times New Roman" w:hAnsi="Times New Roman"/>
        </w:rPr>
        <w:t xml:space="preserve"> </w:t>
      </w:r>
      <w:r w:rsidRPr="00B925AC">
        <w:rPr>
          <w:rFonts w:ascii="Times New Roman" w:hAnsi="Times New Roman"/>
        </w:rPr>
        <w:t xml:space="preserve">can come to be every bit as important as an identity based on membership (union member) or ascriptive characteristics (White person). If anything, many political scientists believe, the most powerful identity in American politics is partisan </w:t>
      </w:r>
      <w:r w:rsidR="002F75F5" w:rsidRPr="00B925AC">
        <w:rPr>
          <w:rFonts w:ascii="Times New Roman" w:hAnsi="Times New Roman"/>
        </w:rPr>
        <w:t>allegiance</w:t>
      </w:r>
      <w:r w:rsidRPr="00B925AC">
        <w:rPr>
          <w:rFonts w:ascii="Times New Roman" w:hAnsi="Times New Roman"/>
        </w:rPr>
        <w:t>,</w:t>
      </w:r>
      <w:r w:rsidR="00865266" w:rsidRPr="00B925AC">
        <w:rPr>
          <w:rStyle w:val="FootnoteReference"/>
          <w:rFonts w:ascii="Times New Roman" w:hAnsi="Times New Roman"/>
        </w:rPr>
        <w:footnoteReference w:id="86"/>
      </w:r>
      <w:r w:rsidRPr="00B925AC">
        <w:rPr>
          <w:rFonts w:ascii="Times New Roman" w:hAnsi="Times New Roman"/>
        </w:rPr>
        <w:t xml:space="preserve"> an abstraction far more nebulous than “free speech advocate</w:t>
      </w:r>
      <w:r w:rsidR="00954B93" w:rsidRPr="00B925AC">
        <w:rPr>
          <w:rFonts w:ascii="Times New Roman" w:hAnsi="Times New Roman"/>
        </w:rPr>
        <w:t>”</w:t>
      </w:r>
      <w:r w:rsidRPr="00B925AC">
        <w:rPr>
          <w:rFonts w:ascii="Times New Roman" w:hAnsi="Times New Roman"/>
        </w:rPr>
        <w:t xml:space="preserve"> or “civil libertarian.</w:t>
      </w:r>
      <w:r w:rsidR="00954B93" w:rsidRPr="00B925AC">
        <w:rPr>
          <w:rFonts w:ascii="Times New Roman" w:hAnsi="Times New Roman"/>
        </w:rPr>
        <w:t>”</w:t>
      </w:r>
      <w:r w:rsidRPr="00B925AC">
        <w:rPr>
          <w:rFonts w:ascii="Times New Roman" w:hAnsi="Times New Roman"/>
        </w:rPr>
        <w:t xml:space="preserve"> Constitutional principles can provide a fighting faith just as well as any more concrete group membership.</w:t>
      </w:r>
    </w:p>
    <w:p w14:paraId="048DC554" w14:textId="783BBF9B" w:rsidR="00351EAF" w:rsidRPr="00B925AC" w:rsidRDefault="00351EAF" w:rsidP="00351EAF">
      <w:pPr>
        <w:rPr>
          <w:rFonts w:ascii="Times New Roman" w:hAnsi="Times New Roman"/>
        </w:rPr>
      </w:pPr>
      <w:r w:rsidRPr="00B925AC">
        <w:rPr>
          <w:rFonts w:ascii="Times New Roman" w:hAnsi="Times New Roman"/>
        </w:rPr>
        <w:t>On the other hand, membership in a constitutional coalition can merge into a broader identity, as the broader identity becomes associated, by those who adopt it and the broader public, with the ideas of the constitutional coalition. David Karol has documented how what it means to be a Democrat or a Republican has changed over time.</w:t>
      </w:r>
      <w:r w:rsidR="000B4C28" w:rsidRPr="00B925AC">
        <w:rPr>
          <w:rStyle w:val="FootnoteReference"/>
          <w:rFonts w:ascii="Times New Roman" w:hAnsi="Times New Roman"/>
        </w:rPr>
        <w:footnoteReference w:id="87"/>
      </w:r>
      <w:r w:rsidRPr="00B925AC">
        <w:rPr>
          <w:rFonts w:ascii="Times New Roman" w:hAnsi="Times New Roman"/>
        </w:rPr>
        <w:t xml:space="preserve"> To take a classic example, the association of the Democratic Party with racial progressivism came only relatively recently, as egalitarians sorted into one party while their opponents sorted into the other.</w:t>
      </w:r>
      <w:r w:rsidR="008761DE" w:rsidRPr="00B925AC">
        <w:rPr>
          <w:rStyle w:val="FootnoteReference"/>
          <w:rFonts w:ascii="Times New Roman" w:hAnsi="Times New Roman"/>
        </w:rPr>
        <w:footnoteReference w:id="88"/>
      </w:r>
      <w:r w:rsidRPr="00B925AC">
        <w:rPr>
          <w:rFonts w:ascii="Times New Roman" w:hAnsi="Times New Roman"/>
        </w:rPr>
        <w:t xml:space="preserve"> Even categories like “liberal,</w:t>
      </w:r>
      <w:r w:rsidR="009420DF" w:rsidRPr="00B925AC">
        <w:rPr>
          <w:rFonts w:ascii="Times New Roman" w:hAnsi="Times New Roman"/>
        </w:rPr>
        <w:t>”</w:t>
      </w:r>
      <w:r w:rsidRPr="00B925AC">
        <w:rPr>
          <w:rFonts w:ascii="Times New Roman" w:hAnsi="Times New Roman"/>
        </w:rPr>
        <w:t xml:space="preserve"> “progressive,</w:t>
      </w:r>
      <w:r w:rsidR="009420DF" w:rsidRPr="00B925AC">
        <w:rPr>
          <w:rFonts w:ascii="Times New Roman" w:hAnsi="Times New Roman"/>
        </w:rPr>
        <w:t>”</w:t>
      </w:r>
      <w:r w:rsidRPr="00B925AC">
        <w:rPr>
          <w:rFonts w:ascii="Times New Roman" w:hAnsi="Times New Roman"/>
        </w:rPr>
        <w:t xml:space="preserve"> or “left-wing</w:t>
      </w:r>
      <w:r w:rsidR="009420DF" w:rsidRPr="00B925AC">
        <w:rPr>
          <w:rFonts w:ascii="Times New Roman" w:hAnsi="Times New Roman"/>
        </w:rPr>
        <w:t>”</w:t>
      </w:r>
      <w:r w:rsidRPr="00B925AC">
        <w:rPr>
          <w:rFonts w:ascii="Times New Roman" w:hAnsi="Times New Roman"/>
        </w:rPr>
        <w:t xml:space="preserve"> change over time. During the early New Deal, there was no perceived conflict between “liberalism</w:t>
      </w:r>
      <w:r w:rsidR="009420DF" w:rsidRPr="00B925AC">
        <w:rPr>
          <w:rFonts w:ascii="Times New Roman" w:hAnsi="Times New Roman"/>
        </w:rPr>
        <w:t>”</w:t>
      </w:r>
      <w:r w:rsidRPr="00B925AC">
        <w:rPr>
          <w:rFonts w:ascii="Times New Roman" w:hAnsi="Times New Roman"/>
        </w:rPr>
        <w:t xml:space="preserve"> and opposition to civil rights.</w:t>
      </w:r>
      <w:r w:rsidR="007A6215" w:rsidRPr="00B925AC">
        <w:rPr>
          <w:rStyle w:val="FootnoteReference"/>
          <w:rFonts w:ascii="Times New Roman" w:hAnsi="Times New Roman"/>
        </w:rPr>
        <w:footnoteReference w:id="89"/>
      </w:r>
      <w:r w:rsidRPr="00B925AC">
        <w:rPr>
          <w:rFonts w:ascii="Times New Roman" w:hAnsi="Times New Roman"/>
        </w:rPr>
        <w:t xml:space="preserve"> As late as World War II, supporting minimum wage laws did not make somebody liberal.</w:t>
      </w:r>
      <w:r w:rsidR="00ED2779" w:rsidRPr="00B925AC">
        <w:rPr>
          <w:rStyle w:val="FootnoteReference"/>
          <w:rFonts w:ascii="Times New Roman" w:hAnsi="Times New Roman"/>
        </w:rPr>
        <w:footnoteReference w:id="90"/>
      </w:r>
    </w:p>
    <w:p w14:paraId="0153E813" w14:textId="2E2E7789" w:rsidR="00351EAF" w:rsidRPr="00B925AC" w:rsidRDefault="00351EAF" w:rsidP="00020D59">
      <w:pPr>
        <w:rPr>
          <w:rFonts w:ascii="Times New Roman" w:hAnsi="Times New Roman"/>
        </w:rPr>
      </w:pPr>
      <w:r w:rsidRPr="00B925AC">
        <w:rPr>
          <w:rFonts w:ascii="Times New Roman" w:hAnsi="Times New Roman"/>
        </w:rPr>
        <w:lastRenderedPageBreak/>
        <w:t>As constitutional coalitions grow, they can come to make up such a large proportion of a political party or persuasion that they define what it means to belong to that party or persuasion.</w:t>
      </w:r>
      <w:r w:rsidR="00F64B38" w:rsidRPr="00B925AC">
        <w:rPr>
          <w:rStyle w:val="FootnoteReference"/>
          <w:rFonts w:ascii="Times New Roman" w:hAnsi="Times New Roman"/>
        </w:rPr>
        <w:footnoteReference w:id="91"/>
      </w:r>
      <w:r w:rsidRPr="00B925AC">
        <w:rPr>
          <w:rFonts w:ascii="Times New Roman" w:hAnsi="Times New Roman"/>
        </w:rPr>
        <w:t xml:space="preserve"> And once a political group (Democrat or Republican, liberal or conservative) becomes associated with a set of ideas, its members will tend to adopt those ideas as their own, even if they had never thought of them before.</w:t>
      </w:r>
      <w:r w:rsidR="00020D59" w:rsidRPr="00B925AC">
        <w:rPr>
          <w:rStyle w:val="FootnoteReference"/>
          <w:rFonts w:ascii="Times New Roman" w:hAnsi="Times New Roman"/>
        </w:rPr>
        <w:footnoteReference w:id="92"/>
      </w:r>
      <w:r w:rsidRPr="00B925AC">
        <w:rPr>
          <w:rFonts w:ascii="Times New Roman" w:hAnsi="Times New Roman"/>
        </w:rPr>
        <w:t xml:space="preserve"> Democrats can come to believe that their party membership means they should take a particular view of the First Amendment,</w:t>
      </w:r>
      <w:r w:rsidR="00020D59" w:rsidRPr="00B925AC">
        <w:rPr>
          <w:rFonts w:ascii="Times New Roman" w:hAnsi="Times New Roman"/>
        </w:rPr>
        <w:t xml:space="preserve"> </w:t>
      </w:r>
      <w:r w:rsidRPr="00B925AC">
        <w:rPr>
          <w:rFonts w:ascii="Times New Roman" w:hAnsi="Times New Roman"/>
        </w:rPr>
        <w:t>just as early Democrats (and later Nixonian Republicans) defined themselves as the party of “strict construction.</w:t>
      </w:r>
      <w:r w:rsidR="0007614A" w:rsidRPr="00B925AC">
        <w:rPr>
          <w:rFonts w:ascii="Times New Roman" w:hAnsi="Times New Roman"/>
        </w:rPr>
        <w:t>”</w:t>
      </w:r>
      <w:r w:rsidR="00AB166C" w:rsidRPr="00B925AC">
        <w:rPr>
          <w:rStyle w:val="FootnoteReference"/>
          <w:rFonts w:ascii="Times New Roman" w:hAnsi="Times New Roman"/>
        </w:rPr>
        <w:footnoteReference w:id="93"/>
      </w:r>
      <w:r w:rsidRPr="00B925AC">
        <w:rPr>
          <w:rFonts w:ascii="Times New Roman" w:hAnsi="Times New Roman"/>
        </w:rPr>
        <w:t xml:space="preserve"> Liberals can redefine their interests to value civil rights. As the group changes, so do its individual members.</w:t>
      </w:r>
    </w:p>
    <w:p w14:paraId="31FD9AC2" w14:textId="52053831" w:rsidR="00351EAF" w:rsidRPr="00B925AC" w:rsidRDefault="007E09CF" w:rsidP="007E09CF">
      <w:pPr>
        <w:rPr>
          <w:rFonts w:ascii="Times New Roman" w:hAnsi="Times New Roman"/>
        </w:rPr>
      </w:pPr>
      <w:r w:rsidRPr="00B925AC">
        <w:rPr>
          <w:rFonts w:ascii="Times New Roman" w:hAnsi="Times New Roman"/>
          <w:i/>
          <w:iCs/>
        </w:rPr>
        <w:t>Institutions</w:t>
      </w:r>
      <w:r w:rsidRPr="00B925AC">
        <w:rPr>
          <w:rFonts w:ascii="Times New Roman" w:hAnsi="Times New Roman"/>
        </w:rPr>
        <w:t>.–</w:t>
      </w:r>
      <w:r w:rsidR="00351EAF" w:rsidRPr="00B925AC">
        <w:rPr>
          <w:rFonts w:ascii="Times New Roman" w:hAnsi="Times New Roman"/>
        </w:rPr>
        <w:t>Finally, coalitional constitutionalism produces and reshapes institutions. These institutions give concrete form to the coalitions, ideas, and identities produced by coalitional constitutionalism. The individuals who oversee and staff these organizations can interpret and apply those ideas to new fights. They help to ensure that the perspectives that produced the initial coalition compromise</w:t>
      </w:r>
      <w:r w:rsidR="006C3474" w:rsidRPr="00B925AC">
        <w:rPr>
          <w:rFonts w:ascii="Times New Roman" w:hAnsi="Times New Roman"/>
        </w:rPr>
        <w:t xml:space="preserve"> – </w:t>
      </w:r>
      <w:r w:rsidR="00351EAF" w:rsidRPr="00B925AC">
        <w:rPr>
          <w:rFonts w:ascii="Times New Roman" w:hAnsi="Times New Roman"/>
        </w:rPr>
        <w:t>the least common denominator principles to which all coalition members could ascribe</w:t>
      </w:r>
      <w:r w:rsidR="006C3474" w:rsidRPr="00B925AC">
        <w:rPr>
          <w:rFonts w:ascii="Times New Roman" w:hAnsi="Times New Roman"/>
        </w:rPr>
        <w:t xml:space="preserve"> – </w:t>
      </w:r>
      <w:r w:rsidR="00351EAF" w:rsidRPr="00B925AC">
        <w:rPr>
          <w:rFonts w:ascii="Times New Roman" w:hAnsi="Times New Roman"/>
        </w:rPr>
        <w:t>continue to be represented in the coalition’s work.</w:t>
      </w:r>
    </w:p>
    <w:p w14:paraId="6926D240" w14:textId="5812C3BD" w:rsidR="00351EAF" w:rsidRPr="00B925AC" w:rsidRDefault="00351EAF" w:rsidP="00351EAF">
      <w:pPr>
        <w:rPr>
          <w:rFonts w:ascii="Times New Roman" w:hAnsi="Times New Roman"/>
        </w:rPr>
      </w:pPr>
      <w:r w:rsidRPr="00B925AC">
        <w:rPr>
          <w:rFonts w:ascii="Times New Roman" w:hAnsi="Times New Roman"/>
        </w:rPr>
        <w:t>The ACLU initially reflected its roots among opponents of World War I, but it quickly came to represent the diverse interests and values that made up the early free speech coalition.</w:t>
      </w:r>
      <w:r w:rsidR="00F7637C" w:rsidRPr="00B925AC">
        <w:rPr>
          <w:rStyle w:val="FootnoteReference"/>
          <w:rFonts w:ascii="Times New Roman" w:hAnsi="Times New Roman"/>
        </w:rPr>
        <w:footnoteReference w:id="94"/>
      </w:r>
      <w:r w:rsidRPr="00B925AC">
        <w:rPr>
          <w:rFonts w:ascii="Times New Roman" w:hAnsi="Times New Roman"/>
        </w:rPr>
        <w:t xml:space="preserve"> Today, the ACLU’s Board of Directors represents the various members of the constitutional coalition associated with civil liberties. Its president worked at the </w:t>
      </w:r>
      <w:r w:rsidR="00BC155F" w:rsidRPr="00B925AC">
        <w:rPr>
          <w:rFonts w:ascii="Times New Roman" w:hAnsi="Times New Roman"/>
        </w:rPr>
        <w:t xml:space="preserve">NAACP </w:t>
      </w:r>
      <w:r w:rsidRPr="00B925AC">
        <w:rPr>
          <w:rFonts w:ascii="Times New Roman" w:hAnsi="Times New Roman"/>
        </w:rPr>
        <w:t xml:space="preserve">and served as dean for equity and inclusion at New </w:t>
      </w:r>
      <w:r w:rsidRPr="00B925AC">
        <w:rPr>
          <w:rFonts w:ascii="Times New Roman" w:hAnsi="Times New Roman"/>
        </w:rPr>
        <w:lastRenderedPageBreak/>
        <w:t>York Law School.</w:t>
      </w:r>
      <w:r w:rsidR="00BF56F5" w:rsidRPr="00B925AC">
        <w:rPr>
          <w:rStyle w:val="FootnoteReference"/>
          <w:rFonts w:ascii="Times New Roman" w:hAnsi="Times New Roman"/>
        </w:rPr>
        <w:footnoteReference w:id="95"/>
      </w:r>
      <w:r w:rsidRPr="00B925AC">
        <w:rPr>
          <w:rFonts w:ascii="Times New Roman" w:hAnsi="Times New Roman"/>
        </w:rPr>
        <w:t xml:space="preserve"> Another member litigates for the Navajo Nation Department of Justice Water Rights Unit.</w:t>
      </w:r>
      <w:r w:rsidR="004E6BC8" w:rsidRPr="00B925AC">
        <w:rPr>
          <w:rStyle w:val="FootnoteReference"/>
          <w:rFonts w:ascii="Times New Roman" w:hAnsi="Times New Roman"/>
        </w:rPr>
        <w:footnoteReference w:id="96"/>
      </w:r>
      <w:r w:rsidRPr="00B925AC">
        <w:rPr>
          <w:rFonts w:ascii="Times New Roman" w:hAnsi="Times New Roman"/>
        </w:rPr>
        <w:t xml:space="preserve"> Others work to protect immigrants,</w:t>
      </w:r>
      <w:r w:rsidR="004E6BC8" w:rsidRPr="00B925AC">
        <w:rPr>
          <w:rStyle w:val="FootnoteReference"/>
          <w:rFonts w:ascii="Times New Roman" w:hAnsi="Times New Roman"/>
        </w:rPr>
        <w:footnoteReference w:id="97"/>
      </w:r>
      <w:r w:rsidRPr="00B925AC">
        <w:rPr>
          <w:rFonts w:ascii="Times New Roman" w:hAnsi="Times New Roman"/>
        </w:rPr>
        <w:t xml:space="preserve"> people with disabilities,</w:t>
      </w:r>
      <w:r w:rsidR="00340198" w:rsidRPr="00B925AC">
        <w:rPr>
          <w:rStyle w:val="FootnoteReference"/>
          <w:rFonts w:ascii="Times New Roman" w:hAnsi="Times New Roman"/>
        </w:rPr>
        <w:footnoteReference w:id="98"/>
      </w:r>
      <w:r w:rsidRPr="00B925AC">
        <w:rPr>
          <w:rFonts w:ascii="Times New Roman" w:hAnsi="Times New Roman"/>
        </w:rPr>
        <w:t xml:space="preserve"> and commercial clients.</w:t>
      </w:r>
      <w:r w:rsidR="008427E0" w:rsidRPr="00B925AC">
        <w:rPr>
          <w:rStyle w:val="FootnoteReference"/>
          <w:rFonts w:ascii="Times New Roman" w:hAnsi="Times New Roman"/>
        </w:rPr>
        <w:footnoteReference w:id="99"/>
      </w:r>
      <w:r w:rsidRPr="00B925AC">
        <w:rPr>
          <w:rFonts w:ascii="Times New Roman" w:hAnsi="Times New Roman"/>
        </w:rPr>
        <w:t xml:space="preserve"> Similarly, </w:t>
      </w:r>
      <w:r w:rsidR="000450E5" w:rsidRPr="00B925AC">
        <w:rPr>
          <w:rFonts w:ascii="Times New Roman" w:hAnsi="Times New Roman"/>
        </w:rPr>
        <w:t xml:space="preserve">LCCR (now </w:t>
      </w:r>
      <w:r w:rsidR="00CC30E8" w:rsidRPr="00B925AC">
        <w:rPr>
          <w:rFonts w:ascii="Times New Roman" w:hAnsi="Times New Roman"/>
        </w:rPr>
        <w:t>the Leadership Conference on Civil and Human Rights</w:t>
      </w:r>
      <w:r w:rsidR="000450E5" w:rsidRPr="00B925AC">
        <w:rPr>
          <w:rFonts w:ascii="Times New Roman" w:hAnsi="Times New Roman"/>
        </w:rPr>
        <w:t xml:space="preserve">) </w:t>
      </w:r>
      <w:r w:rsidRPr="00B925AC">
        <w:rPr>
          <w:rFonts w:ascii="Times New Roman" w:hAnsi="Times New Roman"/>
        </w:rPr>
        <w:t>gives organizational form to the set of groups invested in civil rights protections. Its members include racial justice organizations like the NAACP, along with groups organized to protect members of various religious groups, Native Americans, LGBTQ Americans, and others.</w:t>
      </w:r>
      <w:r w:rsidR="00726405" w:rsidRPr="00B925AC">
        <w:rPr>
          <w:rStyle w:val="FootnoteReference"/>
          <w:rFonts w:ascii="Times New Roman" w:hAnsi="Times New Roman"/>
        </w:rPr>
        <w:footnoteReference w:id="100"/>
      </w:r>
    </w:p>
    <w:p w14:paraId="7ED4ED8C" w14:textId="705B088F" w:rsidR="0098413E" w:rsidRPr="00B925AC" w:rsidRDefault="00351EAF" w:rsidP="00964FAD">
      <w:pPr>
        <w:rPr>
          <w:rFonts w:ascii="Times New Roman" w:hAnsi="Times New Roman"/>
        </w:rPr>
      </w:pPr>
      <w:r w:rsidRPr="00B925AC">
        <w:rPr>
          <w:rFonts w:ascii="Times New Roman" w:hAnsi="Times New Roman"/>
        </w:rPr>
        <w:t>The ideas, identities, and institutions shaped by coalitional constitutionalism reflect and reinforce each other. The content of the ideas built by a coalition determine who identifies with that coalition and shape the institutions that coalition creates. And in turn, those identifiers and institutions define and redefine the core ideas of the coalition.</w:t>
      </w:r>
    </w:p>
    <w:p w14:paraId="49DEAE57" w14:textId="020BF1FC" w:rsidR="0091020F" w:rsidRPr="00B925AC" w:rsidRDefault="00E97C1D" w:rsidP="00E97C1D">
      <w:pPr>
        <w:pStyle w:val="Heading3"/>
        <w:rPr>
          <w:rFonts w:ascii="Times New Roman" w:hAnsi="Times New Roman"/>
        </w:rPr>
      </w:pPr>
      <w:r w:rsidRPr="00B925AC">
        <w:rPr>
          <w:rFonts w:ascii="Times New Roman" w:hAnsi="Times New Roman"/>
        </w:rPr>
        <w:t>Constraint</w:t>
      </w:r>
    </w:p>
    <w:p w14:paraId="56E767B9" w14:textId="5C783C1D" w:rsidR="00D66BB3" w:rsidRPr="00B925AC" w:rsidRDefault="00E97C1D" w:rsidP="0085201B">
      <w:pPr>
        <w:rPr>
          <w:rFonts w:ascii="Times New Roman" w:hAnsi="Times New Roman"/>
        </w:rPr>
      </w:pPr>
      <w:r w:rsidRPr="00B925AC">
        <w:rPr>
          <w:rFonts w:ascii="Times New Roman" w:hAnsi="Times New Roman"/>
        </w:rPr>
        <w:t xml:space="preserve">Articulating principles, </w:t>
      </w:r>
      <w:r w:rsidR="00961ABA" w:rsidRPr="00B925AC">
        <w:rPr>
          <w:rFonts w:ascii="Times New Roman" w:hAnsi="Times New Roman"/>
        </w:rPr>
        <w:t>alone</w:t>
      </w:r>
      <w:r w:rsidRPr="00B925AC">
        <w:rPr>
          <w:rFonts w:ascii="Times New Roman" w:hAnsi="Times New Roman"/>
        </w:rPr>
        <w:t>, does not make politicians like common law</w:t>
      </w:r>
      <w:r w:rsidR="009779F3" w:rsidRPr="00B925AC">
        <w:rPr>
          <w:rFonts w:ascii="Times New Roman" w:hAnsi="Times New Roman"/>
        </w:rPr>
        <w:t xml:space="preserve"> judges</w:t>
      </w:r>
      <w:r w:rsidRPr="00B925AC">
        <w:rPr>
          <w:rFonts w:ascii="Times New Roman" w:hAnsi="Times New Roman"/>
        </w:rPr>
        <w:t xml:space="preserve">. </w:t>
      </w:r>
      <w:r w:rsidR="009779F3" w:rsidRPr="00B925AC">
        <w:rPr>
          <w:rFonts w:ascii="Times New Roman" w:hAnsi="Times New Roman"/>
        </w:rPr>
        <w:t xml:space="preserve">Politicians must also be constrained by the </w:t>
      </w:r>
      <w:r w:rsidR="008E20F6" w:rsidRPr="00B925AC">
        <w:rPr>
          <w:rFonts w:ascii="Times New Roman" w:hAnsi="Times New Roman"/>
        </w:rPr>
        <w:t>principles they articulate.</w:t>
      </w:r>
      <w:r w:rsidR="000356FB" w:rsidRPr="00B925AC">
        <w:rPr>
          <w:rFonts w:ascii="Times New Roman" w:hAnsi="Times New Roman"/>
        </w:rPr>
        <w:t xml:space="preserve"> </w:t>
      </w:r>
      <w:r w:rsidR="00E14EC8" w:rsidRPr="00B925AC">
        <w:rPr>
          <w:rFonts w:ascii="Times New Roman" w:hAnsi="Times New Roman"/>
        </w:rPr>
        <w:t>N</w:t>
      </w:r>
      <w:r w:rsidR="00A32C67" w:rsidRPr="00B925AC">
        <w:rPr>
          <w:rFonts w:ascii="Times New Roman" w:hAnsi="Times New Roman"/>
        </w:rPr>
        <w:t xml:space="preserve">either judges nor politicians are, or should be, fully bound to their articulated </w:t>
      </w:r>
      <w:r w:rsidR="00412885" w:rsidRPr="00B925AC">
        <w:rPr>
          <w:rFonts w:ascii="Times New Roman" w:hAnsi="Times New Roman"/>
        </w:rPr>
        <w:t>principles</w:t>
      </w:r>
      <w:r w:rsidR="00E14EC8" w:rsidRPr="00B925AC">
        <w:rPr>
          <w:rFonts w:ascii="Times New Roman" w:hAnsi="Times New Roman"/>
        </w:rPr>
        <w:t>. However,</w:t>
      </w:r>
      <w:r w:rsidR="00412885" w:rsidRPr="00B925AC">
        <w:rPr>
          <w:rFonts w:ascii="Times New Roman" w:hAnsi="Times New Roman"/>
        </w:rPr>
        <w:t xml:space="preserve"> politicians </w:t>
      </w:r>
      <w:r w:rsidR="00590A62" w:rsidRPr="00B925AC">
        <w:rPr>
          <w:rFonts w:ascii="Times New Roman" w:hAnsi="Times New Roman"/>
        </w:rPr>
        <w:t xml:space="preserve">face a variety of constraints that limit their </w:t>
      </w:r>
      <w:r w:rsidR="00E14EC8" w:rsidRPr="00B925AC">
        <w:rPr>
          <w:rFonts w:ascii="Times New Roman" w:hAnsi="Times New Roman"/>
        </w:rPr>
        <w:t xml:space="preserve">ability, and their desire, to deviate from </w:t>
      </w:r>
      <w:r w:rsidR="00447BF4" w:rsidRPr="00B925AC">
        <w:rPr>
          <w:rFonts w:ascii="Times New Roman" w:hAnsi="Times New Roman"/>
        </w:rPr>
        <w:t>the principles they articulate.</w:t>
      </w:r>
    </w:p>
    <w:p w14:paraId="6A45429B" w14:textId="1BFAEE35" w:rsidR="00061707" w:rsidRPr="00B925AC" w:rsidRDefault="0034133A" w:rsidP="0085201B">
      <w:pPr>
        <w:rPr>
          <w:rFonts w:ascii="Times New Roman" w:hAnsi="Times New Roman"/>
        </w:rPr>
      </w:pPr>
      <w:r w:rsidRPr="00B925AC">
        <w:rPr>
          <w:rFonts w:ascii="Times New Roman" w:hAnsi="Times New Roman"/>
        </w:rPr>
        <w:t xml:space="preserve">Before discussing those constraints, however, </w:t>
      </w:r>
      <w:r w:rsidR="00C165EB" w:rsidRPr="00B925AC">
        <w:rPr>
          <w:rFonts w:ascii="Times New Roman" w:hAnsi="Times New Roman"/>
        </w:rPr>
        <w:t xml:space="preserve">I must offer one caveat. Like judges, politicians </w:t>
      </w:r>
      <w:r w:rsidR="001265C8" w:rsidRPr="00B925AC">
        <w:rPr>
          <w:rFonts w:ascii="Times New Roman" w:hAnsi="Times New Roman"/>
        </w:rPr>
        <w:t>articulate both holdings</w:t>
      </w:r>
      <w:r w:rsidR="006B02DB" w:rsidRPr="00B925AC">
        <w:rPr>
          <w:rFonts w:ascii="Times New Roman" w:hAnsi="Times New Roman"/>
        </w:rPr>
        <w:t xml:space="preserve"> – principles intended to bind in future cases –</w:t>
      </w:r>
      <w:r w:rsidR="001265C8" w:rsidRPr="00B925AC">
        <w:rPr>
          <w:rFonts w:ascii="Times New Roman" w:hAnsi="Times New Roman"/>
        </w:rPr>
        <w:t xml:space="preserve"> and dicta</w:t>
      </w:r>
      <w:r w:rsidR="005E24C5" w:rsidRPr="00B925AC">
        <w:rPr>
          <w:rFonts w:ascii="Times New Roman" w:hAnsi="Times New Roman"/>
        </w:rPr>
        <w:t xml:space="preserve"> – principles that do not serve this role</w:t>
      </w:r>
      <w:r w:rsidR="001265C8" w:rsidRPr="00B925AC">
        <w:rPr>
          <w:rFonts w:ascii="Times New Roman" w:hAnsi="Times New Roman"/>
        </w:rPr>
        <w:t xml:space="preserve">. </w:t>
      </w:r>
      <w:r w:rsidR="00E244B9" w:rsidRPr="00B925AC">
        <w:rPr>
          <w:rFonts w:ascii="Times New Roman" w:hAnsi="Times New Roman"/>
        </w:rPr>
        <w:t xml:space="preserve">Not every statement of principle is intended to be the basis for a long coalition, and statements that are not so intended may not act as a constraint. In this section, I argue only that </w:t>
      </w:r>
      <w:r w:rsidR="00974152" w:rsidRPr="00B925AC">
        <w:rPr>
          <w:rFonts w:ascii="Times New Roman" w:hAnsi="Times New Roman"/>
        </w:rPr>
        <w:t xml:space="preserve">statements intended to facilitate coalition building or maintenance bind the politicians who make them. Below I will consider at greater length </w:t>
      </w:r>
      <w:r w:rsidR="004153D6" w:rsidRPr="00B925AC">
        <w:rPr>
          <w:rFonts w:ascii="Times New Roman" w:hAnsi="Times New Roman"/>
        </w:rPr>
        <w:t>which principles constitute holdings – intended to become the basis for coalitions and therefore binding on those who articulate them – and which constitute dicta.</w:t>
      </w:r>
    </w:p>
    <w:p w14:paraId="2F16CEEF" w14:textId="0BA879A8" w:rsidR="009F401A" w:rsidRPr="00B925AC" w:rsidRDefault="00E47E61" w:rsidP="009F401A">
      <w:pPr>
        <w:rPr>
          <w:rFonts w:ascii="Times New Roman" w:hAnsi="Times New Roman"/>
        </w:rPr>
      </w:pPr>
      <w:r w:rsidRPr="00B925AC">
        <w:rPr>
          <w:rFonts w:ascii="Times New Roman" w:hAnsi="Times New Roman"/>
        </w:rPr>
        <w:t>While it is limited, the quantitative evidence we have suggests that coalitional principles bind MCs</w:t>
      </w:r>
      <w:r w:rsidR="009F401A" w:rsidRPr="00B925AC">
        <w:rPr>
          <w:rFonts w:ascii="Times New Roman" w:hAnsi="Times New Roman"/>
        </w:rPr>
        <w:t xml:space="preserve">. One way to </w:t>
      </w:r>
      <w:r w:rsidR="00DD5849" w:rsidRPr="00B925AC">
        <w:rPr>
          <w:rFonts w:ascii="Times New Roman" w:hAnsi="Times New Roman"/>
        </w:rPr>
        <w:t xml:space="preserve">see this is to consider </w:t>
      </w:r>
      <w:r w:rsidR="009F401A" w:rsidRPr="00B925AC">
        <w:rPr>
          <w:rFonts w:ascii="Times New Roman" w:hAnsi="Times New Roman"/>
        </w:rPr>
        <w:t xml:space="preserve">what happens when new constitutional principles are established. David Karol looks at periods when </w:t>
      </w:r>
      <w:r w:rsidR="009F401A" w:rsidRPr="00B925AC">
        <w:rPr>
          <w:rFonts w:ascii="Times New Roman" w:hAnsi="Times New Roman"/>
        </w:rPr>
        <w:lastRenderedPageBreak/>
        <w:t>Democrats and Republicans were developing coalitional principles on abortion, gun control, and civil rights, after being associated with neither side of those debates. Initially, senators’ voting patterns follow public opinion among their constituents, as we would expect when there is no principle to constrain. However, as the political parties become associated with one side of the three debates Karol studies, party members begin to vote on their party’s principle, not their home-district politics.</w:t>
      </w:r>
      <w:r w:rsidR="009F401A" w:rsidRPr="00B925AC">
        <w:rPr>
          <w:rStyle w:val="FootnoteReference"/>
          <w:rFonts w:ascii="Times New Roman" w:hAnsi="Times New Roman"/>
        </w:rPr>
        <w:footnoteReference w:id="101"/>
      </w:r>
    </w:p>
    <w:p w14:paraId="49993D27" w14:textId="1488F672" w:rsidR="00E97C1D" w:rsidRPr="00B925AC" w:rsidRDefault="009F401A" w:rsidP="009F401A">
      <w:pPr>
        <w:rPr>
          <w:rFonts w:ascii="Times New Roman" w:hAnsi="Times New Roman"/>
        </w:rPr>
      </w:pPr>
      <w:r w:rsidRPr="00B925AC">
        <w:rPr>
          <w:rFonts w:ascii="Times New Roman" w:hAnsi="Times New Roman"/>
        </w:rPr>
        <w:t xml:space="preserve">Is this evidence consistent with what we know about the forces that </w:t>
      </w:r>
      <w:r w:rsidR="00FE27B8" w:rsidRPr="00B925AC">
        <w:rPr>
          <w:rFonts w:ascii="Times New Roman" w:hAnsi="Times New Roman"/>
        </w:rPr>
        <w:t>produce intellectual consistency among judges and politicians?</w:t>
      </w:r>
      <w:r w:rsidRPr="00B925AC">
        <w:rPr>
          <w:rFonts w:ascii="Times New Roman" w:hAnsi="Times New Roman"/>
        </w:rPr>
        <w:t xml:space="preserve"> </w:t>
      </w:r>
      <w:r w:rsidR="00027585" w:rsidRPr="00B925AC">
        <w:rPr>
          <w:rFonts w:ascii="Times New Roman" w:hAnsi="Times New Roman"/>
        </w:rPr>
        <w:t xml:space="preserve">It is </w:t>
      </w:r>
      <w:r w:rsidR="002214D3" w:rsidRPr="00B925AC">
        <w:rPr>
          <w:rFonts w:ascii="Times New Roman" w:hAnsi="Times New Roman"/>
        </w:rPr>
        <w:t>helpful</w:t>
      </w:r>
      <w:r w:rsidR="00027585" w:rsidRPr="00B925AC">
        <w:rPr>
          <w:rFonts w:ascii="Times New Roman" w:hAnsi="Times New Roman"/>
        </w:rPr>
        <w:t xml:space="preserve"> to </w:t>
      </w:r>
      <w:r w:rsidR="00CC3CF5" w:rsidRPr="00B925AC">
        <w:rPr>
          <w:rFonts w:ascii="Times New Roman" w:hAnsi="Times New Roman"/>
        </w:rPr>
        <w:t xml:space="preserve">tackle the question in parts, </w:t>
      </w:r>
      <w:r w:rsidR="00027585" w:rsidRPr="00B925AC">
        <w:rPr>
          <w:rFonts w:ascii="Times New Roman" w:hAnsi="Times New Roman"/>
        </w:rPr>
        <w:t xml:space="preserve">considering the various ways in which decision makers </w:t>
      </w:r>
      <w:r w:rsidR="002214D3" w:rsidRPr="00B925AC">
        <w:rPr>
          <w:rFonts w:ascii="Times New Roman" w:hAnsi="Times New Roman"/>
        </w:rPr>
        <w:t xml:space="preserve">betray their previously articulated principles. </w:t>
      </w:r>
      <w:r w:rsidR="00021C84" w:rsidRPr="00B925AC">
        <w:rPr>
          <w:rFonts w:ascii="Times New Roman" w:hAnsi="Times New Roman"/>
        </w:rPr>
        <w:t xml:space="preserve">They may, of course, </w:t>
      </w:r>
      <w:r w:rsidR="00E102A2" w:rsidRPr="00B925AC">
        <w:rPr>
          <w:rFonts w:ascii="Times New Roman" w:hAnsi="Times New Roman"/>
        </w:rPr>
        <w:t xml:space="preserve">forthrightly announce that they have changed their minds. </w:t>
      </w:r>
      <w:r w:rsidR="00CF5F72" w:rsidRPr="00B925AC">
        <w:rPr>
          <w:rFonts w:ascii="Times New Roman" w:hAnsi="Times New Roman"/>
        </w:rPr>
        <w:t xml:space="preserve">I consider this form of betrayal – which might be considered less a </w:t>
      </w:r>
      <w:r w:rsidR="00416C2F" w:rsidRPr="00B925AC">
        <w:rPr>
          <w:rFonts w:ascii="Times New Roman" w:hAnsi="Times New Roman"/>
        </w:rPr>
        <w:t>violation than an updating of principles – below, when I discuss position changes.</w:t>
      </w:r>
      <w:r w:rsidR="00A7013F" w:rsidRPr="00B925AC">
        <w:rPr>
          <w:rFonts w:ascii="Times New Roman" w:hAnsi="Times New Roman"/>
        </w:rPr>
        <w:t xml:space="preserve"> </w:t>
      </w:r>
      <w:r w:rsidR="009B7CC2" w:rsidRPr="00B925AC">
        <w:rPr>
          <w:rFonts w:ascii="Times New Roman" w:hAnsi="Times New Roman"/>
        </w:rPr>
        <w:t>Two</w:t>
      </w:r>
      <w:r w:rsidR="00A7013F" w:rsidRPr="00B925AC">
        <w:rPr>
          <w:rFonts w:ascii="Times New Roman" w:hAnsi="Times New Roman"/>
        </w:rPr>
        <w:t xml:space="preserve"> other forms of betrayal will be considered here. First, decision makers may simply ignore previously articulated principles. </w:t>
      </w:r>
      <w:r w:rsidR="00712F99" w:rsidRPr="00B925AC">
        <w:rPr>
          <w:rFonts w:ascii="Times New Roman" w:hAnsi="Times New Roman"/>
        </w:rPr>
        <w:t xml:space="preserve">Second, they may </w:t>
      </w:r>
      <w:r w:rsidR="004D2BB9" w:rsidRPr="00B925AC">
        <w:rPr>
          <w:rFonts w:ascii="Times New Roman" w:hAnsi="Times New Roman"/>
        </w:rPr>
        <w:t xml:space="preserve">reinterpret their principles in a way that makes those principles effectively meaningless. </w:t>
      </w:r>
      <w:r w:rsidR="00131DFD" w:rsidRPr="00B925AC">
        <w:rPr>
          <w:rFonts w:ascii="Times New Roman" w:hAnsi="Times New Roman"/>
        </w:rPr>
        <w:t>I will consider each category in turn.</w:t>
      </w:r>
      <w:r w:rsidR="000E4669" w:rsidRPr="00B925AC">
        <w:rPr>
          <w:rFonts w:ascii="Times New Roman" w:hAnsi="Times New Roman"/>
        </w:rPr>
        <w:t xml:space="preserve"> </w:t>
      </w:r>
    </w:p>
    <w:p w14:paraId="044A8DA4" w14:textId="6BF31CA8" w:rsidR="00F07F47" w:rsidRPr="00B925AC" w:rsidRDefault="00725037" w:rsidP="000B4F80">
      <w:pPr>
        <w:rPr>
          <w:rFonts w:ascii="Times New Roman" w:hAnsi="Times New Roman"/>
        </w:rPr>
      </w:pPr>
      <w:r w:rsidRPr="00B925AC">
        <w:rPr>
          <w:rFonts w:ascii="Times New Roman" w:hAnsi="Times New Roman"/>
          <w:i/>
          <w:iCs/>
        </w:rPr>
        <w:t>Ignoring principles</w:t>
      </w:r>
      <w:r w:rsidRPr="00B925AC">
        <w:rPr>
          <w:rFonts w:ascii="Times New Roman" w:hAnsi="Times New Roman"/>
        </w:rPr>
        <w:t xml:space="preserve">.—Both judges and politicians can ignore the </w:t>
      </w:r>
      <w:r w:rsidR="00D520A3" w:rsidRPr="00B925AC">
        <w:rPr>
          <w:rFonts w:ascii="Times New Roman" w:hAnsi="Times New Roman"/>
        </w:rPr>
        <w:t xml:space="preserve">principles that they, or their institution, have previously articulated. </w:t>
      </w:r>
      <w:r w:rsidR="00CC0468" w:rsidRPr="00B925AC">
        <w:rPr>
          <w:rFonts w:ascii="Times New Roman" w:hAnsi="Times New Roman"/>
        </w:rPr>
        <w:t>When judges do so, they may be criticized in law reviews</w:t>
      </w:r>
      <w:r w:rsidR="003E5A38" w:rsidRPr="00B925AC">
        <w:rPr>
          <w:rFonts w:ascii="Times New Roman" w:hAnsi="Times New Roman"/>
        </w:rPr>
        <w:t xml:space="preserve"> or by other judges. </w:t>
      </w:r>
      <w:r w:rsidR="00EB23C5" w:rsidRPr="00B925AC">
        <w:rPr>
          <w:rFonts w:ascii="Times New Roman" w:hAnsi="Times New Roman"/>
        </w:rPr>
        <w:t>When politicians do so, they may face similar criticism</w:t>
      </w:r>
      <w:r w:rsidR="00F5225F" w:rsidRPr="00B925AC">
        <w:rPr>
          <w:rFonts w:ascii="Times New Roman" w:hAnsi="Times New Roman"/>
        </w:rPr>
        <w:t xml:space="preserve"> in the popular press or at the hands of political opponents</w:t>
      </w:r>
      <w:r w:rsidR="00EB23C5" w:rsidRPr="00B925AC">
        <w:rPr>
          <w:rFonts w:ascii="Times New Roman" w:hAnsi="Times New Roman"/>
        </w:rPr>
        <w:t>.</w:t>
      </w:r>
      <w:r w:rsidR="004B33BE" w:rsidRPr="00B925AC">
        <w:rPr>
          <w:rStyle w:val="FootnoteReference"/>
          <w:rFonts w:ascii="Times New Roman" w:hAnsi="Times New Roman"/>
        </w:rPr>
        <w:footnoteReference w:id="102"/>
      </w:r>
    </w:p>
    <w:p w14:paraId="14526FC4" w14:textId="2ABCA079" w:rsidR="000B4F80" w:rsidRPr="00B925AC" w:rsidRDefault="00677F26" w:rsidP="000B4F80">
      <w:pPr>
        <w:rPr>
          <w:rFonts w:ascii="Times New Roman" w:hAnsi="Times New Roman"/>
        </w:rPr>
      </w:pPr>
      <w:r w:rsidRPr="00B925AC">
        <w:rPr>
          <w:rFonts w:ascii="Times New Roman" w:hAnsi="Times New Roman"/>
        </w:rPr>
        <w:t xml:space="preserve">But </w:t>
      </w:r>
      <w:r w:rsidR="005515EF" w:rsidRPr="00B925AC">
        <w:rPr>
          <w:rFonts w:ascii="Times New Roman" w:hAnsi="Times New Roman"/>
        </w:rPr>
        <w:t>three</w:t>
      </w:r>
      <w:r w:rsidRPr="00B925AC">
        <w:rPr>
          <w:rFonts w:ascii="Times New Roman" w:hAnsi="Times New Roman"/>
        </w:rPr>
        <w:t xml:space="preserve"> conditions distinguish politicians from </w:t>
      </w:r>
      <w:r w:rsidR="00005103" w:rsidRPr="00B925AC">
        <w:rPr>
          <w:rFonts w:ascii="Times New Roman" w:hAnsi="Times New Roman"/>
        </w:rPr>
        <w:t xml:space="preserve">judges. First, by assumption, politicians have built coalitions around their principles, with the goal of assembling </w:t>
      </w:r>
      <w:r w:rsidR="00B260CE" w:rsidRPr="00B925AC">
        <w:rPr>
          <w:rFonts w:ascii="Times New Roman" w:hAnsi="Times New Roman"/>
        </w:rPr>
        <w:t xml:space="preserve">a powerful combination of political actors who agree on the principle in question. </w:t>
      </w:r>
      <w:r w:rsidR="00824B9D" w:rsidRPr="00B925AC">
        <w:rPr>
          <w:rFonts w:ascii="Times New Roman" w:hAnsi="Times New Roman"/>
        </w:rPr>
        <w:t xml:space="preserve">These coalitions can be expected to highlight departures from principle, particularly by </w:t>
      </w:r>
      <w:r w:rsidR="00D169ED" w:rsidRPr="00B925AC">
        <w:rPr>
          <w:rFonts w:ascii="Times New Roman" w:hAnsi="Times New Roman"/>
        </w:rPr>
        <w:t xml:space="preserve">their fellow coalition members. </w:t>
      </w:r>
      <w:r w:rsidR="00555B8A" w:rsidRPr="00B925AC">
        <w:rPr>
          <w:rFonts w:ascii="Times New Roman" w:hAnsi="Times New Roman"/>
        </w:rPr>
        <w:t>A sense of betrayal can be a powerful spur to political action, and it would be surprising if political coalitions did not respond to it.</w:t>
      </w:r>
      <w:r w:rsidR="00C02BC0" w:rsidRPr="00B925AC">
        <w:rPr>
          <w:rStyle w:val="FootnoteReference"/>
          <w:rFonts w:ascii="Times New Roman" w:hAnsi="Times New Roman"/>
        </w:rPr>
        <w:footnoteReference w:id="103"/>
      </w:r>
      <w:r w:rsidR="000B4F80" w:rsidRPr="00B925AC">
        <w:rPr>
          <w:rFonts w:ascii="Times New Roman" w:hAnsi="Times New Roman"/>
        </w:rPr>
        <w:t xml:space="preserve"> The second condition that distinguishes politicians reinforces the first: </w:t>
      </w:r>
      <w:r w:rsidR="00416331" w:rsidRPr="00B925AC">
        <w:rPr>
          <w:rFonts w:ascii="Times New Roman" w:hAnsi="Times New Roman"/>
        </w:rPr>
        <w:lastRenderedPageBreak/>
        <w:t xml:space="preserve">politicians face reelection. </w:t>
      </w:r>
      <w:r w:rsidR="00F824DA" w:rsidRPr="00B925AC">
        <w:rPr>
          <w:rFonts w:ascii="Times New Roman" w:hAnsi="Times New Roman"/>
        </w:rPr>
        <w:t xml:space="preserve">This means both that coalition partners who feel jilted by a politician have an incentive to </w:t>
      </w:r>
      <w:r w:rsidR="00AB25A1" w:rsidRPr="00B925AC">
        <w:rPr>
          <w:rFonts w:ascii="Times New Roman" w:hAnsi="Times New Roman"/>
        </w:rPr>
        <w:t>act</w:t>
      </w:r>
      <w:r w:rsidR="00F824DA" w:rsidRPr="00B925AC">
        <w:rPr>
          <w:rFonts w:ascii="Times New Roman" w:hAnsi="Times New Roman"/>
        </w:rPr>
        <w:t xml:space="preserve"> – they may be able to replace </w:t>
      </w:r>
      <w:r w:rsidR="003C05CA" w:rsidRPr="00B925AC">
        <w:rPr>
          <w:rFonts w:ascii="Times New Roman" w:hAnsi="Times New Roman"/>
        </w:rPr>
        <w:t>the Benedict Arnold with somebody more attractive – and that politicians have an incentive not to deviate in the first place.</w:t>
      </w:r>
    </w:p>
    <w:p w14:paraId="7A65A120" w14:textId="5245EF13" w:rsidR="009D09AE" w:rsidRPr="00B925AC" w:rsidRDefault="009D09AE" w:rsidP="000B4F80">
      <w:pPr>
        <w:rPr>
          <w:rFonts w:ascii="Times New Roman" w:hAnsi="Times New Roman"/>
        </w:rPr>
      </w:pPr>
      <w:r w:rsidRPr="00B925AC">
        <w:rPr>
          <w:rFonts w:ascii="Times New Roman" w:hAnsi="Times New Roman"/>
        </w:rPr>
        <w:t>Finally, politicians</w:t>
      </w:r>
      <w:r w:rsidR="00C11979" w:rsidRPr="00B925AC">
        <w:rPr>
          <w:rFonts w:ascii="Times New Roman" w:hAnsi="Times New Roman"/>
        </w:rPr>
        <w:t xml:space="preserve">, but </w:t>
      </w:r>
      <w:r w:rsidR="00C63A39" w:rsidRPr="00B925AC">
        <w:rPr>
          <w:rFonts w:ascii="Times New Roman" w:hAnsi="Times New Roman"/>
        </w:rPr>
        <w:t xml:space="preserve">generally </w:t>
      </w:r>
      <w:r w:rsidR="00C11979" w:rsidRPr="00B925AC">
        <w:rPr>
          <w:rFonts w:ascii="Times New Roman" w:hAnsi="Times New Roman"/>
        </w:rPr>
        <w:t>not judges,</w:t>
      </w:r>
      <w:r w:rsidRPr="00B925AC">
        <w:rPr>
          <w:rFonts w:ascii="Times New Roman" w:hAnsi="Times New Roman"/>
        </w:rPr>
        <w:t xml:space="preserve"> may need to expand or restructure their coalitions in the future.</w:t>
      </w:r>
      <w:r w:rsidR="0066373D" w:rsidRPr="00B925AC">
        <w:rPr>
          <w:rFonts w:ascii="Times New Roman" w:hAnsi="Times New Roman"/>
        </w:rPr>
        <w:t xml:space="preserve"> </w:t>
      </w:r>
      <w:r w:rsidR="007B28EC" w:rsidRPr="00B925AC">
        <w:rPr>
          <w:rFonts w:ascii="Times New Roman" w:hAnsi="Times New Roman"/>
        </w:rPr>
        <w:t xml:space="preserve">As discussed above, those principles are a crucial </w:t>
      </w:r>
      <w:r w:rsidR="005E08E2" w:rsidRPr="00B925AC">
        <w:rPr>
          <w:rFonts w:ascii="Times New Roman" w:hAnsi="Times New Roman"/>
        </w:rPr>
        <w:t xml:space="preserve">tool </w:t>
      </w:r>
      <w:r w:rsidR="007B28EC" w:rsidRPr="00B925AC">
        <w:rPr>
          <w:rFonts w:ascii="Times New Roman" w:hAnsi="Times New Roman"/>
        </w:rPr>
        <w:t xml:space="preserve">for adding members to a political coalition. MCs who develop a reputation for ignoring their articulated principles </w:t>
      </w:r>
      <w:r w:rsidR="00B76FBE" w:rsidRPr="00B925AC">
        <w:rPr>
          <w:rFonts w:ascii="Times New Roman" w:hAnsi="Times New Roman"/>
        </w:rPr>
        <w:t xml:space="preserve">may find it difficult to use statements of principle to </w:t>
      </w:r>
      <w:r w:rsidR="008B0736" w:rsidRPr="00B925AC">
        <w:rPr>
          <w:rFonts w:ascii="Times New Roman" w:hAnsi="Times New Roman"/>
        </w:rPr>
        <w:t>expand and adjust their coalitions</w:t>
      </w:r>
      <w:r w:rsidR="00B76FBE" w:rsidRPr="00B925AC">
        <w:rPr>
          <w:rFonts w:ascii="Times New Roman" w:hAnsi="Times New Roman"/>
        </w:rPr>
        <w:t>.</w:t>
      </w:r>
    </w:p>
    <w:p w14:paraId="579A39A1" w14:textId="1C98B989" w:rsidR="0036004A" w:rsidRPr="00B925AC" w:rsidRDefault="0036004A" w:rsidP="000B4F80">
      <w:pPr>
        <w:rPr>
          <w:rFonts w:ascii="Times New Roman" w:hAnsi="Times New Roman"/>
        </w:rPr>
      </w:pPr>
      <w:r w:rsidRPr="00B925AC">
        <w:rPr>
          <w:rFonts w:ascii="Times New Roman" w:hAnsi="Times New Roman"/>
        </w:rPr>
        <w:t>For these reasons, we should expect to see outright and unjustified betrayal</w:t>
      </w:r>
      <w:r w:rsidR="005455AF" w:rsidRPr="00B925AC">
        <w:rPr>
          <w:rFonts w:ascii="Times New Roman" w:hAnsi="Times New Roman"/>
        </w:rPr>
        <w:t xml:space="preserve"> only rarely</w:t>
      </w:r>
      <w:r w:rsidRPr="00B925AC">
        <w:rPr>
          <w:rFonts w:ascii="Times New Roman" w:hAnsi="Times New Roman"/>
        </w:rPr>
        <w:t xml:space="preserve">. </w:t>
      </w:r>
      <w:r w:rsidR="00D976B1" w:rsidRPr="00B925AC">
        <w:rPr>
          <w:rFonts w:ascii="Times New Roman" w:hAnsi="Times New Roman"/>
        </w:rPr>
        <w:t xml:space="preserve">Rather, politicians should be expected to attempt to explain their actions in terms either of other principles or of </w:t>
      </w:r>
      <w:r w:rsidR="00233F8D" w:rsidRPr="00B925AC">
        <w:rPr>
          <w:rFonts w:ascii="Times New Roman" w:hAnsi="Times New Roman"/>
        </w:rPr>
        <w:t xml:space="preserve">ambiguities in the principles they have violated. </w:t>
      </w:r>
      <w:r w:rsidR="00262C68" w:rsidRPr="00B925AC">
        <w:rPr>
          <w:rFonts w:ascii="Times New Roman" w:hAnsi="Times New Roman"/>
        </w:rPr>
        <w:t>This may explain why politicians who change parties tend to claim that they did not leave their parties, the parties left them.</w:t>
      </w:r>
      <w:r w:rsidR="005109E8" w:rsidRPr="00B925AC">
        <w:rPr>
          <w:rStyle w:val="FootnoteReference"/>
          <w:rFonts w:ascii="Times New Roman" w:hAnsi="Times New Roman"/>
        </w:rPr>
        <w:footnoteReference w:id="104"/>
      </w:r>
      <w:r w:rsidR="00262C68" w:rsidRPr="00B925AC">
        <w:rPr>
          <w:rFonts w:ascii="Times New Roman" w:hAnsi="Times New Roman"/>
        </w:rPr>
        <w:t xml:space="preserve"> </w:t>
      </w:r>
      <w:r w:rsidR="00FD2322" w:rsidRPr="00B925AC">
        <w:rPr>
          <w:rFonts w:ascii="Times New Roman" w:hAnsi="Times New Roman"/>
        </w:rPr>
        <w:t xml:space="preserve">Even politicians intent on switching teams wish to avoid the </w:t>
      </w:r>
      <w:r w:rsidR="0053005A" w:rsidRPr="00B925AC">
        <w:rPr>
          <w:rFonts w:ascii="Times New Roman" w:hAnsi="Times New Roman"/>
        </w:rPr>
        <w:t>impression they have switched ideals.</w:t>
      </w:r>
    </w:p>
    <w:p w14:paraId="4FBB62BC" w14:textId="50AC2B2F" w:rsidR="00477DB5" w:rsidRPr="00B925AC" w:rsidRDefault="00477DB5" w:rsidP="000B4F80">
      <w:pPr>
        <w:rPr>
          <w:rFonts w:ascii="Times New Roman" w:hAnsi="Times New Roman"/>
        </w:rPr>
      </w:pPr>
      <w:r w:rsidRPr="00B925AC">
        <w:rPr>
          <w:rFonts w:ascii="Times New Roman" w:hAnsi="Times New Roman"/>
          <w:i/>
          <w:iCs/>
        </w:rPr>
        <w:t>Open texture</w:t>
      </w:r>
      <w:r w:rsidRPr="00B925AC">
        <w:rPr>
          <w:rFonts w:ascii="Times New Roman" w:hAnsi="Times New Roman"/>
        </w:rPr>
        <w:t>.</w:t>
      </w:r>
      <w:r w:rsidR="0004779F" w:rsidRPr="00B925AC">
        <w:rPr>
          <w:rFonts w:ascii="Times New Roman" w:hAnsi="Times New Roman"/>
        </w:rPr>
        <w:t xml:space="preserve">— Another way for a decision maker to flip-flop, aside from merely ignoring a previously articulated principle, is for the decision maker to </w:t>
      </w:r>
      <w:r w:rsidR="00660519" w:rsidRPr="00B925AC">
        <w:rPr>
          <w:rFonts w:ascii="Times New Roman" w:hAnsi="Times New Roman"/>
        </w:rPr>
        <w:t>find some ambiguity in their articulated principles that justifies the</w:t>
      </w:r>
      <w:r w:rsidR="00322B30" w:rsidRPr="00B925AC">
        <w:rPr>
          <w:rFonts w:ascii="Times New Roman" w:hAnsi="Times New Roman"/>
        </w:rPr>
        <w:t xml:space="preserve">ir new position. </w:t>
      </w:r>
      <w:r w:rsidR="00E37EA5" w:rsidRPr="00B925AC">
        <w:rPr>
          <w:rFonts w:ascii="Times New Roman" w:hAnsi="Times New Roman"/>
        </w:rPr>
        <w:t xml:space="preserve">I will call this </w:t>
      </w:r>
      <w:r w:rsidR="00476C9E" w:rsidRPr="00B925AC">
        <w:rPr>
          <w:rFonts w:ascii="Times New Roman" w:hAnsi="Times New Roman"/>
        </w:rPr>
        <w:t xml:space="preserve">the </w:t>
      </w:r>
      <w:r w:rsidR="00E37EA5" w:rsidRPr="00B925AC">
        <w:rPr>
          <w:rFonts w:ascii="Times New Roman" w:hAnsi="Times New Roman"/>
        </w:rPr>
        <w:t xml:space="preserve">problem of </w:t>
      </w:r>
      <w:r w:rsidR="002C789C" w:rsidRPr="00B925AC">
        <w:rPr>
          <w:rFonts w:ascii="Times New Roman" w:hAnsi="Times New Roman"/>
        </w:rPr>
        <w:t>“open texture.</w:t>
      </w:r>
      <w:r w:rsidR="00AE4753" w:rsidRPr="00B925AC">
        <w:rPr>
          <w:rFonts w:ascii="Times New Roman" w:hAnsi="Times New Roman"/>
        </w:rPr>
        <w:t>”</w:t>
      </w:r>
      <w:r w:rsidR="002C789C" w:rsidRPr="00B925AC">
        <w:rPr>
          <w:rStyle w:val="FootnoteReference"/>
          <w:rFonts w:ascii="Times New Roman" w:hAnsi="Times New Roman"/>
        </w:rPr>
        <w:footnoteReference w:id="105"/>
      </w:r>
      <w:r w:rsidR="002C789C" w:rsidRPr="00B925AC">
        <w:rPr>
          <w:rFonts w:ascii="Times New Roman" w:hAnsi="Times New Roman"/>
        </w:rPr>
        <w:t xml:space="preserve"> The principles embodied in precedent will often admit of more than one answer to whatever question a court must answer.</w:t>
      </w:r>
      <w:r w:rsidR="007C37FC" w:rsidRPr="00B925AC">
        <w:rPr>
          <w:rStyle w:val="FootnoteReference"/>
          <w:rFonts w:ascii="Times New Roman" w:hAnsi="Times New Roman"/>
        </w:rPr>
        <w:footnoteReference w:id="106"/>
      </w:r>
      <w:r w:rsidR="002C789C" w:rsidRPr="00B925AC">
        <w:rPr>
          <w:rFonts w:ascii="Times New Roman" w:hAnsi="Times New Roman"/>
        </w:rPr>
        <w:t xml:space="preserve"> This allows </w:t>
      </w:r>
      <w:r w:rsidR="008F5EDE" w:rsidRPr="00B925AC">
        <w:rPr>
          <w:rFonts w:ascii="Times New Roman" w:hAnsi="Times New Roman"/>
        </w:rPr>
        <w:t>decision makers</w:t>
      </w:r>
      <w:r w:rsidR="002C789C" w:rsidRPr="00B925AC">
        <w:rPr>
          <w:rFonts w:ascii="Times New Roman" w:hAnsi="Times New Roman"/>
        </w:rPr>
        <w:t xml:space="preserve"> to interpret existing precedents in ways that change the law substantially without anybody having to admit that a precedent has been overturned. It also allows </w:t>
      </w:r>
      <w:r w:rsidR="000B601D" w:rsidRPr="00B925AC">
        <w:rPr>
          <w:rFonts w:ascii="Times New Roman" w:hAnsi="Times New Roman"/>
        </w:rPr>
        <w:t>them</w:t>
      </w:r>
      <w:r w:rsidR="002C789C" w:rsidRPr="00B925AC">
        <w:rPr>
          <w:rFonts w:ascii="Times New Roman" w:hAnsi="Times New Roman"/>
        </w:rPr>
        <w:t xml:space="preserve"> to </w:t>
      </w:r>
      <w:r w:rsidR="00A06FB5" w:rsidRPr="00B925AC">
        <w:rPr>
          <w:rFonts w:ascii="Times New Roman" w:hAnsi="Times New Roman"/>
        </w:rPr>
        <w:t xml:space="preserve">conclude that a competing principle </w:t>
      </w:r>
      <w:r w:rsidR="000243BE" w:rsidRPr="00B925AC">
        <w:rPr>
          <w:rFonts w:ascii="Times New Roman" w:hAnsi="Times New Roman"/>
        </w:rPr>
        <w:t xml:space="preserve">supersedes whatever principle they wish to ignore, on the theory that the superseded principle simply is not clear about all implied </w:t>
      </w:r>
      <w:r w:rsidR="00D41478" w:rsidRPr="00B925AC">
        <w:rPr>
          <w:rFonts w:ascii="Times New Roman" w:hAnsi="Times New Roman"/>
        </w:rPr>
        <w:t>exceptions.</w:t>
      </w:r>
      <w:r w:rsidR="006C430B" w:rsidRPr="00B925AC">
        <w:rPr>
          <w:rStyle w:val="FootnoteReference"/>
          <w:rFonts w:ascii="Times New Roman" w:hAnsi="Times New Roman"/>
        </w:rPr>
        <w:footnoteReference w:id="107"/>
      </w:r>
    </w:p>
    <w:p w14:paraId="3BC61901" w14:textId="2CF5E785" w:rsidR="00150C76" w:rsidRPr="00B925AC" w:rsidRDefault="00150C76" w:rsidP="000B4F80">
      <w:pPr>
        <w:rPr>
          <w:rFonts w:ascii="Times New Roman" w:hAnsi="Times New Roman"/>
        </w:rPr>
      </w:pPr>
      <w:r w:rsidRPr="00B925AC">
        <w:rPr>
          <w:rFonts w:ascii="Times New Roman" w:hAnsi="Times New Roman"/>
        </w:rPr>
        <w:lastRenderedPageBreak/>
        <w:t xml:space="preserve">So, </w:t>
      </w:r>
      <w:r w:rsidR="009C1BC6" w:rsidRPr="00B925AC">
        <w:rPr>
          <w:rFonts w:ascii="Times New Roman" w:hAnsi="Times New Roman"/>
        </w:rPr>
        <w:t xml:space="preserve">do MCs or judges face </w:t>
      </w:r>
      <w:r w:rsidR="00ED71FE" w:rsidRPr="00B925AC">
        <w:rPr>
          <w:rFonts w:ascii="Times New Roman" w:hAnsi="Times New Roman"/>
        </w:rPr>
        <w:t>less</w:t>
      </w:r>
      <w:r w:rsidR="009C1BC6" w:rsidRPr="00B925AC">
        <w:rPr>
          <w:rFonts w:ascii="Times New Roman" w:hAnsi="Times New Roman"/>
        </w:rPr>
        <w:t xml:space="preserve"> ope</w:t>
      </w:r>
      <w:r w:rsidR="00C013FF" w:rsidRPr="00B925AC">
        <w:rPr>
          <w:rFonts w:ascii="Times New Roman" w:hAnsi="Times New Roman"/>
        </w:rPr>
        <w:t>n texture</w:t>
      </w:r>
      <w:r w:rsidRPr="00B925AC">
        <w:rPr>
          <w:rFonts w:ascii="Times New Roman" w:hAnsi="Times New Roman"/>
        </w:rPr>
        <w:t>?</w:t>
      </w:r>
      <w:r w:rsidR="00905490" w:rsidRPr="00B925AC">
        <w:rPr>
          <w:rStyle w:val="FootnoteReference"/>
          <w:rFonts w:ascii="Times New Roman" w:hAnsi="Times New Roman"/>
        </w:rPr>
        <w:footnoteReference w:id="108"/>
      </w:r>
    </w:p>
    <w:p w14:paraId="66D70E15" w14:textId="52C577F4" w:rsidR="00021EA2" w:rsidRPr="00B925AC" w:rsidRDefault="00021EA2" w:rsidP="00021EA2">
      <w:pPr>
        <w:rPr>
          <w:rFonts w:ascii="Times New Roman" w:hAnsi="Times New Roman"/>
        </w:rPr>
      </w:pPr>
      <w:r w:rsidRPr="00B925AC">
        <w:rPr>
          <w:rFonts w:ascii="Times New Roman" w:hAnsi="Times New Roman"/>
        </w:rPr>
        <w:t>The most obvious argument that judges face less open texture stems from the fact that they write long opinions</w:t>
      </w:r>
      <w:r w:rsidR="00751BC6" w:rsidRPr="00B925AC">
        <w:rPr>
          <w:rFonts w:ascii="Times New Roman" w:hAnsi="Times New Roman"/>
        </w:rPr>
        <w:t xml:space="preserve">, which </w:t>
      </w:r>
      <w:r w:rsidRPr="00B925AC">
        <w:rPr>
          <w:rFonts w:ascii="Times New Roman" w:hAnsi="Times New Roman"/>
        </w:rPr>
        <w:t>might be expected to spell out their principles with more clarity and specificity than a congressional press release. But it is not clear that all of those additional words eliminate open texture rather than multiplying it. It may be that any position can find some support in all of those multifarious arguments, where simpler rules might have given competing interpreters less to work with. Philip Bobbitt has documented the many different “modalities,</w:t>
      </w:r>
      <w:r w:rsidR="00D3732B" w:rsidRPr="00B925AC">
        <w:rPr>
          <w:rFonts w:ascii="Times New Roman" w:hAnsi="Times New Roman"/>
        </w:rPr>
        <w:t>”</w:t>
      </w:r>
      <w:r w:rsidRPr="00B925AC">
        <w:rPr>
          <w:rFonts w:ascii="Times New Roman" w:hAnsi="Times New Roman"/>
        </w:rPr>
        <w:t xml:space="preserve"> or types of reasoning, that judges can use to make legitimate legal arguments.</w:t>
      </w:r>
      <w:r w:rsidR="00BD1F67" w:rsidRPr="00B925AC">
        <w:rPr>
          <w:rStyle w:val="FootnoteReference"/>
          <w:rFonts w:ascii="Times New Roman" w:hAnsi="Times New Roman"/>
        </w:rPr>
        <w:footnoteReference w:id="109"/>
      </w:r>
      <w:r w:rsidRPr="00B925AC">
        <w:rPr>
          <w:rFonts w:ascii="Times New Roman" w:hAnsi="Times New Roman"/>
        </w:rPr>
        <w:t xml:space="preserve"> He has also noted that (1) judges often use more than one modality in a single opinion</w:t>
      </w:r>
      <w:r w:rsidR="009A00CD" w:rsidRPr="00B925AC">
        <w:rPr>
          <w:rStyle w:val="FootnoteReference"/>
          <w:rFonts w:ascii="Times New Roman" w:hAnsi="Times New Roman"/>
        </w:rPr>
        <w:footnoteReference w:id="110"/>
      </w:r>
      <w:r w:rsidRPr="00B925AC">
        <w:rPr>
          <w:rFonts w:ascii="Times New Roman" w:hAnsi="Times New Roman"/>
        </w:rPr>
        <w:t xml:space="preserve"> and (2) the existence of multiple modalities makes it possible to reach very different conclusions on contested questions.</w:t>
      </w:r>
      <w:r w:rsidR="00022CC2" w:rsidRPr="00B925AC">
        <w:rPr>
          <w:rStyle w:val="FootnoteReference"/>
          <w:rFonts w:ascii="Times New Roman" w:hAnsi="Times New Roman"/>
        </w:rPr>
        <w:footnoteReference w:id="111"/>
      </w:r>
      <w:r w:rsidRPr="00B925AC">
        <w:rPr>
          <w:rFonts w:ascii="Times New Roman" w:hAnsi="Times New Roman"/>
        </w:rPr>
        <w:t xml:space="preserve"> If justices show their skill by relying on a variety of complicated methodologies, they may only be increasing the law’s uncertainty. Indeed, Stefanie Lundquist and Frank Cross have shown that, in the federal circuit courts, the accumulation of relevant precedent first constrains judges from acting on their ideological priors and then liberates them to do so more freely.</w:t>
      </w:r>
      <w:r w:rsidR="00173204" w:rsidRPr="00B925AC">
        <w:rPr>
          <w:rStyle w:val="FootnoteReference"/>
          <w:rFonts w:ascii="Times New Roman" w:hAnsi="Times New Roman"/>
        </w:rPr>
        <w:footnoteReference w:id="112"/>
      </w:r>
      <w:r w:rsidRPr="00B925AC">
        <w:rPr>
          <w:rFonts w:ascii="Times New Roman" w:hAnsi="Times New Roman"/>
        </w:rPr>
        <w:t xml:space="preserve"> At some point, adding more words may add more open texture than it eliminates.</w:t>
      </w:r>
    </w:p>
    <w:p w14:paraId="63442294" w14:textId="01A1DF8B" w:rsidR="00021EA2" w:rsidRPr="00B925AC" w:rsidRDefault="00021EA2" w:rsidP="00021EA2">
      <w:pPr>
        <w:rPr>
          <w:rFonts w:ascii="Times New Roman" w:hAnsi="Times New Roman"/>
        </w:rPr>
      </w:pPr>
      <w:r w:rsidRPr="00B925AC">
        <w:rPr>
          <w:rFonts w:ascii="Times New Roman" w:hAnsi="Times New Roman"/>
        </w:rPr>
        <w:t>Moreover, the “precedents</w:t>
      </w:r>
      <w:r w:rsidR="00A87BF4" w:rsidRPr="00B925AC">
        <w:rPr>
          <w:rFonts w:ascii="Times New Roman" w:hAnsi="Times New Roman"/>
        </w:rPr>
        <w:t>”</w:t>
      </w:r>
      <w:r w:rsidRPr="00B925AC">
        <w:rPr>
          <w:rFonts w:ascii="Times New Roman" w:hAnsi="Times New Roman"/>
        </w:rPr>
        <w:t xml:space="preserve"> that bind MCs have something that judicial precedents lack. Both judicial and political precedents generally consist of statements made in the context of some previous controversy. They can be made to answer current questions only by some level of extrapolation. But MCs not only must contend with words written or spoken in the past; they must frequently contend with the individuals who spoke those words, or at least their institutional representatives. In 2006, Representative Lynn Westmoreland (R-GA) learned this </w:t>
      </w:r>
      <w:r w:rsidRPr="00B925AC">
        <w:rPr>
          <w:rFonts w:ascii="Times New Roman" w:hAnsi="Times New Roman"/>
        </w:rPr>
        <w:lastRenderedPageBreak/>
        <w:t>lesson the hard way. In a floor speech, Westmoreland used a quote from John Lewis to suggest that the Voting Rights Act was no longer necessary. Not only did Lewis come to the House floor to rebut Westmoreland’s claim</w:t>
      </w:r>
      <w:r w:rsidR="002620BD" w:rsidRPr="00B925AC">
        <w:rPr>
          <w:rFonts w:ascii="Times New Roman" w:hAnsi="Times New Roman"/>
        </w:rPr>
        <w:t>;</w:t>
      </w:r>
      <w:r w:rsidRPr="00B925AC">
        <w:rPr>
          <w:rFonts w:ascii="Times New Roman" w:hAnsi="Times New Roman"/>
        </w:rPr>
        <w:t xml:space="preserve"> he arrived with blown up photographs of himself being beaten at the famous Selma march for voting rights.</w:t>
      </w:r>
      <w:r w:rsidR="00FB35C1" w:rsidRPr="00B925AC">
        <w:rPr>
          <w:rStyle w:val="FootnoteReference"/>
          <w:rFonts w:ascii="Times New Roman" w:hAnsi="Times New Roman"/>
        </w:rPr>
        <w:footnoteReference w:id="113"/>
      </w:r>
    </w:p>
    <w:p w14:paraId="10AB2647" w14:textId="3B9FDE70" w:rsidR="00D70BF2" w:rsidRPr="00B925AC" w:rsidRDefault="00021EA2" w:rsidP="00D70BF2">
      <w:pPr>
        <w:rPr>
          <w:rFonts w:ascii="Times New Roman" w:hAnsi="Times New Roman"/>
        </w:rPr>
      </w:pPr>
      <w:r w:rsidRPr="00B925AC">
        <w:rPr>
          <w:rFonts w:ascii="Times New Roman" w:hAnsi="Times New Roman"/>
        </w:rPr>
        <w:t>As Westmoreland tacitly acknowledged by quoting Lewis, the statements of men like Lewis have become political precedents on the meaning of equal protection. This episode may have cost Westmoreland no more than some embarrassment, but to the degree to which Westmoreland and Lewis shared a coalition and a constituency, it could have had more</w:t>
      </w:r>
      <w:r w:rsidR="00D70BF2" w:rsidRPr="00B925AC">
        <w:rPr>
          <w:rFonts w:ascii="Times New Roman" w:hAnsi="Times New Roman"/>
        </w:rPr>
        <w:t xml:space="preserve"> significant political ramifications. It is hard to imagine a Democrat consistently battling John Lewis on the meaning of equal protection and getting away with it. Rep. Emanuel Celler, longtime chairman of the House Judiciary Committee</w:t>
      </w:r>
      <w:r w:rsidR="004C303D" w:rsidRPr="00B925AC">
        <w:rPr>
          <w:rFonts w:ascii="Times New Roman" w:hAnsi="Times New Roman"/>
        </w:rPr>
        <w:t xml:space="preserve"> – </w:t>
      </w:r>
      <w:r w:rsidR="00D70BF2" w:rsidRPr="00B925AC">
        <w:rPr>
          <w:rFonts w:ascii="Times New Roman" w:hAnsi="Times New Roman"/>
        </w:rPr>
        <w:t>a perch from which he helped lead the fight for the civil rights legislation of the 1960s</w:t>
      </w:r>
      <w:r w:rsidR="00F9562D" w:rsidRPr="00B925AC">
        <w:rPr>
          <w:rStyle w:val="FootnoteReference"/>
          <w:rFonts w:ascii="Times New Roman" w:hAnsi="Times New Roman"/>
        </w:rPr>
        <w:footnoteReference w:id="114"/>
      </w:r>
      <w:r w:rsidR="004C303D" w:rsidRPr="00B925AC">
        <w:rPr>
          <w:rFonts w:ascii="Times New Roman" w:hAnsi="Times New Roman"/>
        </w:rPr>
        <w:t xml:space="preserve"> </w:t>
      </w:r>
      <w:r w:rsidR="003954C4" w:rsidRPr="00B925AC">
        <w:rPr>
          <w:rFonts w:ascii="Times New Roman" w:hAnsi="Times New Roman"/>
        </w:rPr>
        <w:t xml:space="preserve">– </w:t>
      </w:r>
      <w:r w:rsidR="00D70BF2" w:rsidRPr="00B925AC">
        <w:rPr>
          <w:rFonts w:ascii="Times New Roman" w:hAnsi="Times New Roman"/>
        </w:rPr>
        <w:t>ultimately lost his seat after his opposition to the Equal Rights Amendment became an issue in the 1972 Democratic primary.</w:t>
      </w:r>
      <w:r w:rsidR="00AC25E1" w:rsidRPr="00B925AC">
        <w:rPr>
          <w:rStyle w:val="FootnoteReference"/>
          <w:rFonts w:ascii="Times New Roman" w:hAnsi="Times New Roman"/>
        </w:rPr>
        <w:footnoteReference w:id="115"/>
      </w:r>
      <w:r w:rsidR="00D70BF2" w:rsidRPr="00B925AC">
        <w:rPr>
          <w:rFonts w:ascii="Times New Roman" w:hAnsi="Times New Roman"/>
        </w:rPr>
        <w:t xml:space="preserve"> Even a legend of equal protection, not to mention a senior party leader, could not get too out of step with his coalition’s constitutional doctrine.</w:t>
      </w:r>
    </w:p>
    <w:p w14:paraId="33B3B18D" w14:textId="268CBEDB" w:rsidR="0085201B" w:rsidRPr="00B925AC" w:rsidRDefault="00D70BF2" w:rsidP="007F3B80">
      <w:pPr>
        <w:rPr>
          <w:rFonts w:ascii="Times New Roman" w:hAnsi="Times New Roman"/>
        </w:rPr>
      </w:pPr>
      <w:r w:rsidRPr="00B925AC">
        <w:rPr>
          <w:rFonts w:ascii="Times New Roman" w:hAnsi="Times New Roman"/>
        </w:rPr>
        <w:t>Of course, John Lewis will rarely be waiting in the wings to define equal protection. Still, groups like the NAACP will often have an outsized ability to characterize constitutional principles and apply them to the day’s battles. Justices interpreting their own written opinions appear to get no such deference.</w:t>
      </w:r>
      <w:r w:rsidR="007B7946" w:rsidRPr="00B925AC">
        <w:rPr>
          <w:rStyle w:val="FootnoteReference"/>
          <w:rFonts w:ascii="Times New Roman" w:hAnsi="Times New Roman"/>
        </w:rPr>
        <w:footnoteReference w:id="116"/>
      </w:r>
    </w:p>
    <w:p w14:paraId="1FB396C0" w14:textId="42F39867" w:rsidR="0021792A" w:rsidRPr="00B925AC" w:rsidRDefault="00DC7D40" w:rsidP="007F3B80">
      <w:pPr>
        <w:rPr>
          <w:rFonts w:ascii="Times New Roman" w:hAnsi="Times New Roman"/>
        </w:rPr>
      </w:pPr>
      <w:r w:rsidRPr="00B925AC">
        <w:rPr>
          <w:rFonts w:ascii="Times New Roman" w:hAnsi="Times New Roman"/>
          <w:i/>
          <w:iCs/>
        </w:rPr>
        <w:t>Ideological constraint.—</w:t>
      </w:r>
      <w:r w:rsidRPr="00B925AC">
        <w:rPr>
          <w:rFonts w:ascii="Times New Roman" w:hAnsi="Times New Roman"/>
        </w:rPr>
        <w:t xml:space="preserve">The discussion thus far </w:t>
      </w:r>
      <w:r w:rsidR="004913C1" w:rsidRPr="00B925AC">
        <w:rPr>
          <w:rFonts w:ascii="Times New Roman" w:hAnsi="Times New Roman"/>
        </w:rPr>
        <w:t xml:space="preserve">relies on a fairly straightforward conception of “constraint.” I have asked </w:t>
      </w:r>
      <w:r w:rsidR="00AF7C99" w:rsidRPr="00B925AC">
        <w:rPr>
          <w:rFonts w:ascii="Times New Roman" w:hAnsi="Times New Roman"/>
        </w:rPr>
        <w:t xml:space="preserve">why politicians who wish to depart from their expressed principles might nonetheless decline to do so. </w:t>
      </w:r>
      <w:r w:rsidR="00AF7C99" w:rsidRPr="00B925AC">
        <w:rPr>
          <w:rFonts w:ascii="Times New Roman" w:hAnsi="Times New Roman"/>
        </w:rPr>
        <w:lastRenderedPageBreak/>
        <w:t xml:space="preserve">However, </w:t>
      </w:r>
      <w:r w:rsidR="000E1C80" w:rsidRPr="00B925AC">
        <w:rPr>
          <w:rFonts w:ascii="Times New Roman" w:hAnsi="Times New Roman"/>
        </w:rPr>
        <w:t>there is another way to think about “constraint” that is also relevant to this discussion.</w:t>
      </w:r>
    </w:p>
    <w:p w14:paraId="760145EA" w14:textId="2B7F5352" w:rsidR="00571058" w:rsidRPr="00B925AC" w:rsidRDefault="00571058" w:rsidP="007F3B80">
      <w:pPr>
        <w:rPr>
          <w:rFonts w:ascii="Times New Roman" w:hAnsi="Times New Roman"/>
        </w:rPr>
      </w:pPr>
      <w:r w:rsidRPr="00B925AC">
        <w:rPr>
          <w:rFonts w:ascii="Times New Roman" w:hAnsi="Times New Roman"/>
        </w:rPr>
        <w:t xml:space="preserve">In a pioneering 1960 work, </w:t>
      </w:r>
      <w:r w:rsidR="00F7045E" w:rsidRPr="00B925AC">
        <w:rPr>
          <w:rFonts w:ascii="Times New Roman" w:hAnsi="Times New Roman"/>
        </w:rPr>
        <w:t>Philip Converse defined ideological constraint as a conventional understanding of “what goes with what” in the world of ideas.</w:t>
      </w:r>
      <w:bookmarkStart w:id="17" w:name="_Ref186102463"/>
      <w:r w:rsidR="00F7045E" w:rsidRPr="00B925AC">
        <w:rPr>
          <w:rStyle w:val="FootnoteReference"/>
          <w:rFonts w:ascii="Times New Roman" w:hAnsi="Times New Roman"/>
        </w:rPr>
        <w:footnoteReference w:id="117"/>
      </w:r>
      <w:bookmarkEnd w:id="17"/>
      <w:r w:rsidR="007E0675" w:rsidRPr="00B925AC">
        <w:rPr>
          <w:rFonts w:ascii="Times New Roman" w:hAnsi="Times New Roman"/>
        </w:rPr>
        <w:t xml:space="preserve"> </w:t>
      </w:r>
      <w:r w:rsidR="00E900BE" w:rsidRPr="00B925AC">
        <w:rPr>
          <w:rFonts w:ascii="Times New Roman" w:hAnsi="Times New Roman"/>
        </w:rPr>
        <w:t xml:space="preserve">When a liberal assumes that they should support abortion rights because they </w:t>
      </w:r>
      <w:r w:rsidR="005A267C" w:rsidRPr="00B925AC">
        <w:rPr>
          <w:rFonts w:ascii="Times New Roman" w:hAnsi="Times New Roman"/>
        </w:rPr>
        <w:t xml:space="preserve">support high marginal tax rates, they are responding to ideological constraint. </w:t>
      </w:r>
      <w:r w:rsidR="007A5F7B" w:rsidRPr="00B925AC">
        <w:rPr>
          <w:rFonts w:ascii="Times New Roman" w:hAnsi="Times New Roman"/>
        </w:rPr>
        <w:t>A system of ideological constraints is not purely a product of logic.</w:t>
      </w:r>
      <w:r w:rsidR="007864D0" w:rsidRPr="00B925AC">
        <w:rPr>
          <w:rFonts w:ascii="Times New Roman" w:hAnsi="Times New Roman"/>
        </w:rPr>
        <w:t xml:space="preserve"> Logically, a liberal could support abortion rights and oppose taxes, both on libertarian grounds. </w:t>
      </w:r>
      <w:r w:rsidR="00201795" w:rsidRPr="00B925AC">
        <w:rPr>
          <w:rFonts w:ascii="Times New Roman" w:hAnsi="Times New Roman"/>
        </w:rPr>
        <w:t>The Republican Party of the 19</w:t>
      </w:r>
      <w:r w:rsidR="00201795" w:rsidRPr="00B925AC">
        <w:rPr>
          <w:rFonts w:ascii="Times New Roman" w:hAnsi="Times New Roman"/>
          <w:vertAlign w:val="superscript"/>
        </w:rPr>
        <w:t>th</w:t>
      </w:r>
      <w:r w:rsidR="00201795" w:rsidRPr="00B925AC">
        <w:rPr>
          <w:rFonts w:ascii="Times New Roman" w:hAnsi="Times New Roman"/>
        </w:rPr>
        <w:t xml:space="preserve"> Century married support for civil rights with </w:t>
      </w:r>
      <w:r w:rsidR="0059370D" w:rsidRPr="00B925AC">
        <w:rPr>
          <w:rFonts w:ascii="Times New Roman" w:hAnsi="Times New Roman"/>
        </w:rPr>
        <w:t>pro-business policies in a platform of “free soil, free labor, free men</w:t>
      </w:r>
      <w:r w:rsidR="00825226" w:rsidRPr="00B925AC">
        <w:rPr>
          <w:rFonts w:ascii="Times New Roman" w:hAnsi="Times New Roman"/>
        </w:rPr>
        <w:t>,</w:t>
      </w:r>
      <w:r w:rsidR="00484D99" w:rsidRPr="00B925AC">
        <w:rPr>
          <w:rFonts w:ascii="Times New Roman" w:hAnsi="Times New Roman"/>
        </w:rPr>
        <w:t>”</w:t>
      </w:r>
      <w:bookmarkStart w:id="18" w:name="_Ref186458868"/>
      <w:r w:rsidR="00484D99" w:rsidRPr="00B925AC">
        <w:rPr>
          <w:rStyle w:val="FootnoteReference"/>
          <w:rFonts w:ascii="Times New Roman" w:hAnsi="Times New Roman"/>
        </w:rPr>
        <w:footnoteReference w:id="118"/>
      </w:r>
      <w:bookmarkEnd w:id="18"/>
      <w:r w:rsidR="00825226" w:rsidRPr="00B925AC">
        <w:rPr>
          <w:rFonts w:ascii="Times New Roman" w:hAnsi="Times New Roman"/>
        </w:rPr>
        <w:t xml:space="preserve"> just as 20</w:t>
      </w:r>
      <w:r w:rsidR="00825226" w:rsidRPr="00B925AC">
        <w:rPr>
          <w:rFonts w:ascii="Times New Roman" w:hAnsi="Times New Roman"/>
          <w:vertAlign w:val="superscript"/>
        </w:rPr>
        <w:t>th</w:t>
      </w:r>
      <w:r w:rsidR="00825226" w:rsidRPr="00B925AC">
        <w:rPr>
          <w:rFonts w:ascii="Times New Roman" w:hAnsi="Times New Roman"/>
        </w:rPr>
        <w:t xml:space="preserve"> Century Democrats married civil rights policies to</w:t>
      </w:r>
      <w:r w:rsidR="00484D99" w:rsidRPr="00B925AC">
        <w:rPr>
          <w:rFonts w:ascii="Times New Roman" w:hAnsi="Times New Roman"/>
        </w:rPr>
        <w:t xml:space="preserve"> an ideology skeptical of business</w:t>
      </w:r>
      <w:r w:rsidR="0059370D" w:rsidRPr="00B925AC">
        <w:rPr>
          <w:rFonts w:ascii="Times New Roman" w:hAnsi="Times New Roman"/>
        </w:rPr>
        <w:t>.</w:t>
      </w:r>
      <w:r w:rsidR="00622D2E" w:rsidRPr="00B925AC">
        <w:rPr>
          <w:rStyle w:val="FootnoteReference"/>
          <w:rFonts w:ascii="Times New Roman" w:hAnsi="Times New Roman"/>
        </w:rPr>
        <w:footnoteReference w:id="119"/>
      </w:r>
      <w:r w:rsidR="0059370D" w:rsidRPr="00B925AC">
        <w:rPr>
          <w:rFonts w:ascii="Times New Roman" w:hAnsi="Times New Roman"/>
        </w:rPr>
        <w:t xml:space="preserve"> </w:t>
      </w:r>
      <w:r w:rsidR="00201795" w:rsidRPr="00B925AC">
        <w:rPr>
          <w:rFonts w:ascii="Times New Roman" w:hAnsi="Times New Roman"/>
        </w:rPr>
        <w:t>However, some combination of historical circumstance</w:t>
      </w:r>
      <w:r w:rsidR="00A22A0A" w:rsidRPr="00B925AC">
        <w:rPr>
          <w:rFonts w:ascii="Times New Roman" w:hAnsi="Times New Roman"/>
        </w:rPr>
        <w:t xml:space="preserve"> and intellectual effort may produce a system of </w:t>
      </w:r>
      <w:r w:rsidR="001A1F7B" w:rsidRPr="00B925AC">
        <w:rPr>
          <w:rFonts w:ascii="Times New Roman" w:hAnsi="Times New Roman"/>
        </w:rPr>
        <w:t xml:space="preserve">ideological constraint </w:t>
      </w:r>
      <w:r w:rsidR="00F963C5" w:rsidRPr="00B925AC">
        <w:rPr>
          <w:rFonts w:ascii="Times New Roman" w:hAnsi="Times New Roman"/>
        </w:rPr>
        <w:t>that seems, to those bound by it, to be merely a</w:t>
      </w:r>
      <w:r w:rsidR="00A13A0C" w:rsidRPr="00B925AC">
        <w:rPr>
          <w:rFonts w:ascii="Times New Roman" w:hAnsi="Times New Roman"/>
        </w:rPr>
        <w:t xml:space="preserve">n expression of the state of the world. </w:t>
      </w:r>
      <w:r w:rsidR="00D63024" w:rsidRPr="00B925AC">
        <w:rPr>
          <w:rFonts w:ascii="Times New Roman" w:hAnsi="Times New Roman"/>
        </w:rPr>
        <w:t xml:space="preserve">For citizens who care enough about politics, the view that certain policy preferences naturally go with others </w:t>
      </w:r>
      <w:r w:rsidR="007E0259" w:rsidRPr="00B925AC">
        <w:rPr>
          <w:rFonts w:ascii="Times New Roman" w:hAnsi="Times New Roman"/>
        </w:rPr>
        <w:t>is simply the water in which we all swim.</w:t>
      </w:r>
      <w:r w:rsidR="00EC68C1" w:rsidRPr="00B925AC">
        <w:rPr>
          <w:rStyle w:val="FootnoteReference"/>
          <w:rFonts w:ascii="Times New Roman" w:hAnsi="Times New Roman"/>
        </w:rPr>
        <w:footnoteReference w:id="120"/>
      </w:r>
      <w:r w:rsidR="007E0259" w:rsidRPr="00B925AC">
        <w:rPr>
          <w:rFonts w:ascii="Times New Roman" w:hAnsi="Times New Roman"/>
        </w:rPr>
        <w:t xml:space="preserve"> And it takes a very sophisticated fish to know it</w:t>
      </w:r>
      <w:r w:rsidR="004C2FC1" w:rsidRPr="00B925AC">
        <w:rPr>
          <w:rFonts w:ascii="Times New Roman" w:hAnsi="Times New Roman"/>
        </w:rPr>
        <w:t>’</w:t>
      </w:r>
      <w:r w:rsidR="007E0259" w:rsidRPr="00B925AC">
        <w:rPr>
          <w:rFonts w:ascii="Times New Roman" w:hAnsi="Times New Roman"/>
        </w:rPr>
        <w:t>s wet.</w:t>
      </w:r>
    </w:p>
    <w:p w14:paraId="307B8E42" w14:textId="0035B063" w:rsidR="0085201B" w:rsidRPr="00B925AC" w:rsidRDefault="00FE27F4" w:rsidP="004A4C3F">
      <w:pPr>
        <w:rPr>
          <w:rFonts w:ascii="Times New Roman" w:hAnsi="Times New Roman"/>
        </w:rPr>
      </w:pPr>
      <w:r w:rsidRPr="00B925AC">
        <w:rPr>
          <w:rFonts w:ascii="Times New Roman" w:hAnsi="Times New Roman"/>
        </w:rPr>
        <w:t xml:space="preserve">If we think of constraint in Converse’s sense, </w:t>
      </w:r>
      <w:r w:rsidR="00AB42C2" w:rsidRPr="00B925AC">
        <w:rPr>
          <w:rFonts w:ascii="Times New Roman" w:hAnsi="Times New Roman"/>
        </w:rPr>
        <w:t xml:space="preserve">we can see a different mechanism for </w:t>
      </w:r>
      <w:r w:rsidR="00556E1E" w:rsidRPr="00B925AC">
        <w:rPr>
          <w:rFonts w:ascii="Times New Roman" w:hAnsi="Times New Roman"/>
        </w:rPr>
        <w:t xml:space="preserve">making Congress a forum of principle. </w:t>
      </w:r>
      <w:r w:rsidR="00760A09" w:rsidRPr="00B925AC">
        <w:rPr>
          <w:rFonts w:ascii="Times New Roman" w:hAnsi="Times New Roman"/>
        </w:rPr>
        <w:t xml:space="preserve">Principle articulation by politicians, including MCs and their allies, helps to form the system of ideological constraint. </w:t>
      </w:r>
      <w:r w:rsidR="00F704FA" w:rsidRPr="00B925AC">
        <w:rPr>
          <w:rFonts w:ascii="Times New Roman" w:hAnsi="Times New Roman"/>
        </w:rPr>
        <w:t xml:space="preserve">When MCs </w:t>
      </w:r>
      <w:r w:rsidR="00F11878" w:rsidRPr="00B925AC">
        <w:rPr>
          <w:rFonts w:ascii="Times New Roman" w:hAnsi="Times New Roman"/>
        </w:rPr>
        <w:t xml:space="preserve">explain their position on criminal justice reform as </w:t>
      </w:r>
      <w:r w:rsidR="0032442C" w:rsidRPr="00B925AC">
        <w:rPr>
          <w:rFonts w:ascii="Times New Roman" w:hAnsi="Times New Roman"/>
        </w:rPr>
        <w:t xml:space="preserve">dictated by their support for civil rights, or when they explain their position </w:t>
      </w:r>
      <w:r w:rsidR="003C040D" w:rsidRPr="00B925AC">
        <w:rPr>
          <w:rFonts w:ascii="Times New Roman" w:hAnsi="Times New Roman"/>
        </w:rPr>
        <w:t xml:space="preserve">against civil rights legislation in terms of their opposition to federal power, they are both shaping and reinforcing </w:t>
      </w:r>
      <w:r w:rsidR="00E30B0C" w:rsidRPr="00B925AC">
        <w:rPr>
          <w:rFonts w:ascii="Times New Roman" w:hAnsi="Times New Roman"/>
        </w:rPr>
        <w:t>society’s sense of “what goes with what.”</w:t>
      </w:r>
      <w:r w:rsidR="00641B6F" w:rsidRPr="00B925AC">
        <w:rPr>
          <w:rFonts w:ascii="Times New Roman" w:hAnsi="Times New Roman"/>
        </w:rPr>
        <w:t xml:space="preserve"> </w:t>
      </w:r>
      <w:r w:rsidR="00A01643" w:rsidRPr="00B925AC">
        <w:rPr>
          <w:rFonts w:ascii="Times New Roman" w:hAnsi="Times New Roman"/>
        </w:rPr>
        <w:t xml:space="preserve">And when they </w:t>
      </w:r>
      <w:r w:rsidR="00DE45D5" w:rsidRPr="00B925AC">
        <w:rPr>
          <w:rFonts w:ascii="Times New Roman" w:hAnsi="Times New Roman"/>
        </w:rPr>
        <w:t xml:space="preserve">decide how they want to act – not just how they feel compelled to act – they are likely to consult that same logic. </w:t>
      </w:r>
      <w:r w:rsidR="00253BD8" w:rsidRPr="00B925AC">
        <w:rPr>
          <w:rFonts w:ascii="Times New Roman" w:hAnsi="Times New Roman"/>
        </w:rPr>
        <w:t xml:space="preserve">In the end, </w:t>
      </w:r>
      <w:r w:rsidR="00B84B73" w:rsidRPr="00B925AC">
        <w:rPr>
          <w:rFonts w:ascii="Times New Roman" w:hAnsi="Times New Roman"/>
        </w:rPr>
        <w:t>t</w:t>
      </w:r>
      <w:r w:rsidR="00253BD8" w:rsidRPr="00B925AC">
        <w:rPr>
          <w:rFonts w:ascii="Times New Roman" w:hAnsi="Times New Roman"/>
        </w:rPr>
        <w:t xml:space="preserve">heir reasoning </w:t>
      </w:r>
      <w:r w:rsidR="00B84B73" w:rsidRPr="00B925AC">
        <w:rPr>
          <w:rFonts w:ascii="Times New Roman" w:hAnsi="Times New Roman"/>
        </w:rPr>
        <w:t xml:space="preserve">may be </w:t>
      </w:r>
      <w:r w:rsidR="00253BD8" w:rsidRPr="00B925AC">
        <w:rPr>
          <w:rFonts w:ascii="Times New Roman" w:hAnsi="Times New Roman"/>
        </w:rPr>
        <w:t xml:space="preserve">so shaped by </w:t>
      </w:r>
      <w:r w:rsidR="00B84B73" w:rsidRPr="00B925AC">
        <w:rPr>
          <w:rFonts w:ascii="Times New Roman" w:hAnsi="Times New Roman"/>
        </w:rPr>
        <w:t>“ideological constraint” that they act as if they are perfectly constrained without feeling constrained in the least.</w:t>
      </w:r>
      <w:r w:rsidR="001A00FA" w:rsidRPr="00B925AC">
        <w:rPr>
          <w:rFonts w:ascii="Times New Roman" w:hAnsi="Times New Roman"/>
        </w:rPr>
        <w:t xml:space="preserve"> A Congress of MCs who think and act in this way will operate as a forum of principle – following the articulated values of its members – </w:t>
      </w:r>
      <w:r w:rsidR="001A00FA" w:rsidRPr="00B925AC">
        <w:rPr>
          <w:rFonts w:ascii="Times New Roman" w:hAnsi="Times New Roman"/>
        </w:rPr>
        <w:lastRenderedPageBreak/>
        <w:t>without any need for conflict or punishment.</w:t>
      </w:r>
      <w:r w:rsidR="003C0B3A" w:rsidRPr="00B925AC">
        <w:rPr>
          <w:rStyle w:val="FootnoteReference"/>
          <w:rFonts w:ascii="Times New Roman" w:hAnsi="Times New Roman"/>
        </w:rPr>
        <w:footnoteReference w:id="121"/>
      </w:r>
    </w:p>
    <w:p w14:paraId="64F5893C" w14:textId="4313BE10" w:rsidR="00891DAF" w:rsidRPr="00B925AC" w:rsidRDefault="00E72E21" w:rsidP="00891DAF">
      <w:pPr>
        <w:pStyle w:val="Heading2"/>
        <w:rPr>
          <w:rFonts w:ascii="Times New Roman" w:hAnsi="Times New Roman"/>
        </w:rPr>
      </w:pPr>
      <w:r w:rsidRPr="00B925AC">
        <w:rPr>
          <w:rFonts w:ascii="Times New Roman" w:hAnsi="Times New Roman"/>
        </w:rPr>
        <w:t>The</w:t>
      </w:r>
      <w:r w:rsidRPr="00B925AC">
        <w:rPr>
          <w:rFonts w:ascii="Times New Roman" w:hAnsi="Times New Roman"/>
          <w:spacing w:val="-4"/>
        </w:rPr>
        <w:t xml:space="preserve"> </w:t>
      </w:r>
      <w:r w:rsidRPr="00B925AC">
        <w:rPr>
          <w:rFonts w:ascii="Times New Roman" w:hAnsi="Times New Roman"/>
        </w:rPr>
        <w:t>Dynamics</w:t>
      </w:r>
      <w:r w:rsidRPr="00B925AC">
        <w:rPr>
          <w:rFonts w:ascii="Times New Roman" w:hAnsi="Times New Roman"/>
          <w:spacing w:val="-4"/>
        </w:rPr>
        <w:t xml:space="preserve"> </w:t>
      </w:r>
      <w:r w:rsidRPr="00B925AC">
        <w:rPr>
          <w:rFonts w:ascii="Times New Roman" w:hAnsi="Times New Roman"/>
        </w:rPr>
        <w:t>of</w:t>
      </w:r>
      <w:r w:rsidRPr="00B925AC">
        <w:rPr>
          <w:rFonts w:ascii="Times New Roman" w:hAnsi="Times New Roman"/>
          <w:spacing w:val="-4"/>
        </w:rPr>
        <w:t xml:space="preserve"> </w:t>
      </w:r>
      <w:r w:rsidRPr="00B925AC">
        <w:rPr>
          <w:rFonts w:ascii="Times New Roman" w:hAnsi="Times New Roman"/>
        </w:rPr>
        <w:t>Coalition</w:t>
      </w:r>
      <w:r w:rsidRPr="00B925AC">
        <w:rPr>
          <w:rFonts w:ascii="Times New Roman" w:hAnsi="Times New Roman"/>
          <w:spacing w:val="-3"/>
        </w:rPr>
        <w:t xml:space="preserve"> </w:t>
      </w:r>
      <w:r w:rsidRPr="00B925AC">
        <w:rPr>
          <w:rFonts w:ascii="Times New Roman" w:hAnsi="Times New Roman"/>
        </w:rPr>
        <w:t>Change</w:t>
      </w:r>
    </w:p>
    <w:p w14:paraId="556C9EC5" w14:textId="77F2C3D6" w:rsidR="00891DAF" w:rsidRPr="00B925AC" w:rsidRDefault="00891DAF" w:rsidP="00891DAF">
      <w:pPr>
        <w:tabs>
          <w:tab w:val="left" w:pos="2975"/>
        </w:tabs>
        <w:spacing w:before="1"/>
        <w:rPr>
          <w:rFonts w:ascii="Times New Roman" w:hAnsi="Times New Roman"/>
          <w:iCs/>
        </w:rPr>
      </w:pPr>
      <w:r w:rsidRPr="00B925AC">
        <w:rPr>
          <w:rFonts w:ascii="Times New Roman" w:hAnsi="Times New Roman"/>
          <w:iCs/>
        </w:rPr>
        <w:t xml:space="preserve">Just because principles bind does not mean that they cannot be changed. </w:t>
      </w:r>
      <w:r w:rsidR="00933C76" w:rsidRPr="00B925AC">
        <w:rPr>
          <w:rFonts w:ascii="Times New Roman" w:hAnsi="Times New Roman"/>
          <w:iCs/>
        </w:rPr>
        <w:t>Judicial precedents certainly evolve over time</w:t>
      </w:r>
      <w:r w:rsidR="00CC18E1" w:rsidRPr="00B925AC">
        <w:rPr>
          <w:rFonts w:ascii="Times New Roman" w:hAnsi="Times New Roman"/>
          <w:iCs/>
        </w:rPr>
        <w:t>, and I doubt anybody would like a system in which they did not.</w:t>
      </w:r>
      <w:r w:rsidR="00CC18E1" w:rsidRPr="00B925AC">
        <w:rPr>
          <w:rStyle w:val="FootnoteReference"/>
          <w:rFonts w:ascii="Times New Roman" w:hAnsi="Times New Roman"/>
          <w:iCs/>
        </w:rPr>
        <w:footnoteReference w:id="122"/>
      </w:r>
      <w:r w:rsidR="0091005C" w:rsidRPr="00B925AC">
        <w:rPr>
          <w:rFonts w:ascii="Times New Roman" w:hAnsi="Times New Roman"/>
          <w:iCs/>
        </w:rPr>
        <w:t xml:space="preserve"> What makes this evolution of </w:t>
      </w:r>
      <w:r w:rsidR="00D41CBA" w:rsidRPr="00B925AC">
        <w:rPr>
          <w:rFonts w:ascii="Times New Roman" w:hAnsi="Times New Roman"/>
          <w:iCs/>
        </w:rPr>
        <w:t xml:space="preserve">legal principles itself principled is the existence of a </w:t>
      </w:r>
      <w:r w:rsidR="00FB165C" w:rsidRPr="00B925AC">
        <w:rPr>
          <w:rFonts w:ascii="Times New Roman" w:hAnsi="Times New Roman"/>
          <w:iCs/>
        </w:rPr>
        <w:t xml:space="preserve">set of meta-principles that </w:t>
      </w:r>
      <w:r w:rsidR="00B03C41" w:rsidRPr="00B925AC">
        <w:rPr>
          <w:rFonts w:ascii="Times New Roman" w:hAnsi="Times New Roman"/>
          <w:iCs/>
        </w:rPr>
        <w:t xml:space="preserve">govern the evolution. </w:t>
      </w:r>
      <w:r w:rsidR="0074413C" w:rsidRPr="00B925AC">
        <w:rPr>
          <w:rFonts w:ascii="Times New Roman" w:hAnsi="Times New Roman"/>
          <w:iCs/>
        </w:rPr>
        <w:t xml:space="preserve">Judges have a doctrine of “precedent </w:t>
      </w:r>
      <w:r w:rsidR="00AA7B46" w:rsidRPr="00B925AC">
        <w:rPr>
          <w:rFonts w:ascii="Times New Roman" w:hAnsi="Times New Roman"/>
          <w:iCs/>
        </w:rPr>
        <w:t>on</w:t>
      </w:r>
      <w:r w:rsidR="0074413C" w:rsidRPr="00B925AC">
        <w:rPr>
          <w:rFonts w:ascii="Times New Roman" w:hAnsi="Times New Roman"/>
          <w:iCs/>
        </w:rPr>
        <w:t xml:space="preserve"> precedent”</w:t>
      </w:r>
      <w:r w:rsidR="00AA7B46" w:rsidRPr="00B925AC">
        <w:rPr>
          <w:rStyle w:val="FootnoteReference"/>
          <w:rFonts w:ascii="Times New Roman" w:hAnsi="Times New Roman"/>
          <w:iCs/>
        </w:rPr>
        <w:footnoteReference w:id="123"/>
      </w:r>
      <w:r w:rsidR="0074413C" w:rsidRPr="00B925AC">
        <w:rPr>
          <w:rFonts w:ascii="Times New Roman" w:hAnsi="Times New Roman"/>
          <w:iCs/>
        </w:rPr>
        <w:t xml:space="preserve"> that</w:t>
      </w:r>
      <w:r w:rsidR="00580575" w:rsidRPr="00B925AC">
        <w:rPr>
          <w:rFonts w:ascii="Times New Roman" w:hAnsi="Times New Roman"/>
          <w:iCs/>
        </w:rPr>
        <w:t xml:space="preserve"> theoretically governs changes in legal principles.</w:t>
      </w:r>
      <w:r w:rsidR="00580575" w:rsidRPr="00B925AC">
        <w:rPr>
          <w:rStyle w:val="FootnoteReference"/>
          <w:rFonts w:ascii="Times New Roman" w:hAnsi="Times New Roman"/>
          <w:iCs/>
        </w:rPr>
        <w:footnoteReference w:id="124"/>
      </w:r>
      <w:r w:rsidR="00A0370D" w:rsidRPr="00B925AC">
        <w:rPr>
          <w:rFonts w:ascii="Times New Roman" w:hAnsi="Times New Roman"/>
          <w:iCs/>
        </w:rPr>
        <w:t xml:space="preserve"> Here I will argue that politicians’ incentives produce </w:t>
      </w:r>
      <w:r w:rsidR="00280521" w:rsidRPr="00B925AC">
        <w:rPr>
          <w:rFonts w:ascii="Times New Roman" w:hAnsi="Times New Roman"/>
          <w:iCs/>
        </w:rPr>
        <w:t xml:space="preserve">something similar. </w:t>
      </w:r>
      <w:r w:rsidR="00EB44A5" w:rsidRPr="00B925AC">
        <w:rPr>
          <w:rFonts w:ascii="Times New Roman" w:hAnsi="Times New Roman"/>
          <w:iCs/>
        </w:rPr>
        <w:t>Politicians should be expected to update their principles only in a way that respects past principles and can be seen as itself largely principled.</w:t>
      </w:r>
    </w:p>
    <w:p w14:paraId="7FC806D2" w14:textId="24CB0A86" w:rsidR="001C4EE6" w:rsidRPr="00B925AC" w:rsidRDefault="000A78F4" w:rsidP="00891DAF">
      <w:pPr>
        <w:tabs>
          <w:tab w:val="left" w:pos="2975"/>
        </w:tabs>
        <w:spacing w:before="1"/>
        <w:rPr>
          <w:rFonts w:ascii="Times New Roman" w:hAnsi="Times New Roman"/>
          <w:iCs/>
        </w:rPr>
      </w:pPr>
      <w:r w:rsidRPr="00B925AC">
        <w:rPr>
          <w:rFonts w:ascii="Times New Roman" w:hAnsi="Times New Roman"/>
          <w:iCs/>
        </w:rPr>
        <w:t xml:space="preserve">Two </w:t>
      </w:r>
      <w:r w:rsidR="00115C16" w:rsidRPr="00B925AC">
        <w:rPr>
          <w:rFonts w:ascii="Times New Roman" w:hAnsi="Times New Roman"/>
          <w:iCs/>
        </w:rPr>
        <w:t xml:space="preserve">ideas explain the evolution of political principles. </w:t>
      </w:r>
      <w:r w:rsidR="00AB5E31" w:rsidRPr="00B925AC">
        <w:rPr>
          <w:rFonts w:ascii="Times New Roman" w:hAnsi="Times New Roman"/>
          <w:iCs/>
        </w:rPr>
        <w:t xml:space="preserve">First, </w:t>
      </w:r>
      <w:r w:rsidR="009A7A24" w:rsidRPr="00B925AC">
        <w:rPr>
          <w:rFonts w:ascii="Times New Roman" w:hAnsi="Times New Roman"/>
          <w:iCs/>
        </w:rPr>
        <w:t>just as in the initial development of principles, where you stand depends on who you sit with.</w:t>
      </w:r>
      <w:r w:rsidR="003106F5" w:rsidRPr="00B925AC">
        <w:rPr>
          <w:rStyle w:val="FootnoteReference"/>
          <w:rFonts w:ascii="Times New Roman" w:hAnsi="Times New Roman"/>
          <w:iCs/>
        </w:rPr>
        <w:footnoteReference w:id="125"/>
      </w:r>
      <w:r w:rsidR="009A7A24" w:rsidRPr="00B925AC">
        <w:rPr>
          <w:rFonts w:ascii="Times New Roman" w:hAnsi="Times New Roman"/>
          <w:iCs/>
        </w:rPr>
        <w:t xml:space="preserve"> </w:t>
      </w:r>
      <w:r w:rsidR="00DB360B" w:rsidRPr="00B925AC">
        <w:rPr>
          <w:rFonts w:ascii="Times New Roman" w:hAnsi="Times New Roman"/>
          <w:iCs/>
        </w:rPr>
        <w:t xml:space="preserve">At a glance, this </w:t>
      </w:r>
      <w:r w:rsidR="00715E52" w:rsidRPr="00B925AC">
        <w:rPr>
          <w:rFonts w:ascii="Times New Roman" w:hAnsi="Times New Roman"/>
          <w:iCs/>
        </w:rPr>
        <w:t xml:space="preserve">may sound like an invitation to opportunism. If </w:t>
      </w:r>
      <w:r w:rsidR="008145B6" w:rsidRPr="00B925AC">
        <w:rPr>
          <w:rFonts w:ascii="Times New Roman" w:hAnsi="Times New Roman"/>
          <w:iCs/>
        </w:rPr>
        <w:t xml:space="preserve">principles are really just a cover for </w:t>
      </w:r>
      <w:r w:rsidR="00B128AF" w:rsidRPr="00B925AC">
        <w:rPr>
          <w:rFonts w:ascii="Times New Roman" w:hAnsi="Times New Roman"/>
          <w:iCs/>
        </w:rPr>
        <w:t>group interests, then perhaps they have no force at all.</w:t>
      </w:r>
    </w:p>
    <w:p w14:paraId="359193F4" w14:textId="71C8C856" w:rsidR="006C65D7" w:rsidRPr="00B925AC" w:rsidRDefault="006C65D7" w:rsidP="00891DAF">
      <w:pPr>
        <w:tabs>
          <w:tab w:val="left" w:pos="2975"/>
        </w:tabs>
        <w:spacing w:before="1"/>
        <w:rPr>
          <w:rFonts w:ascii="Times New Roman" w:hAnsi="Times New Roman"/>
          <w:iCs/>
        </w:rPr>
      </w:pPr>
      <w:r w:rsidRPr="00B925AC">
        <w:rPr>
          <w:rFonts w:ascii="Times New Roman" w:hAnsi="Times New Roman"/>
          <w:iCs/>
        </w:rPr>
        <w:t xml:space="preserve">But </w:t>
      </w:r>
      <w:r w:rsidR="00805E50" w:rsidRPr="00B925AC">
        <w:rPr>
          <w:rFonts w:ascii="Times New Roman" w:hAnsi="Times New Roman"/>
          <w:iCs/>
        </w:rPr>
        <w:t>this</w:t>
      </w:r>
      <w:r w:rsidRPr="00B925AC">
        <w:rPr>
          <w:rFonts w:ascii="Times New Roman" w:hAnsi="Times New Roman"/>
          <w:iCs/>
        </w:rPr>
        <w:t xml:space="preserve"> insight actually suggests a mechanism for </w:t>
      </w:r>
      <w:r w:rsidR="00FC7E52" w:rsidRPr="00B925AC">
        <w:rPr>
          <w:rFonts w:ascii="Times New Roman" w:hAnsi="Times New Roman"/>
          <w:iCs/>
        </w:rPr>
        <w:t xml:space="preserve">ensuring the </w:t>
      </w:r>
      <w:proofErr w:type="spellStart"/>
      <w:r w:rsidR="00FC7E52" w:rsidRPr="00B925AC">
        <w:rPr>
          <w:rFonts w:ascii="Times New Roman" w:hAnsi="Times New Roman"/>
          <w:iCs/>
        </w:rPr>
        <w:t>measurd</w:t>
      </w:r>
      <w:proofErr w:type="spellEnd"/>
      <w:r w:rsidR="00FC7E52" w:rsidRPr="00B925AC">
        <w:rPr>
          <w:rFonts w:ascii="Times New Roman" w:hAnsi="Times New Roman"/>
          <w:iCs/>
        </w:rPr>
        <w:t xml:space="preserve"> and </w:t>
      </w:r>
      <w:r w:rsidR="005E037B" w:rsidRPr="00B925AC">
        <w:rPr>
          <w:rFonts w:ascii="Times New Roman" w:hAnsi="Times New Roman"/>
          <w:iCs/>
        </w:rPr>
        <w:t>thoughtful evolution of principles.</w:t>
      </w:r>
      <w:r w:rsidR="00C47812" w:rsidRPr="00B925AC">
        <w:rPr>
          <w:rFonts w:ascii="Times New Roman" w:hAnsi="Times New Roman"/>
          <w:iCs/>
        </w:rPr>
        <w:t xml:space="preserve"> Under normal circumstances, </w:t>
      </w:r>
      <w:r w:rsidR="00130394" w:rsidRPr="00B925AC">
        <w:rPr>
          <w:rFonts w:ascii="Times New Roman" w:hAnsi="Times New Roman"/>
          <w:iCs/>
        </w:rPr>
        <w:t>existing coalitions will</w:t>
      </w:r>
      <w:r w:rsidR="009B39D5" w:rsidRPr="00B925AC">
        <w:rPr>
          <w:rFonts w:ascii="Times New Roman" w:hAnsi="Times New Roman"/>
          <w:iCs/>
        </w:rPr>
        <w:t xml:space="preserve"> restrain changes in core principles. </w:t>
      </w:r>
      <w:r w:rsidR="005C07D5" w:rsidRPr="00B925AC">
        <w:rPr>
          <w:rFonts w:ascii="Times New Roman" w:hAnsi="Times New Roman"/>
          <w:iCs/>
        </w:rPr>
        <w:t xml:space="preserve">If the members have no reason to cast aside the hard work that went into finding common ground between them, </w:t>
      </w:r>
      <w:r w:rsidR="00DA63C2" w:rsidRPr="00B925AC">
        <w:rPr>
          <w:rFonts w:ascii="Times New Roman" w:hAnsi="Times New Roman"/>
          <w:iCs/>
        </w:rPr>
        <w:t>then the overlapping consensus to which they all subscribe should remain more or less in place.</w:t>
      </w:r>
    </w:p>
    <w:p w14:paraId="6AAE7D07" w14:textId="77777777" w:rsidR="00D462C0" w:rsidRPr="00B925AC" w:rsidRDefault="00414A34" w:rsidP="00D462C0">
      <w:pPr>
        <w:tabs>
          <w:tab w:val="left" w:pos="2975"/>
        </w:tabs>
        <w:spacing w:before="1"/>
        <w:rPr>
          <w:rFonts w:ascii="Times New Roman" w:hAnsi="Times New Roman"/>
          <w:iCs/>
        </w:rPr>
      </w:pPr>
      <w:r w:rsidRPr="00B925AC">
        <w:rPr>
          <w:rFonts w:ascii="Times New Roman" w:hAnsi="Times New Roman"/>
          <w:iCs/>
        </w:rPr>
        <w:t xml:space="preserve">However, as David Karol has shown, circumstances will not always be normal. </w:t>
      </w:r>
      <w:r w:rsidR="00993B6C" w:rsidRPr="00B925AC">
        <w:rPr>
          <w:rFonts w:ascii="Times New Roman" w:hAnsi="Times New Roman"/>
          <w:iCs/>
        </w:rPr>
        <w:t xml:space="preserve">When </w:t>
      </w:r>
      <w:r w:rsidR="008B2589" w:rsidRPr="00B925AC">
        <w:rPr>
          <w:rFonts w:ascii="Times New Roman" w:hAnsi="Times New Roman"/>
          <w:iCs/>
        </w:rPr>
        <w:t>conditions change, one or more coalition partners may change their views on a matter of principle.</w:t>
      </w:r>
      <w:r w:rsidR="009B2AB8" w:rsidRPr="00B925AC">
        <w:rPr>
          <w:rFonts w:ascii="Times New Roman" w:hAnsi="Times New Roman"/>
          <w:iCs/>
        </w:rPr>
        <w:t xml:space="preserve"> They may be convinced by new circumstances that their </w:t>
      </w:r>
      <w:r w:rsidR="009B2AB8" w:rsidRPr="00B925AC">
        <w:rPr>
          <w:rFonts w:ascii="Times New Roman" w:hAnsi="Times New Roman"/>
          <w:iCs/>
        </w:rPr>
        <w:lastRenderedPageBreak/>
        <w:t>previous views were wrong. Or</w:t>
      </w:r>
      <w:r w:rsidR="0068240F" w:rsidRPr="00B925AC">
        <w:rPr>
          <w:rFonts w:ascii="Times New Roman" w:hAnsi="Times New Roman"/>
          <w:iCs/>
        </w:rPr>
        <w:t xml:space="preserve"> they may have their attention focused on a new set of circumstances</w:t>
      </w:r>
      <w:r w:rsidR="00FC230C" w:rsidRPr="00B925AC">
        <w:rPr>
          <w:rFonts w:ascii="Times New Roman" w:hAnsi="Times New Roman"/>
          <w:iCs/>
        </w:rPr>
        <w:t>, causing them to prioritize one of their principles over another.</w:t>
      </w:r>
      <w:r w:rsidR="00B26858" w:rsidRPr="00B925AC">
        <w:rPr>
          <w:rFonts w:ascii="Times New Roman" w:hAnsi="Times New Roman"/>
          <w:iCs/>
        </w:rPr>
        <w:t xml:space="preserve"> In this case, politicians will engage in what Karol calls “coalition maintenance.”</w:t>
      </w:r>
      <w:r w:rsidR="00B1363F" w:rsidRPr="00B925AC">
        <w:rPr>
          <w:rStyle w:val="FootnoteReference"/>
          <w:rFonts w:ascii="Times New Roman" w:hAnsi="Times New Roman"/>
          <w:iCs/>
        </w:rPr>
        <w:footnoteReference w:id="126"/>
      </w:r>
    </w:p>
    <w:p w14:paraId="70AA4368" w14:textId="4F2A9CEF" w:rsidR="00D462C0" w:rsidRPr="00B925AC" w:rsidRDefault="00E72E21" w:rsidP="00D462C0">
      <w:pPr>
        <w:tabs>
          <w:tab w:val="left" w:pos="2975"/>
        </w:tabs>
        <w:spacing w:before="1"/>
        <w:rPr>
          <w:rFonts w:ascii="Times New Roman" w:hAnsi="Times New Roman"/>
        </w:rPr>
      </w:pPr>
      <w:r w:rsidRPr="00B925AC">
        <w:rPr>
          <w:rFonts w:ascii="Times New Roman" w:hAnsi="Times New Roman"/>
        </w:rPr>
        <w:t>Coalitional maintenance occurs when at least one component of a</w:t>
      </w:r>
      <w:r w:rsidRPr="00B925AC">
        <w:rPr>
          <w:rFonts w:ascii="Times New Roman" w:hAnsi="Times New Roman"/>
          <w:spacing w:val="1"/>
        </w:rPr>
        <w:t xml:space="preserve"> </w:t>
      </w:r>
      <w:r w:rsidRPr="00B925AC">
        <w:rPr>
          <w:rFonts w:ascii="Times New Roman" w:hAnsi="Times New Roman"/>
        </w:rPr>
        <w:t>coalition</w:t>
      </w:r>
      <w:r w:rsidRPr="00B925AC">
        <w:rPr>
          <w:rFonts w:ascii="Times New Roman" w:hAnsi="Times New Roman"/>
          <w:spacing w:val="-3"/>
        </w:rPr>
        <w:t xml:space="preserve"> </w:t>
      </w:r>
      <w:r w:rsidRPr="00B925AC">
        <w:rPr>
          <w:rFonts w:ascii="Times New Roman" w:hAnsi="Times New Roman"/>
        </w:rPr>
        <w:t>changes</w:t>
      </w:r>
      <w:r w:rsidRPr="00B925AC">
        <w:rPr>
          <w:rFonts w:ascii="Times New Roman" w:hAnsi="Times New Roman"/>
          <w:spacing w:val="-2"/>
        </w:rPr>
        <w:t xml:space="preserve"> </w:t>
      </w:r>
      <w:r w:rsidRPr="00B925AC">
        <w:rPr>
          <w:rFonts w:ascii="Times New Roman" w:hAnsi="Times New Roman"/>
        </w:rPr>
        <w:t>its</w:t>
      </w:r>
      <w:r w:rsidRPr="00B925AC">
        <w:rPr>
          <w:rFonts w:ascii="Times New Roman" w:hAnsi="Times New Roman"/>
          <w:spacing w:val="-2"/>
        </w:rPr>
        <w:t xml:space="preserve"> </w:t>
      </w:r>
      <w:r w:rsidRPr="00B925AC">
        <w:rPr>
          <w:rFonts w:ascii="Times New Roman" w:hAnsi="Times New Roman"/>
        </w:rPr>
        <w:t>views,</w:t>
      </w:r>
      <w:r w:rsidRPr="00B925AC">
        <w:rPr>
          <w:rFonts w:ascii="Times New Roman" w:hAnsi="Times New Roman"/>
          <w:spacing w:val="-2"/>
        </w:rPr>
        <w:t xml:space="preserve"> </w:t>
      </w:r>
      <w:r w:rsidRPr="00B925AC">
        <w:rPr>
          <w:rFonts w:ascii="Times New Roman" w:hAnsi="Times New Roman"/>
        </w:rPr>
        <w:t>causing</w:t>
      </w:r>
      <w:r w:rsidRPr="00B925AC">
        <w:rPr>
          <w:rFonts w:ascii="Times New Roman" w:hAnsi="Times New Roman"/>
          <w:spacing w:val="-3"/>
        </w:rPr>
        <w:t xml:space="preserve"> </w:t>
      </w:r>
      <w:r w:rsidRPr="00B925AC">
        <w:rPr>
          <w:rFonts w:ascii="Times New Roman" w:hAnsi="Times New Roman"/>
        </w:rPr>
        <w:t>the</w:t>
      </w:r>
      <w:r w:rsidRPr="00B925AC">
        <w:rPr>
          <w:rFonts w:ascii="Times New Roman" w:hAnsi="Times New Roman"/>
          <w:spacing w:val="-2"/>
        </w:rPr>
        <w:t xml:space="preserve"> </w:t>
      </w:r>
      <w:r w:rsidRPr="00B925AC">
        <w:rPr>
          <w:rFonts w:ascii="Times New Roman" w:hAnsi="Times New Roman"/>
        </w:rPr>
        <w:t>coalition</w:t>
      </w:r>
      <w:r w:rsidRPr="00B925AC">
        <w:rPr>
          <w:rFonts w:ascii="Times New Roman" w:hAnsi="Times New Roman"/>
          <w:spacing w:val="-2"/>
        </w:rPr>
        <w:t xml:space="preserve"> </w:t>
      </w:r>
      <w:r w:rsidRPr="00B925AC">
        <w:rPr>
          <w:rFonts w:ascii="Times New Roman" w:hAnsi="Times New Roman"/>
        </w:rPr>
        <w:t>to</w:t>
      </w:r>
      <w:r w:rsidRPr="00B925AC">
        <w:rPr>
          <w:rFonts w:ascii="Times New Roman" w:hAnsi="Times New Roman"/>
          <w:spacing w:val="-2"/>
        </w:rPr>
        <w:t xml:space="preserve"> </w:t>
      </w:r>
      <w:r w:rsidRPr="00B925AC">
        <w:rPr>
          <w:rFonts w:ascii="Times New Roman" w:hAnsi="Times New Roman"/>
        </w:rPr>
        <w:t>update</w:t>
      </w:r>
      <w:r w:rsidRPr="00B925AC">
        <w:rPr>
          <w:rFonts w:ascii="Times New Roman" w:hAnsi="Times New Roman"/>
          <w:spacing w:val="-2"/>
        </w:rPr>
        <w:t xml:space="preserve"> </w:t>
      </w:r>
      <w:r w:rsidRPr="00B925AC">
        <w:rPr>
          <w:rFonts w:ascii="Times New Roman" w:hAnsi="Times New Roman"/>
        </w:rPr>
        <w:t>its</w:t>
      </w:r>
      <w:r w:rsidRPr="00B925AC">
        <w:rPr>
          <w:rFonts w:ascii="Times New Roman" w:hAnsi="Times New Roman"/>
          <w:spacing w:val="-3"/>
        </w:rPr>
        <w:t xml:space="preserve"> </w:t>
      </w:r>
      <w:r w:rsidRPr="00B925AC">
        <w:rPr>
          <w:rFonts w:ascii="Times New Roman" w:hAnsi="Times New Roman"/>
        </w:rPr>
        <w:t>principles</w:t>
      </w:r>
      <w:r w:rsidRPr="00B925AC">
        <w:rPr>
          <w:rFonts w:ascii="Times New Roman" w:hAnsi="Times New Roman"/>
          <w:spacing w:val="-2"/>
        </w:rPr>
        <w:t xml:space="preserve"> </w:t>
      </w:r>
      <w:r w:rsidRPr="00B925AC">
        <w:rPr>
          <w:rFonts w:ascii="Times New Roman" w:hAnsi="Times New Roman"/>
        </w:rPr>
        <w:t>in</w:t>
      </w:r>
      <w:r w:rsidRPr="00B925AC">
        <w:rPr>
          <w:rFonts w:ascii="Times New Roman" w:hAnsi="Times New Roman"/>
          <w:spacing w:val="-2"/>
        </w:rPr>
        <w:t xml:space="preserve"> </w:t>
      </w:r>
      <w:r w:rsidRPr="00B925AC">
        <w:rPr>
          <w:rFonts w:ascii="Times New Roman" w:hAnsi="Times New Roman"/>
        </w:rPr>
        <w:t>order</w:t>
      </w:r>
      <w:r w:rsidRPr="00B925AC">
        <w:rPr>
          <w:rFonts w:ascii="Times New Roman" w:hAnsi="Times New Roman"/>
          <w:spacing w:val="-2"/>
        </w:rPr>
        <w:t xml:space="preserve"> </w:t>
      </w:r>
      <w:r w:rsidRPr="00B925AC">
        <w:rPr>
          <w:rFonts w:ascii="Times New Roman" w:hAnsi="Times New Roman"/>
        </w:rPr>
        <w:t>to</w:t>
      </w:r>
      <w:r w:rsidRPr="00B925AC">
        <w:rPr>
          <w:rFonts w:ascii="Times New Roman" w:hAnsi="Times New Roman"/>
          <w:spacing w:val="-3"/>
        </w:rPr>
        <w:t xml:space="preserve"> </w:t>
      </w:r>
      <w:r w:rsidRPr="00B925AC">
        <w:rPr>
          <w:rFonts w:ascii="Times New Roman" w:hAnsi="Times New Roman"/>
        </w:rPr>
        <w:t>retain</w:t>
      </w:r>
      <w:r w:rsidR="00250419" w:rsidRPr="00B925AC">
        <w:rPr>
          <w:rFonts w:ascii="Times New Roman" w:hAnsi="Times New Roman"/>
        </w:rPr>
        <w:t xml:space="preserve"> the support of the relevant group or groups.</w:t>
      </w:r>
      <w:r w:rsidR="00C57AC7" w:rsidRPr="00B925AC">
        <w:rPr>
          <w:rStyle w:val="FootnoteReference"/>
          <w:rFonts w:ascii="Times New Roman" w:hAnsi="Times New Roman"/>
        </w:rPr>
        <w:footnoteReference w:id="127"/>
      </w:r>
      <w:r w:rsidR="00250419" w:rsidRPr="00B925AC">
        <w:rPr>
          <w:rFonts w:ascii="Times New Roman" w:hAnsi="Times New Roman"/>
        </w:rPr>
        <w:t xml:space="preserve"> An example is Northern Democrats’ shift to active support for civil rights legislation during the mid-20th Century, which </w:t>
      </w:r>
      <w:r w:rsidR="00837803" w:rsidRPr="00B925AC">
        <w:rPr>
          <w:rFonts w:ascii="Times New Roman" w:hAnsi="Times New Roman"/>
        </w:rPr>
        <w:t>contributed to</w:t>
      </w:r>
      <w:r w:rsidR="00250419" w:rsidRPr="00B925AC">
        <w:rPr>
          <w:rFonts w:ascii="Times New Roman" w:hAnsi="Times New Roman"/>
        </w:rPr>
        <w:t xml:space="preserve"> the Democratic Party</w:t>
      </w:r>
      <w:r w:rsidR="00837803" w:rsidRPr="00B925AC">
        <w:rPr>
          <w:rFonts w:ascii="Times New Roman" w:hAnsi="Times New Roman"/>
        </w:rPr>
        <w:t xml:space="preserve">’s </w:t>
      </w:r>
      <w:r w:rsidR="00250419" w:rsidRPr="00B925AC">
        <w:rPr>
          <w:rFonts w:ascii="Times New Roman" w:hAnsi="Times New Roman"/>
        </w:rPr>
        <w:t xml:space="preserve">embrace </w:t>
      </w:r>
      <w:r w:rsidR="00837803" w:rsidRPr="00B925AC">
        <w:rPr>
          <w:rFonts w:ascii="Times New Roman" w:hAnsi="Times New Roman"/>
        </w:rPr>
        <w:t xml:space="preserve">of </w:t>
      </w:r>
      <w:r w:rsidR="00250419" w:rsidRPr="00B925AC">
        <w:rPr>
          <w:rFonts w:ascii="Times New Roman" w:hAnsi="Times New Roman"/>
        </w:rPr>
        <w:t>civil rights.</w:t>
      </w:r>
      <w:r w:rsidR="00EC6F13" w:rsidRPr="00B925AC">
        <w:rPr>
          <w:rStyle w:val="FootnoteReference"/>
          <w:rFonts w:ascii="Times New Roman" w:hAnsi="Times New Roman"/>
        </w:rPr>
        <w:footnoteReference w:id="128"/>
      </w:r>
      <w:r w:rsidR="00250419" w:rsidRPr="00B925AC">
        <w:rPr>
          <w:rFonts w:ascii="Times New Roman" w:hAnsi="Times New Roman"/>
        </w:rPr>
        <w:t xml:space="preserve"> In coalition maintenance situations, shifts in articulated principles “should be rapid, because [such shifts do] not require politicians to forge ties to new groups, or voters to alter their loyalties, processes characterized by inertia on both sides."</w:t>
      </w:r>
      <w:r w:rsidR="0071506C" w:rsidRPr="00B925AC">
        <w:rPr>
          <w:rStyle w:val="FootnoteReference"/>
          <w:rFonts w:ascii="Times New Roman" w:hAnsi="Times New Roman"/>
        </w:rPr>
        <w:footnoteReference w:id="129"/>
      </w:r>
      <w:r w:rsidR="00250419" w:rsidRPr="00B925AC">
        <w:rPr>
          <w:rFonts w:ascii="Times New Roman" w:hAnsi="Times New Roman"/>
        </w:rPr>
        <w:t xml:space="preserve"> On the other hand, these rapid changes should be stable once they occur, as they reflect the views of an attentive coalition member with leverage over the coalition.</w:t>
      </w:r>
      <w:r w:rsidR="00BD483B" w:rsidRPr="00B925AC">
        <w:rPr>
          <w:rStyle w:val="FootnoteReference"/>
          <w:rFonts w:ascii="Times New Roman" w:hAnsi="Times New Roman"/>
        </w:rPr>
        <w:footnoteReference w:id="130"/>
      </w:r>
    </w:p>
    <w:p w14:paraId="08AD6EA0" w14:textId="7E2CFDF2" w:rsidR="00D462C0" w:rsidRPr="00B925AC" w:rsidRDefault="00F95124" w:rsidP="00D462C0">
      <w:pPr>
        <w:tabs>
          <w:tab w:val="left" w:pos="2975"/>
        </w:tabs>
        <w:spacing w:before="1"/>
        <w:rPr>
          <w:rFonts w:ascii="Times New Roman" w:hAnsi="Times New Roman"/>
        </w:rPr>
      </w:pPr>
      <w:r w:rsidRPr="00B925AC">
        <w:rPr>
          <w:rFonts w:ascii="Times New Roman" w:hAnsi="Times New Roman"/>
        </w:rPr>
        <w:t xml:space="preserve">They should also follow an articulable logic. Change in principle motivated by coalition maintenance occurs when some discrete group has changed its views, and when that group feels strongly enough about the change to potentially abandon its coalition. While, by definition, the coalition is taking a position at time 1 that is different than its position at time 0, the time 1 position must be compelling to people who had been comfortable with the time 0 position at time 0. In other words, coalition change is likely to either be modest or to reflect a significant change in the public morality of at least some </w:t>
      </w:r>
      <w:r w:rsidR="000A7095" w:rsidRPr="00B925AC">
        <w:rPr>
          <w:rFonts w:ascii="Times New Roman" w:hAnsi="Times New Roman"/>
        </w:rPr>
        <w:t>segment</w:t>
      </w:r>
      <w:r w:rsidRPr="00B925AC">
        <w:rPr>
          <w:rFonts w:ascii="Times New Roman" w:hAnsi="Times New Roman"/>
        </w:rPr>
        <w:t xml:space="preserve"> of the </w:t>
      </w:r>
      <w:r w:rsidR="00DE7853" w:rsidRPr="00B925AC">
        <w:rPr>
          <w:rFonts w:ascii="Times New Roman" w:hAnsi="Times New Roman"/>
        </w:rPr>
        <w:t>public</w:t>
      </w:r>
      <w:r w:rsidRPr="00B925AC">
        <w:rPr>
          <w:rFonts w:ascii="Times New Roman" w:hAnsi="Times New Roman"/>
        </w:rPr>
        <w:t>.</w:t>
      </w:r>
    </w:p>
    <w:p w14:paraId="34201BDA" w14:textId="0D6A4E94" w:rsidR="00D462C0" w:rsidRPr="00B925AC" w:rsidRDefault="00F95124" w:rsidP="00D462C0">
      <w:pPr>
        <w:tabs>
          <w:tab w:val="left" w:pos="2975"/>
        </w:tabs>
        <w:spacing w:before="1"/>
        <w:rPr>
          <w:rFonts w:ascii="Times New Roman" w:hAnsi="Times New Roman"/>
        </w:rPr>
      </w:pPr>
      <w:r w:rsidRPr="00B925AC">
        <w:rPr>
          <w:rFonts w:ascii="Times New Roman" w:hAnsi="Times New Roman"/>
        </w:rPr>
        <w:lastRenderedPageBreak/>
        <w:t>A second mechanism of coalition change reflects</w:t>
      </w:r>
      <w:r w:rsidR="00CC333D" w:rsidRPr="00B925AC">
        <w:rPr>
          <w:rFonts w:ascii="Times New Roman" w:hAnsi="Times New Roman"/>
        </w:rPr>
        <w:t xml:space="preserve"> the other principle of principle formation discussed above: who you sit with depends on where you stand</w:t>
      </w:r>
      <w:r w:rsidR="00CC016F" w:rsidRPr="00B925AC">
        <w:rPr>
          <w:rFonts w:ascii="Times New Roman" w:hAnsi="Times New Roman"/>
        </w:rPr>
        <w:t xml:space="preserve">. </w:t>
      </w:r>
      <w:r w:rsidR="004C5563" w:rsidRPr="00B925AC">
        <w:rPr>
          <w:rFonts w:ascii="Times New Roman" w:hAnsi="Times New Roman"/>
        </w:rPr>
        <w:t xml:space="preserve">In short, coalitions will sometimes </w:t>
      </w:r>
      <w:r w:rsidR="00C9000A" w:rsidRPr="00B925AC">
        <w:rPr>
          <w:rFonts w:ascii="Times New Roman" w:hAnsi="Times New Roman"/>
        </w:rPr>
        <w:t>change their principles (where they stand) in order to attract a new group into the coalition (who they sit with).</w:t>
      </w:r>
      <w:r w:rsidR="00AE39F4" w:rsidRPr="00B925AC">
        <w:rPr>
          <w:rFonts w:ascii="Times New Roman" w:hAnsi="Times New Roman"/>
        </w:rPr>
        <w:t xml:space="preserve"> Karol calls this process </w:t>
      </w:r>
      <w:r w:rsidR="00506754" w:rsidRPr="00B925AC">
        <w:rPr>
          <w:rFonts w:ascii="Times New Roman" w:hAnsi="Times New Roman"/>
        </w:rPr>
        <w:t>“coalition group incorporation.”</w:t>
      </w:r>
      <w:r w:rsidR="00506754" w:rsidRPr="00B925AC">
        <w:rPr>
          <w:rStyle w:val="FootnoteReference"/>
          <w:rFonts w:ascii="Times New Roman" w:hAnsi="Times New Roman"/>
        </w:rPr>
        <w:footnoteReference w:id="131"/>
      </w:r>
      <w:r w:rsidR="00C9000A" w:rsidRPr="00B925AC">
        <w:rPr>
          <w:rFonts w:ascii="Times New Roman" w:hAnsi="Times New Roman"/>
        </w:rPr>
        <w:t xml:space="preserve"> </w:t>
      </w:r>
      <w:r w:rsidR="007D4DBA" w:rsidRPr="00B925AC">
        <w:rPr>
          <w:rFonts w:ascii="Times New Roman" w:hAnsi="Times New Roman"/>
        </w:rPr>
        <w:t xml:space="preserve">Again, the logic may sound opportunistic at first, and it is clearly the kind of move driven by cold, hard politics. </w:t>
      </w:r>
      <w:r w:rsidR="00626B34" w:rsidRPr="00B925AC">
        <w:rPr>
          <w:rFonts w:ascii="Times New Roman" w:hAnsi="Times New Roman"/>
        </w:rPr>
        <w:t xml:space="preserve">But the logic also contains its own limitation. </w:t>
      </w:r>
      <w:r w:rsidR="00F3404D" w:rsidRPr="00B925AC">
        <w:rPr>
          <w:rFonts w:ascii="Times New Roman" w:hAnsi="Times New Roman"/>
        </w:rPr>
        <w:t>A political coalition can incorporate a new member by professing a new principle only if the principle is plausible</w:t>
      </w:r>
      <w:r w:rsidR="00A94F09" w:rsidRPr="00B925AC">
        <w:rPr>
          <w:rFonts w:ascii="Times New Roman" w:hAnsi="Times New Roman"/>
        </w:rPr>
        <w:t xml:space="preserve"> for the coalition articulating it</w:t>
      </w:r>
      <w:r w:rsidR="00F3404D" w:rsidRPr="00B925AC">
        <w:rPr>
          <w:rFonts w:ascii="Times New Roman" w:hAnsi="Times New Roman"/>
        </w:rPr>
        <w:t>.</w:t>
      </w:r>
      <w:r w:rsidR="00D65DF5" w:rsidRPr="00B925AC">
        <w:rPr>
          <w:rFonts w:ascii="Times New Roman" w:hAnsi="Times New Roman"/>
        </w:rPr>
        <w:t xml:space="preserve"> If a coalition claims to believe something that its current members could not possibly accept, its statement is not credible and therefore not useful for </w:t>
      </w:r>
      <w:r w:rsidR="00342AC3" w:rsidRPr="00B925AC">
        <w:rPr>
          <w:rFonts w:ascii="Times New Roman" w:hAnsi="Times New Roman"/>
        </w:rPr>
        <w:t>attracting new members</w:t>
      </w:r>
      <w:r w:rsidR="00F3404D" w:rsidRPr="00B925AC">
        <w:rPr>
          <w:rFonts w:ascii="Times New Roman" w:hAnsi="Times New Roman"/>
        </w:rPr>
        <w:t xml:space="preserve"> </w:t>
      </w:r>
      <w:r w:rsidR="0035517B" w:rsidRPr="00B925AC">
        <w:rPr>
          <w:rFonts w:ascii="Times New Roman" w:hAnsi="Times New Roman"/>
        </w:rPr>
        <w:t xml:space="preserve">For this reason, coalition group incorporation </w:t>
      </w:r>
      <w:r w:rsidR="00FE166C" w:rsidRPr="00B925AC">
        <w:rPr>
          <w:rFonts w:ascii="Times New Roman" w:hAnsi="Times New Roman"/>
        </w:rPr>
        <w:t xml:space="preserve">will </w:t>
      </w:r>
      <w:r w:rsidR="0035517B" w:rsidRPr="00B925AC">
        <w:rPr>
          <w:rFonts w:ascii="Times New Roman" w:hAnsi="Times New Roman"/>
        </w:rPr>
        <w:t xml:space="preserve">occur </w:t>
      </w:r>
      <w:r w:rsidR="006F50F1" w:rsidRPr="00B925AC">
        <w:rPr>
          <w:rFonts w:ascii="Times New Roman" w:hAnsi="Times New Roman"/>
        </w:rPr>
        <w:t xml:space="preserve">most often </w:t>
      </w:r>
      <w:r w:rsidR="0035517B" w:rsidRPr="00B925AC">
        <w:rPr>
          <w:rFonts w:ascii="Times New Roman" w:hAnsi="Times New Roman"/>
        </w:rPr>
        <w:t xml:space="preserve">when </w:t>
      </w:r>
      <w:r w:rsidR="00307276" w:rsidRPr="00B925AC">
        <w:rPr>
          <w:rFonts w:ascii="Times New Roman" w:hAnsi="Times New Roman"/>
        </w:rPr>
        <w:t xml:space="preserve">a coalition takes a position on a group that had not previously divided the parties, </w:t>
      </w:r>
      <w:r w:rsidR="00E26182" w:rsidRPr="00B925AC">
        <w:rPr>
          <w:rFonts w:ascii="Times New Roman" w:hAnsi="Times New Roman"/>
        </w:rPr>
        <w:t xml:space="preserve">and </w:t>
      </w:r>
      <w:r w:rsidR="00307276" w:rsidRPr="00B925AC">
        <w:rPr>
          <w:rFonts w:ascii="Times New Roman" w:hAnsi="Times New Roman"/>
        </w:rPr>
        <w:t>when it takes</w:t>
      </w:r>
      <w:r w:rsidR="00FE166C" w:rsidRPr="00B925AC">
        <w:rPr>
          <w:rFonts w:ascii="Times New Roman" w:hAnsi="Times New Roman"/>
        </w:rPr>
        <w:t xml:space="preserve"> a position that is seen as palatable to its existing coalition.</w:t>
      </w:r>
      <w:r w:rsidR="00043518" w:rsidRPr="00B925AC">
        <w:rPr>
          <w:rStyle w:val="FootnoteReference"/>
          <w:rFonts w:ascii="Times New Roman" w:hAnsi="Times New Roman"/>
        </w:rPr>
        <w:footnoteReference w:id="132"/>
      </w:r>
      <w:r w:rsidR="00FE166C" w:rsidRPr="00B925AC">
        <w:rPr>
          <w:rFonts w:ascii="Times New Roman" w:hAnsi="Times New Roman"/>
        </w:rPr>
        <w:t xml:space="preserve"> </w:t>
      </w:r>
      <w:r w:rsidR="00C67A51" w:rsidRPr="00B925AC">
        <w:rPr>
          <w:rFonts w:ascii="Times New Roman" w:hAnsi="Times New Roman"/>
        </w:rPr>
        <w:t xml:space="preserve">It is simply not credible for a coalition known for the left-wing position on some issue to suddenly </w:t>
      </w:r>
      <w:r w:rsidR="00655364" w:rsidRPr="00B925AC">
        <w:rPr>
          <w:rFonts w:ascii="Times New Roman" w:hAnsi="Times New Roman"/>
        </w:rPr>
        <w:t xml:space="preserve">claim it represents the right-wing position. </w:t>
      </w:r>
    </w:p>
    <w:p w14:paraId="017B52C1" w14:textId="15C1E577" w:rsidR="00D462C0" w:rsidRPr="00B925AC" w:rsidRDefault="00E72E21" w:rsidP="00D462C0">
      <w:pPr>
        <w:tabs>
          <w:tab w:val="left" w:pos="2975"/>
        </w:tabs>
        <w:spacing w:before="1"/>
        <w:rPr>
          <w:rFonts w:ascii="Times New Roman" w:hAnsi="Times New Roman"/>
        </w:rPr>
      </w:pPr>
      <w:r w:rsidRPr="00B925AC">
        <w:rPr>
          <w:rFonts w:ascii="Times New Roman" w:hAnsi="Times New Roman"/>
        </w:rPr>
        <w:t>Examples</w:t>
      </w:r>
      <w:r w:rsidRPr="00B925AC">
        <w:rPr>
          <w:rFonts w:ascii="Times New Roman" w:hAnsi="Times New Roman"/>
          <w:spacing w:val="-15"/>
        </w:rPr>
        <w:t xml:space="preserve"> </w:t>
      </w:r>
      <w:r w:rsidRPr="00B925AC">
        <w:rPr>
          <w:rFonts w:ascii="Times New Roman" w:hAnsi="Times New Roman"/>
        </w:rPr>
        <w:t>include</w:t>
      </w:r>
      <w:r w:rsidRPr="00B925AC">
        <w:rPr>
          <w:rFonts w:ascii="Times New Roman" w:hAnsi="Times New Roman"/>
          <w:spacing w:val="-15"/>
        </w:rPr>
        <w:t xml:space="preserve"> </w:t>
      </w:r>
      <w:r w:rsidRPr="00B925AC">
        <w:rPr>
          <w:rFonts w:ascii="Times New Roman" w:hAnsi="Times New Roman"/>
        </w:rPr>
        <w:t>the</w:t>
      </w:r>
      <w:r w:rsidRPr="00B925AC">
        <w:rPr>
          <w:rFonts w:ascii="Times New Roman" w:hAnsi="Times New Roman"/>
          <w:spacing w:val="-15"/>
        </w:rPr>
        <w:t xml:space="preserve"> </w:t>
      </w:r>
      <w:r w:rsidRPr="00B925AC">
        <w:rPr>
          <w:rFonts w:ascii="Times New Roman" w:hAnsi="Times New Roman"/>
        </w:rPr>
        <w:t>Republican</w:t>
      </w:r>
      <w:r w:rsidRPr="00B925AC">
        <w:rPr>
          <w:rFonts w:ascii="Times New Roman" w:hAnsi="Times New Roman"/>
          <w:spacing w:val="-14"/>
        </w:rPr>
        <w:t xml:space="preserve"> </w:t>
      </w:r>
      <w:r w:rsidRPr="00B925AC">
        <w:rPr>
          <w:rFonts w:ascii="Times New Roman" w:hAnsi="Times New Roman"/>
        </w:rPr>
        <w:t>(Democratic)</w:t>
      </w:r>
      <w:r w:rsidRPr="00B925AC">
        <w:rPr>
          <w:rFonts w:ascii="Times New Roman" w:hAnsi="Times New Roman"/>
          <w:spacing w:val="-15"/>
        </w:rPr>
        <w:t xml:space="preserve"> </w:t>
      </w:r>
      <w:r w:rsidRPr="00B925AC">
        <w:rPr>
          <w:rFonts w:ascii="Times New Roman" w:hAnsi="Times New Roman"/>
        </w:rPr>
        <w:t>Party’s</w:t>
      </w:r>
      <w:r w:rsidRPr="00B925AC">
        <w:rPr>
          <w:rFonts w:ascii="Times New Roman" w:hAnsi="Times New Roman"/>
          <w:spacing w:val="-15"/>
        </w:rPr>
        <w:t xml:space="preserve"> </w:t>
      </w:r>
      <w:r w:rsidRPr="00B925AC">
        <w:rPr>
          <w:rFonts w:ascii="Times New Roman" w:hAnsi="Times New Roman"/>
        </w:rPr>
        <w:t>efforts</w:t>
      </w:r>
      <w:r w:rsidRPr="00B925AC">
        <w:rPr>
          <w:rFonts w:ascii="Times New Roman" w:hAnsi="Times New Roman"/>
          <w:spacing w:val="-15"/>
        </w:rPr>
        <w:t xml:space="preserve"> </w:t>
      </w:r>
      <w:r w:rsidRPr="00B925AC">
        <w:rPr>
          <w:rFonts w:ascii="Times New Roman" w:hAnsi="Times New Roman"/>
        </w:rPr>
        <w:t>to</w:t>
      </w:r>
      <w:r w:rsidRPr="00B925AC">
        <w:rPr>
          <w:rFonts w:ascii="Times New Roman" w:hAnsi="Times New Roman"/>
          <w:spacing w:val="-14"/>
        </w:rPr>
        <w:t xml:space="preserve"> </w:t>
      </w:r>
      <w:r w:rsidRPr="00B925AC">
        <w:rPr>
          <w:rFonts w:ascii="Times New Roman" w:hAnsi="Times New Roman"/>
        </w:rPr>
        <w:t>woo</w:t>
      </w:r>
      <w:r w:rsidRPr="00B925AC">
        <w:rPr>
          <w:rFonts w:ascii="Times New Roman" w:hAnsi="Times New Roman"/>
          <w:spacing w:val="-15"/>
        </w:rPr>
        <w:t xml:space="preserve"> </w:t>
      </w:r>
      <w:r w:rsidRPr="00B925AC">
        <w:rPr>
          <w:rFonts w:ascii="Times New Roman" w:hAnsi="Times New Roman"/>
        </w:rPr>
        <w:t>pro-life</w:t>
      </w:r>
      <w:r w:rsidRPr="00B925AC">
        <w:rPr>
          <w:rFonts w:ascii="Times New Roman" w:hAnsi="Times New Roman"/>
          <w:spacing w:val="-15"/>
        </w:rPr>
        <w:t xml:space="preserve"> </w:t>
      </w:r>
      <w:r w:rsidRPr="00B925AC">
        <w:rPr>
          <w:rFonts w:ascii="Times New Roman" w:hAnsi="Times New Roman"/>
        </w:rPr>
        <w:t>(pro-</w:t>
      </w:r>
      <w:r w:rsidR="008362F0" w:rsidRPr="00B925AC">
        <w:rPr>
          <w:rFonts w:ascii="Times New Roman" w:hAnsi="Times New Roman"/>
        </w:rPr>
        <w:t>choice) and pro</w:t>
      </w:r>
      <w:r w:rsidRPr="00B925AC">
        <w:rPr>
          <w:rFonts w:ascii="Times New Roman" w:hAnsi="Times New Roman"/>
        </w:rPr>
        <w:t>-gun</w:t>
      </w:r>
      <w:r w:rsidRPr="00B925AC">
        <w:rPr>
          <w:rFonts w:ascii="Times New Roman" w:hAnsi="Times New Roman"/>
          <w:spacing w:val="16"/>
        </w:rPr>
        <w:t xml:space="preserve"> </w:t>
      </w:r>
      <w:r w:rsidRPr="00B925AC">
        <w:rPr>
          <w:rFonts w:ascii="Times New Roman" w:hAnsi="Times New Roman"/>
        </w:rPr>
        <w:t>(control)</w:t>
      </w:r>
      <w:r w:rsidRPr="00B925AC">
        <w:rPr>
          <w:rFonts w:ascii="Times New Roman" w:hAnsi="Times New Roman"/>
          <w:spacing w:val="17"/>
        </w:rPr>
        <w:t xml:space="preserve"> </w:t>
      </w:r>
      <w:r w:rsidRPr="00B925AC">
        <w:rPr>
          <w:rFonts w:ascii="Times New Roman" w:hAnsi="Times New Roman"/>
        </w:rPr>
        <w:t>voters</w:t>
      </w:r>
      <w:r w:rsidR="001D4D5D" w:rsidRPr="00B925AC">
        <w:rPr>
          <w:rStyle w:val="FootnoteReference"/>
          <w:rFonts w:ascii="Times New Roman" w:hAnsi="Times New Roman"/>
        </w:rPr>
        <w:footnoteReference w:id="133"/>
      </w:r>
      <w:r w:rsidRPr="00B925AC">
        <w:rPr>
          <w:rFonts w:ascii="Times New Roman" w:hAnsi="Times New Roman"/>
          <w:spacing w:val="28"/>
        </w:rPr>
        <w:t xml:space="preserve"> </w:t>
      </w:r>
      <w:r w:rsidRPr="00B925AC">
        <w:rPr>
          <w:rFonts w:ascii="Times New Roman" w:hAnsi="Times New Roman"/>
        </w:rPr>
        <w:t>and</w:t>
      </w:r>
      <w:r w:rsidRPr="00B925AC">
        <w:rPr>
          <w:rFonts w:ascii="Times New Roman" w:hAnsi="Times New Roman"/>
          <w:spacing w:val="17"/>
        </w:rPr>
        <w:t xml:space="preserve"> </w:t>
      </w:r>
      <w:r w:rsidRPr="00B925AC">
        <w:rPr>
          <w:rFonts w:ascii="Times New Roman" w:hAnsi="Times New Roman"/>
        </w:rPr>
        <w:t>the</w:t>
      </w:r>
      <w:r w:rsidRPr="00B925AC">
        <w:rPr>
          <w:rFonts w:ascii="Times New Roman" w:hAnsi="Times New Roman"/>
          <w:spacing w:val="16"/>
        </w:rPr>
        <w:t xml:space="preserve"> </w:t>
      </w:r>
      <w:r w:rsidRPr="00B925AC">
        <w:rPr>
          <w:rFonts w:ascii="Times New Roman" w:hAnsi="Times New Roman"/>
        </w:rPr>
        <w:t>Democrats’</w:t>
      </w:r>
      <w:r w:rsidRPr="00B925AC">
        <w:rPr>
          <w:rFonts w:ascii="Times New Roman" w:hAnsi="Times New Roman"/>
          <w:spacing w:val="16"/>
        </w:rPr>
        <w:t xml:space="preserve"> </w:t>
      </w:r>
      <w:r w:rsidRPr="00B925AC">
        <w:rPr>
          <w:rFonts w:ascii="Times New Roman" w:hAnsi="Times New Roman"/>
        </w:rPr>
        <w:t>efforts</w:t>
      </w:r>
      <w:r w:rsidRPr="00B925AC">
        <w:rPr>
          <w:rFonts w:ascii="Times New Roman" w:hAnsi="Times New Roman"/>
          <w:spacing w:val="17"/>
        </w:rPr>
        <w:t xml:space="preserve"> </w:t>
      </w:r>
      <w:r w:rsidRPr="00B925AC">
        <w:rPr>
          <w:rFonts w:ascii="Times New Roman" w:hAnsi="Times New Roman"/>
        </w:rPr>
        <w:t>to</w:t>
      </w:r>
      <w:r w:rsidRPr="00B925AC">
        <w:rPr>
          <w:rFonts w:ascii="Times New Roman" w:hAnsi="Times New Roman"/>
          <w:spacing w:val="16"/>
        </w:rPr>
        <w:t xml:space="preserve"> </w:t>
      </w:r>
      <w:r w:rsidRPr="00B925AC">
        <w:rPr>
          <w:rFonts w:ascii="Times New Roman" w:hAnsi="Times New Roman"/>
        </w:rPr>
        <w:t>woo</w:t>
      </w:r>
      <w:r w:rsidRPr="00B925AC">
        <w:rPr>
          <w:rFonts w:ascii="Times New Roman" w:hAnsi="Times New Roman"/>
          <w:spacing w:val="16"/>
        </w:rPr>
        <w:t xml:space="preserve"> </w:t>
      </w:r>
      <w:r w:rsidRPr="00B925AC">
        <w:rPr>
          <w:rFonts w:ascii="Times New Roman" w:hAnsi="Times New Roman"/>
        </w:rPr>
        <w:t>environmentalists.</w:t>
      </w:r>
      <w:r w:rsidR="001D4D5D" w:rsidRPr="00B925AC">
        <w:rPr>
          <w:rStyle w:val="FootnoteReference"/>
          <w:rFonts w:ascii="Times New Roman" w:hAnsi="Times New Roman"/>
        </w:rPr>
        <w:footnoteReference w:id="134"/>
      </w:r>
      <w:r w:rsidRPr="00B925AC">
        <w:rPr>
          <w:rFonts w:ascii="Times New Roman" w:hAnsi="Times New Roman"/>
          <w:spacing w:val="1"/>
        </w:rPr>
        <w:t xml:space="preserve"> </w:t>
      </w:r>
      <w:r w:rsidRPr="00B925AC">
        <w:rPr>
          <w:rFonts w:ascii="Times New Roman" w:hAnsi="Times New Roman"/>
        </w:rPr>
        <w:t>Changes</w:t>
      </w:r>
      <w:r w:rsidRPr="00B925AC">
        <w:rPr>
          <w:rFonts w:ascii="Times New Roman" w:hAnsi="Times New Roman"/>
          <w:spacing w:val="15"/>
        </w:rPr>
        <w:t xml:space="preserve"> </w:t>
      </w:r>
      <w:r w:rsidRPr="00B925AC">
        <w:rPr>
          <w:rFonts w:ascii="Times New Roman" w:hAnsi="Times New Roman"/>
        </w:rPr>
        <w:t>motivated</w:t>
      </w:r>
      <w:r w:rsidRPr="00B925AC">
        <w:rPr>
          <w:rFonts w:ascii="Times New Roman" w:hAnsi="Times New Roman"/>
          <w:spacing w:val="15"/>
        </w:rPr>
        <w:t xml:space="preserve"> </w:t>
      </w:r>
      <w:r w:rsidRPr="00B925AC">
        <w:rPr>
          <w:rFonts w:ascii="Times New Roman" w:hAnsi="Times New Roman"/>
        </w:rPr>
        <w:t>by</w:t>
      </w:r>
      <w:r w:rsidRPr="00B925AC">
        <w:rPr>
          <w:rFonts w:ascii="Times New Roman" w:hAnsi="Times New Roman"/>
          <w:spacing w:val="16"/>
        </w:rPr>
        <w:t xml:space="preserve"> </w:t>
      </w:r>
      <w:r w:rsidRPr="00B925AC">
        <w:rPr>
          <w:rFonts w:ascii="Times New Roman" w:hAnsi="Times New Roman"/>
        </w:rPr>
        <w:t>“group</w:t>
      </w:r>
      <w:r w:rsidRPr="00B925AC">
        <w:rPr>
          <w:rFonts w:ascii="Times New Roman" w:hAnsi="Times New Roman"/>
          <w:spacing w:val="15"/>
        </w:rPr>
        <w:t xml:space="preserve"> </w:t>
      </w:r>
      <w:r w:rsidRPr="00B925AC">
        <w:rPr>
          <w:rFonts w:ascii="Times New Roman" w:hAnsi="Times New Roman"/>
        </w:rPr>
        <w:t>incorporation</w:t>
      </w:r>
      <w:r w:rsidR="0082767D" w:rsidRPr="00B925AC">
        <w:rPr>
          <w:rFonts w:ascii="Times New Roman" w:hAnsi="Times New Roman"/>
        </w:rPr>
        <w:t>”</w:t>
      </w:r>
      <w:r w:rsidRPr="00B925AC">
        <w:rPr>
          <w:rFonts w:ascii="Times New Roman" w:hAnsi="Times New Roman"/>
          <w:spacing w:val="16"/>
        </w:rPr>
        <w:t xml:space="preserve"> </w:t>
      </w:r>
      <w:r w:rsidRPr="00B925AC">
        <w:rPr>
          <w:rFonts w:ascii="Times New Roman" w:hAnsi="Times New Roman"/>
        </w:rPr>
        <w:t>are</w:t>
      </w:r>
      <w:r w:rsidRPr="00B925AC">
        <w:rPr>
          <w:rFonts w:ascii="Times New Roman" w:hAnsi="Times New Roman"/>
          <w:spacing w:val="15"/>
        </w:rPr>
        <w:t xml:space="preserve"> </w:t>
      </w:r>
      <w:r w:rsidRPr="00B925AC">
        <w:rPr>
          <w:rFonts w:ascii="Times New Roman" w:hAnsi="Times New Roman"/>
        </w:rPr>
        <w:t>likely</w:t>
      </w:r>
      <w:r w:rsidRPr="00B925AC">
        <w:rPr>
          <w:rFonts w:ascii="Times New Roman" w:hAnsi="Times New Roman"/>
          <w:spacing w:val="16"/>
        </w:rPr>
        <w:t xml:space="preserve"> </w:t>
      </w:r>
      <w:r w:rsidRPr="00B925AC">
        <w:rPr>
          <w:rFonts w:ascii="Times New Roman" w:hAnsi="Times New Roman"/>
        </w:rPr>
        <w:t>to</w:t>
      </w:r>
      <w:r w:rsidRPr="00B925AC">
        <w:rPr>
          <w:rFonts w:ascii="Times New Roman" w:hAnsi="Times New Roman"/>
          <w:spacing w:val="15"/>
        </w:rPr>
        <w:t xml:space="preserve"> </w:t>
      </w:r>
      <w:r w:rsidRPr="00B925AC">
        <w:rPr>
          <w:rFonts w:ascii="Times New Roman" w:hAnsi="Times New Roman"/>
        </w:rPr>
        <w:t>be</w:t>
      </w:r>
      <w:r w:rsidRPr="00B925AC">
        <w:rPr>
          <w:rFonts w:ascii="Times New Roman" w:hAnsi="Times New Roman"/>
          <w:spacing w:val="16"/>
        </w:rPr>
        <w:t xml:space="preserve"> </w:t>
      </w:r>
      <w:r w:rsidRPr="00B925AC">
        <w:rPr>
          <w:rFonts w:ascii="Times New Roman" w:hAnsi="Times New Roman"/>
        </w:rPr>
        <w:t>slow.</w:t>
      </w:r>
      <w:r w:rsidRPr="00B925AC">
        <w:rPr>
          <w:rFonts w:ascii="Times New Roman" w:hAnsi="Times New Roman"/>
          <w:spacing w:val="54"/>
        </w:rPr>
        <w:t xml:space="preserve"> </w:t>
      </w:r>
      <w:r w:rsidRPr="00B925AC">
        <w:rPr>
          <w:rFonts w:ascii="Times New Roman" w:hAnsi="Times New Roman"/>
        </w:rPr>
        <w:t>When</w:t>
      </w:r>
      <w:r w:rsidRPr="00B925AC">
        <w:rPr>
          <w:rFonts w:ascii="Times New Roman" w:hAnsi="Times New Roman"/>
          <w:spacing w:val="16"/>
        </w:rPr>
        <w:t xml:space="preserve"> </w:t>
      </w:r>
      <w:r w:rsidRPr="00B925AC">
        <w:rPr>
          <w:rFonts w:ascii="Times New Roman" w:hAnsi="Times New Roman"/>
        </w:rPr>
        <w:t>abortion</w:t>
      </w:r>
      <w:r w:rsidRPr="00B925AC">
        <w:rPr>
          <w:rFonts w:ascii="Times New Roman" w:hAnsi="Times New Roman"/>
          <w:spacing w:val="15"/>
        </w:rPr>
        <w:t xml:space="preserve"> </w:t>
      </w:r>
      <w:r w:rsidR="0082767D" w:rsidRPr="00B925AC">
        <w:rPr>
          <w:rFonts w:ascii="Times New Roman" w:hAnsi="Times New Roman"/>
        </w:rPr>
        <w:t xml:space="preserve">first emerged </w:t>
      </w:r>
      <w:r w:rsidRPr="00B925AC">
        <w:rPr>
          <w:rFonts w:ascii="Times New Roman" w:hAnsi="Times New Roman"/>
          <w:w w:val="95"/>
        </w:rPr>
        <w:t>as</w:t>
      </w:r>
      <w:r w:rsidRPr="00B925AC">
        <w:rPr>
          <w:rFonts w:ascii="Times New Roman" w:hAnsi="Times New Roman"/>
          <w:spacing w:val="11"/>
          <w:w w:val="95"/>
        </w:rPr>
        <w:t xml:space="preserve"> </w:t>
      </w:r>
      <w:r w:rsidRPr="00B925AC">
        <w:rPr>
          <w:rFonts w:ascii="Times New Roman" w:hAnsi="Times New Roman"/>
          <w:w w:val="95"/>
        </w:rPr>
        <w:t>a</w:t>
      </w:r>
      <w:r w:rsidRPr="00B925AC">
        <w:rPr>
          <w:rFonts w:ascii="Times New Roman" w:hAnsi="Times New Roman"/>
          <w:spacing w:val="11"/>
          <w:w w:val="95"/>
        </w:rPr>
        <w:t xml:space="preserve"> </w:t>
      </w:r>
      <w:r w:rsidRPr="00B925AC">
        <w:rPr>
          <w:rFonts w:ascii="Times New Roman" w:hAnsi="Times New Roman"/>
          <w:w w:val="95"/>
        </w:rPr>
        <w:t>salient</w:t>
      </w:r>
      <w:r w:rsidRPr="00B925AC">
        <w:rPr>
          <w:rFonts w:ascii="Times New Roman" w:hAnsi="Times New Roman"/>
          <w:spacing w:val="12"/>
          <w:w w:val="95"/>
        </w:rPr>
        <w:t xml:space="preserve"> </w:t>
      </w:r>
      <w:r w:rsidRPr="00B925AC">
        <w:rPr>
          <w:rFonts w:ascii="Times New Roman" w:hAnsi="Times New Roman"/>
          <w:w w:val="95"/>
        </w:rPr>
        <w:t>political</w:t>
      </w:r>
      <w:r w:rsidRPr="00B925AC">
        <w:rPr>
          <w:rFonts w:ascii="Times New Roman" w:hAnsi="Times New Roman"/>
          <w:spacing w:val="11"/>
          <w:w w:val="95"/>
        </w:rPr>
        <w:t xml:space="preserve"> </w:t>
      </w:r>
      <w:r w:rsidRPr="00B925AC">
        <w:rPr>
          <w:rFonts w:ascii="Times New Roman" w:hAnsi="Times New Roman"/>
          <w:w w:val="95"/>
        </w:rPr>
        <w:t>issue,</w:t>
      </w:r>
      <w:r w:rsidRPr="00B925AC">
        <w:rPr>
          <w:rFonts w:ascii="Times New Roman" w:hAnsi="Times New Roman"/>
          <w:spacing w:val="12"/>
          <w:w w:val="95"/>
        </w:rPr>
        <w:t xml:space="preserve"> </w:t>
      </w:r>
      <w:r w:rsidRPr="00B925AC">
        <w:rPr>
          <w:rFonts w:ascii="Times New Roman" w:hAnsi="Times New Roman"/>
          <w:w w:val="95"/>
        </w:rPr>
        <w:t>neither</w:t>
      </w:r>
      <w:r w:rsidRPr="00B925AC">
        <w:rPr>
          <w:rFonts w:ascii="Times New Roman" w:hAnsi="Times New Roman"/>
          <w:spacing w:val="12"/>
          <w:w w:val="95"/>
        </w:rPr>
        <w:t xml:space="preserve"> </w:t>
      </w:r>
      <w:r w:rsidRPr="00B925AC">
        <w:rPr>
          <w:rFonts w:ascii="Times New Roman" w:hAnsi="Times New Roman"/>
          <w:w w:val="95"/>
        </w:rPr>
        <w:t>party</w:t>
      </w:r>
      <w:r w:rsidRPr="00B925AC">
        <w:rPr>
          <w:rFonts w:ascii="Times New Roman" w:hAnsi="Times New Roman"/>
          <w:spacing w:val="11"/>
          <w:w w:val="95"/>
        </w:rPr>
        <w:t xml:space="preserve"> </w:t>
      </w:r>
      <w:r w:rsidRPr="00B925AC">
        <w:rPr>
          <w:rFonts w:ascii="Times New Roman" w:hAnsi="Times New Roman"/>
          <w:w w:val="95"/>
        </w:rPr>
        <w:t>was</w:t>
      </w:r>
      <w:r w:rsidRPr="00B925AC">
        <w:rPr>
          <w:rFonts w:ascii="Times New Roman" w:hAnsi="Times New Roman"/>
          <w:spacing w:val="11"/>
          <w:w w:val="95"/>
        </w:rPr>
        <w:t xml:space="preserve"> </w:t>
      </w:r>
      <w:r w:rsidRPr="00B925AC">
        <w:rPr>
          <w:rFonts w:ascii="Times New Roman" w:hAnsi="Times New Roman"/>
          <w:w w:val="95"/>
        </w:rPr>
        <w:t>dominated</w:t>
      </w:r>
      <w:r w:rsidRPr="00B925AC">
        <w:rPr>
          <w:rFonts w:ascii="Times New Roman" w:hAnsi="Times New Roman"/>
          <w:spacing w:val="11"/>
          <w:w w:val="95"/>
        </w:rPr>
        <w:t xml:space="preserve"> </w:t>
      </w:r>
      <w:r w:rsidRPr="00B925AC">
        <w:rPr>
          <w:rFonts w:ascii="Times New Roman" w:hAnsi="Times New Roman"/>
          <w:w w:val="95"/>
        </w:rPr>
        <w:t>by</w:t>
      </w:r>
      <w:r w:rsidRPr="00B925AC">
        <w:rPr>
          <w:rFonts w:ascii="Times New Roman" w:hAnsi="Times New Roman"/>
          <w:spacing w:val="12"/>
          <w:w w:val="95"/>
        </w:rPr>
        <w:t xml:space="preserve"> </w:t>
      </w:r>
      <w:r w:rsidRPr="00B925AC">
        <w:rPr>
          <w:rFonts w:ascii="Times New Roman" w:hAnsi="Times New Roman"/>
          <w:w w:val="95"/>
        </w:rPr>
        <w:t>advocates</w:t>
      </w:r>
      <w:r w:rsidRPr="00B925AC">
        <w:rPr>
          <w:rFonts w:ascii="Times New Roman" w:hAnsi="Times New Roman"/>
          <w:spacing w:val="11"/>
          <w:w w:val="95"/>
        </w:rPr>
        <w:t xml:space="preserve"> </w:t>
      </w:r>
      <w:r w:rsidRPr="00B925AC">
        <w:rPr>
          <w:rFonts w:ascii="Times New Roman" w:hAnsi="Times New Roman"/>
          <w:w w:val="95"/>
        </w:rPr>
        <w:t>on</w:t>
      </w:r>
      <w:r w:rsidRPr="00B925AC">
        <w:rPr>
          <w:rFonts w:ascii="Times New Roman" w:hAnsi="Times New Roman"/>
          <w:spacing w:val="11"/>
          <w:w w:val="95"/>
        </w:rPr>
        <w:t xml:space="preserve"> </w:t>
      </w:r>
      <w:r w:rsidRPr="00B925AC">
        <w:rPr>
          <w:rFonts w:ascii="Times New Roman" w:hAnsi="Times New Roman"/>
          <w:w w:val="95"/>
        </w:rPr>
        <w:t>either</w:t>
      </w:r>
      <w:r w:rsidRPr="00B925AC">
        <w:rPr>
          <w:rFonts w:ascii="Times New Roman" w:hAnsi="Times New Roman"/>
          <w:spacing w:val="12"/>
          <w:w w:val="95"/>
        </w:rPr>
        <w:t xml:space="preserve"> </w:t>
      </w:r>
      <w:r w:rsidRPr="00B925AC">
        <w:rPr>
          <w:rFonts w:ascii="Times New Roman" w:hAnsi="Times New Roman"/>
          <w:w w:val="95"/>
        </w:rPr>
        <w:t>side</w:t>
      </w:r>
      <w:r w:rsidRPr="00B925AC">
        <w:rPr>
          <w:rFonts w:ascii="Times New Roman" w:hAnsi="Times New Roman"/>
          <w:spacing w:val="1"/>
          <w:w w:val="95"/>
        </w:rPr>
        <w:t xml:space="preserve"> </w:t>
      </w:r>
      <w:r w:rsidRPr="00B925AC">
        <w:rPr>
          <w:rFonts w:ascii="Times New Roman" w:hAnsi="Times New Roman"/>
        </w:rPr>
        <w:t>of</w:t>
      </w:r>
      <w:r w:rsidRPr="00B925AC">
        <w:rPr>
          <w:rFonts w:ascii="Times New Roman" w:hAnsi="Times New Roman"/>
          <w:spacing w:val="-11"/>
        </w:rPr>
        <w:t xml:space="preserve"> </w:t>
      </w:r>
      <w:r w:rsidRPr="00B925AC">
        <w:rPr>
          <w:rFonts w:ascii="Times New Roman" w:hAnsi="Times New Roman"/>
        </w:rPr>
        <w:t>the</w:t>
      </w:r>
      <w:r w:rsidRPr="00B925AC">
        <w:rPr>
          <w:rFonts w:ascii="Times New Roman" w:hAnsi="Times New Roman"/>
          <w:spacing w:val="-10"/>
        </w:rPr>
        <w:t xml:space="preserve"> </w:t>
      </w:r>
      <w:r w:rsidRPr="00B925AC">
        <w:rPr>
          <w:rFonts w:ascii="Times New Roman" w:hAnsi="Times New Roman"/>
        </w:rPr>
        <w:t>debate.</w:t>
      </w:r>
      <w:r w:rsidR="003A7F8E" w:rsidRPr="00B925AC">
        <w:rPr>
          <w:rStyle w:val="FootnoteReference"/>
          <w:rFonts w:ascii="Times New Roman" w:hAnsi="Times New Roman"/>
        </w:rPr>
        <w:footnoteReference w:id="135"/>
      </w:r>
      <w:r w:rsidRPr="00B925AC">
        <w:rPr>
          <w:rFonts w:ascii="Times New Roman" w:hAnsi="Times New Roman"/>
          <w:spacing w:val="10"/>
        </w:rPr>
        <w:t xml:space="preserve"> </w:t>
      </w:r>
      <w:r w:rsidRPr="00B925AC">
        <w:rPr>
          <w:rFonts w:ascii="Times New Roman" w:hAnsi="Times New Roman"/>
        </w:rPr>
        <w:t>As</w:t>
      </w:r>
      <w:r w:rsidRPr="00B925AC">
        <w:rPr>
          <w:rFonts w:ascii="Times New Roman" w:hAnsi="Times New Roman"/>
          <w:spacing w:val="-10"/>
        </w:rPr>
        <w:t xml:space="preserve"> </w:t>
      </w:r>
      <w:r w:rsidRPr="00B925AC">
        <w:rPr>
          <w:rFonts w:ascii="Times New Roman" w:hAnsi="Times New Roman"/>
        </w:rPr>
        <w:t>a</w:t>
      </w:r>
      <w:r w:rsidRPr="00B925AC">
        <w:rPr>
          <w:rFonts w:ascii="Times New Roman" w:hAnsi="Times New Roman"/>
          <w:spacing w:val="-11"/>
        </w:rPr>
        <w:t xml:space="preserve"> </w:t>
      </w:r>
      <w:r w:rsidRPr="00B925AC">
        <w:rPr>
          <w:rFonts w:ascii="Times New Roman" w:hAnsi="Times New Roman"/>
        </w:rPr>
        <w:t>result,</w:t>
      </w:r>
      <w:r w:rsidRPr="00B925AC">
        <w:rPr>
          <w:rFonts w:ascii="Times New Roman" w:hAnsi="Times New Roman"/>
          <w:spacing w:val="-10"/>
        </w:rPr>
        <w:t xml:space="preserve"> </w:t>
      </w:r>
      <w:r w:rsidRPr="00B925AC">
        <w:rPr>
          <w:rFonts w:ascii="Times New Roman" w:hAnsi="Times New Roman"/>
        </w:rPr>
        <w:t>primary</w:t>
      </w:r>
      <w:r w:rsidRPr="00B925AC">
        <w:rPr>
          <w:rFonts w:ascii="Times New Roman" w:hAnsi="Times New Roman"/>
          <w:spacing w:val="-11"/>
        </w:rPr>
        <w:t xml:space="preserve"> </w:t>
      </w:r>
      <w:r w:rsidRPr="00B925AC">
        <w:rPr>
          <w:rFonts w:ascii="Times New Roman" w:hAnsi="Times New Roman"/>
        </w:rPr>
        <w:t>voters</w:t>
      </w:r>
      <w:r w:rsidRPr="00B925AC">
        <w:rPr>
          <w:rFonts w:ascii="Times New Roman" w:hAnsi="Times New Roman"/>
          <w:spacing w:val="-10"/>
        </w:rPr>
        <w:t xml:space="preserve"> </w:t>
      </w:r>
      <w:r w:rsidRPr="00B925AC">
        <w:rPr>
          <w:rFonts w:ascii="Times New Roman" w:hAnsi="Times New Roman"/>
        </w:rPr>
        <w:t>did</w:t>
      </w:r>
      <w:r w:rsidRPr="00B925AC">
        <w:rPr>
          <w:rFonts w:ascii="Times New Roman" w:hAnsi="Times New Roman"/>
          <w:spacing w:val="-11"/>
        </w:rPr>
        <w:t xml:space="preserve"> </w:t>
      </w:r>
      <w:r w:rsidRPr="00B925AC">
        <w:rPr>
          <w:rFonts w:ascii="Times New Roman" w:hAnsi="Times New Roman"/>
        </w:rPr>
        <w:t>not</w:t>
      </w:r>
      <w:r w:rsidRPr="00B925AC">
        <w:rPr>
          <w:rFonts w:ascii="Times New Roman" w:hAnsi="Times New Roman"/>
          <w:spacing w:val="-10"/>
        </w:rPr>
        <w:t xml:space="preserve"> </w:t>
      </w:r>
      <w:r w:rsidRPr="00B925AC">
        <w:rPr>
          <w:rFonts w:ascii="Times New Roman" w:hAnsi="Times New Roman"/>
        </w:rPr>
        <w:t>consistently</w:t>
      </w:r>
      <w:r w:rsidRPr="00B925AC">
        <w:rPr>
          <w:rFonts w:ascii="Times New Roman" w:hAnsi="Times New Roman"/>
          <w:spacing w:val="-11"/>
        </w:rPr>
        <w:t xml:space="preserve"> </w:t>
      </w:r>
      <w:r w:rsidRPr="00B925AC">
        <w:rPr>
          <w:rFonts w:ascii="Times New Roman" w:hAnsi="Times New Roman"/>
        </w:rPr>
        <w:t>push</w:t>
      </w:r>
      <w:r w:rsidRPr="00B925AC">
        <w:rPr>
          <w:rFonts w:ascii="Times New Roman" w:hAnsi="Times New Roman"/>
          <w:spacing w:val="-10"/>
        </w:rPr>
        <w:t xml:space="preserve"> </w:t>
      </w:r>
      <w:r w:rsidRPr="00B925AC">
        <w:rPr>
          <w:rFonts w:ascii="Times New Roman" w:hAnsi="Times New Roman"/>
        </w:rPr>
        <w:t>their</w:t>
      </w:r>
      <w:r w:rsidRPr="00B925AC">
        <w:rPr>
          <w:rFonts w:ascii="Times New Roman" w:hAnsi="Times New Roman"/>
          <w:spacing w:val="-11"/>
        </w:rPr>
        <w:t xml:space="preserve"> </w:t>
      </w:r>
      <w:r w:rsidRPr="00B925AC">
        <w:rPr>
          <w:rFonts w:ascii="Times New Roman" w:hAnsi="Times New Roman"/>
        </w:rPr>
        <w:t>elected</w:t>
      </w:r>
      <w:r w:rsidRPr="00B925AC">
        <w:rPr>
          <w:rFonts w:ascii="Times New Roman" w:hAnsi="Times New Roman"/>
          <w:spacing w:val="-10"/>
        </w:rPr>
        <w:t xml:space="preserve"> </w:t>
      </w:r>
      <w:r w:rsidRPr="00B925AC">
        <w:rPr>
          <w:rFonts w:ascii="Times New Roman" w:hAnsi="Times New Roman"/>
        </w:rPr>
        <w:t>officials</w:t>
      </w:r>
      <w:r w:rsidRPr="00B925AC">
        <w:rPr>
          <w:rFonts w:ascii="Times New Roman" w:hAnsi="Times New Roman"/>
          <w:spacing w:val="-57"/>
        </w:rPr>
        <w:t xml:space="preserve"> </w:t>
      </w:r>
      <w:r w:rsidRPr="00B925AC">
        <w:rPr>
          <w:rFonts w:ascii="Times New Roman" w:hAnsi="Times New Roman"/>
        </w:rPr>
        <w:t>in</w:t>
      </w:r>
      <w:r w:rsidRPr="00B925AC">
        <w:rPr>
          <w:rFonts w:ascii="Times New Roman" w:hAnsi="Times New Roman"/>
          <w:spacing w:val="-11"/>
        </w:rPr>
        <w:t xml:space="preserve"> </w:t>
      </w:r>
      <w:r w:rsidRPr="00B925AC">
        <w:rPr>
          <w:rFonts w:ascii="Times New Roman" w:hAnsi="Times New Roman"/>
        </w:rPr>
        <w:t>one</w:t>
      </w:r>
      <w:r w:rsidRPr="00B925AC">
        <w:rPr>
          <w:rFonts w:ascii="Times New Roman" w:hAnsi="Times New Roman"/>
          <w:spacing w:val="-10"/>
        </w:rPr>
        <w:t xml:space="preserve"> </w:t>
      </w:r>
      <w:r w:rsidRPr="00B925AC">
        <w:rPr>
          <w:rFonts w:ascii="Times New Roman" w:hAnsi="Times New Roman"/>
        </w:rPr>
        <w:t>direction</w:t>
      </w:r>
      <w:r w:rsidRPr="00B925AC">
        <w:rPr>
          <w:rFonts w:ascii="Times New Roman" w:hAnsi="Times New Roman"/>
          <w:spacing w:val="-10"/>
        </w:rPr>
        <w:t xml:space="preserve"> </w:t>
      </w:r>
      <w:r w:rsidRPr="00B925AC">
        <w:rPr>
          <w:rFonts w:ascii="Times New Roman" w:hAnsi="Times New Roman"/>
        </w:rPr>
        <w:t>or</w:t>
      </w:r>
      <w:r w:rsidRPr="00B925AC">
        <w:rPr>
          <w:rFonts w:ascii="Times New Roman" w:hAnsi="Times New Roman"/>
          <w:spacing w:val="-10"/>
        </w:rPr>
        <w:t xml:space="preserve"> </w:t>
      </w:r>
      <w:r w:rsidRPr="00B925AC">
        <w:rPr>
          <w:rFonts w:ascii="Times New Roman" w:hAnsi="Times New Roman"/>
        </w:rPr>
        <w:t>another.</w:t>
      </w:r>
      <w:r w:rsidR="003A7F8E" w:rsidRPr="00B925AC">
        <w:rPr>
          <w:rStyle w:val="FootnoteReference"/>
          <w:rFonts w:ascii="Times New Roman" w:hAnsi="Times New Roman"/>
        </w:rPr>
        <w:footnoteReference w:id="136"/>
      </w:r>
      <w:r w:rsidRPr="00B925AC">
        <w:rPr>
          <w:rFonts w:ascii="Times New Roman" w:hAnsi="Times New Roman"/>
          <w:spacing w:val="12"/>
        </w:rPr>
        <w:t xml:space="preserve"> </w:t>
      </w:r>
      <w:r w:rsidRPr="00B925AC">
        <w:rPr>
          <w:rFonts w:ascii="Times New Roman" w:hAnsi="Times New Roman"/>
        </w:rPr>
        <w:t>However,</w:t>
      </w:r>
      <w:r w:rsidRPr="00B925AC">
        <w:rPr>
          <w:rFonts w:ascii="Times New Roman" w:hAnsi="Times New Roman"/>
          <w:spacing w:val="-11"/>
        </w:rPr>
        <w:t xml:space="preserve"> </w:t>
      </w:r>
      <w:r w:rsidRPr="00B925AC">
        <w:rPr>
          <w:rFonts w:ascii="Times New Roman" w:hAnsi="Times New Roman"/>
        </w:rPr>
        <w:t>as</w:t>
      </w:r>
      <w:r w:rsidRPr="00B925AC">
        <w:rPr>
          <w:rFonts w:ascii="Times New Roman" w:hAnsi="Times New Roman"/>
          <w:spacing w:val="-10"/>
        </w:rPr>
        <w:t xml:space="preserve"> </w:t>
      </w:r>
      <w:r w:rsidRPr="00B925AC">
        <w:rPr>
          <w:rFonts w:ascii="Times New Roman" w:hAnsi="Times New Roman"/>
        </w:rPr>
        <w:t>elites</w:t>
      </w:r>
      <w:r w:rsidRPr="00B925AC">
        <w:rPr>
          <w:rFonts w:ascii="Times New Roman" w:hAnsi="Times New Roman"/>
          <w:spacing w:val="-10"/>
        </w:rPr>
        <w:t xml:space="preserve"> </w:t>
      </w:r>
      <w:r w:rsidRPr="00B925AC">
        <w:rPr>
          <w:rFonts w:ascii="Times New Roman" w:hAnsi="Times New Roman"/>
        </w:rPr>
        <w:t>achieved</w:t>
      </w:r>
      <w:r w:rsidRPr="00B925AC">
        <w:rPr>
          <w:rFonts w:ascii="Times New Roman" w:hAnsi="Times New Roman"/>
          <w:spacing w:val="-10"/>
        </w:rPr>
        <w:t xml:space="preserve"> </w:t>
      </w:r>
      <w:r w:rsidRPr="00B925AC">
        <w:rPr>
          <w:rFonts w:ascii="Times New Roman" w:hAnsi="Times New Roman"/>
        </w:rPr>
        <w:t>some</w:t>
      </w:r>
      <w:r w:rsidRPr="00B925AC">
        <w:rPr>
          <w:rFonts w:ascii="Times New Roman" w:hAnsi="Times New Roman"/>
          <w:spacing w:val="-10"/>
        </w:rPr>
        <w:t xml:space="preserve"> </w:t>
      </w:r>
      <w:r w:rsidRPr="00B925AC">
        <w:rPr>
          <w:rFonts w:ascii="Times New Roman" w:hAnsi="Times New Roman"/>
        </w:rPr>
        <w:t>success</w:t>
      </w:r>
      <w:r w:rsidRPr="00B925AC">
        <w:rPr>
          <w:rFonts w:ascii="Times New Roman" w:hAnsi="Times New Roman"/>
          <w:spacing w:val="-10"/>
        </w:rPr>
        <w:t xml:space="preserve"> </w:t>
      </w:r>
      <w:r w:rsidRPr="00B925AC">
        <w:rPr>
          <w:rFonts w:ascii="Times New Roman" w:hAnsi="Times New Roman"/>
        </w:rPr>
        <w:t>bringing</w:t>
      </w:r>
      <w:r w:rsidRPr="00B925AC">
        <w:rPr>
          <w:rFonts w:ascii="Times New Roman" w:hAnsi="Times New Roman"/>
          <w:spacing w:val="-10"/>
        </w:rPr>
        <w:t xml:space="preserve"> </w:t>
      </w:r>
      <w:r w:rsidR="00F81116" w:rsidRPr="00B925AC">
        <w:rPr>
          <w:rFonts w:ascii="Times New Roman" w:hAnsi="Times New Roman"/>
        </w:rPr>
        <w:t>abortion activists</w:t>
      </w:r>
      <w:r w:rsidRPr="00B925AC">
        <w:rPr>
          <w:rFonts w:ascii="Times New Roman" w:hAnsi="Times New Roman"/>
        </w:rPr>
        <w:t xml:space="preserve"> (pro-choice or pro-life) into their coalition,</w:t>
      </w:r>
      <w:r w:rsidR="000364E9" w:rsidRPr="00B925AC">
        <w:rPr>
          <w:rStyle w:val="FootnoteReference"/>
          <w:rFonts w:ascii="Times New Roman" w:hAnsi="Times New Roman"/>
        </w:rPr>
        <w:footnoteReference w:id="137"/>
      </w:r>
      <w:r w:rsidRPr="00B925AC">
        <w:rPr>
          <w:rFonts w:ascii="Times New Roman" w:hAnsi="Times New Roman"/>
        </w:rPr>
        <w:t xml:space="preserve"> those activists began to play a role</w:t>
      </w:r>
      <w:r w:rsidRPr="00B925AC">
        <w:rPr>
          <w:rFonts w:ascii="Times New Roman" w:hAnsi="Times New Roman"/>
          <w:spacing w:val="-57"/>
        </w:rPr>
        <w:t xml:space="preserve"> </w:t>
      </w:r>
      <w:r w:rsidR="00D40320" w:rsidRPr="00B925AC">
        <w:rPr>
          <w:rFonts w:ascii="Times New Roman" w:hAnsi="Times New Roman"/>
          <w:spacing w:val="-57"/>
        </w:rPr>
        <w:t xml:space="preserve"> </w:t>
      </w:r>
      <w:r w:rsidRPr="00B925AC">
        <w:rPr>
          <w:rFonts w:ascii="Times New Roman" w:hAnsi="Times New Roman"/>
        </w:rPr>
        <w:t>in</w:t>
      </w:r>
      <w:r w:rsidRPr="00B925AC">
        <w:rPr>
          <w:rFonts w:ascii="Times New Roman" w:hAnsi="Times New Roman"/>
          <w:spacing w:val="4"/>
        </w:rPr>
        <w:t xml:space="preserve"> </w:t>
      </w:r>
      <w:r w:rsidRPr="00B925AC">
        <w:rPr>
          <w:rFonts w:ascii="Times New Roman" w:hAnsi="Times New Roman"/>
        </w:rPr>
        <w:t>party</w:t>
      </w:r>
      <w:r w:rsidRPr="00B925AC">
        <w:rPr>
          <w:rFonts w:ascii="Times New Roman" w:hAnsi="Times New Roman"/>
          <w:spacing w:val="5"/>
        </w:rPr>
        <w:t xml:space="preserve"> </w:t>
      </w:r>
      <w:r w:rsidRPr="00B925AC">
        <w:rPr>
          <w:rFonts w:ascii="Times New Roman" w:hAnsi="Times New Roman"/>
        </w:rPr>
        <w:t>coalitions,</w:t>
      </w:r>
      <w:r w:rsidRPr="00B925AC">
        <w:rPr>
          <w:rFonts w:ascii="Times New Roman" w:hAnsi="Times New Roman"/>
          <w:spacing w:val="5"/>
        </w:rPr>
        <w:t xml:space="preserve"> </w:t>
      </w:r>
      <w:r w:rsidRPr="00B925AC">
        <w:rPr>
          <w:rFonts w:ascii="Times New Roman" w:hAnsi="Times New Roman"/>
        </w:rPr>
        <w:t>accelerating</w:t>
      </w:r>
      <w:r w:rsidRPr="00B925AC">
        <w:rPr>
          <w:rFonts w:ascii="Times New Roman" w:hAnsi="Times New Roman"/>
          <w:spacing w:val="3"/>
        </w:rPr>
        <w:t xml:space="preserve"> </w:t>
      </w:r>
      <w:r w:rsidRPr="00B925AC">
        <w:rPr>
          <w:rFonts w:ascii="Times New Roman" w:hAnsi="Times New Roman"/>
        </w:rPr>
        <w:t>the</w:t>
      </w:r>
      <w:r w:rsidRPr="00B925AC">
        <w:rPr>
          <w:rFonts w:ascii="Times New Roman" w:hAnsi="Times New Roman"/>
          <w:spacing w:val="5"/>
        </w:rPr>
        <w:t xml:space="preserve"> </w:t>
      </w:r>
      <w:r w:rsidRPr="00B925AC">
        <w:rPr>
          <w:rFonts w:ascii="Times New Roman" w:hAnsi="Times New Roman"/>
        </w:rPr>
        <w:t>association</w:t>
      </w:r>
      <w:r w:rsidRPr="00B925AC">
        <w:rPr>
          <w:rFonts w:ascii="Times New Roman" w:hAnsi="Times New Roman"/>
          <w:spacing w:val="5"/>
        </w:rPr>
        <w:t xml:space="preserve"> </w:t>
      </w:r>
      <w:r w:rsidRPr="00B925AC">
        <w:rPr>
          <w:rFonts w:ascii="Times New Roman" w:hAnsi="Times New Roman"/>
        </w:rPr>
        <w:t>of</w:t>
      </w:r>
      <w:r w:rsidRPr="00B925AC">
        <w:rPr>
          <w:rFonts w:ascii="Times New Roman" w:hAnsi="Times New Roman"/>
          <w:spacing w:val="4"/>
        </w:rPr>
        <w:t xml:space="preserve"> </w:t>
      </w:r>
      <w:r w:rsidRPr="00B925AC">
        <w:rPr>
          <w:rFonts w:ascii="Times New Roman" w:hAnsi="Times New Roman"/>
        </w:rPr>
        <w:t>each</w:t>
      </w:r>
      <w:r w:rsidRPr="00B925AC">
        <w:rPr>
          <w:rFonts w:ascii="Times New Roman" w:hAnsi="Times New Roman"/>
          <w:spacing w:val="4"/>
        </w:rPr>
        <w:t xml:space="preserve"> </w:t>
      </w:r>
      <w:r w:rsidRPr="00B925AC">
        <w:rPr>
          <w:rFonts w:ascii="Times New Roman" w:hAnsi="Times New Roman"/>
        </w:rPr>
        <w:t>party</w:t>
      </w:r>
      <w:r w:rsidRPr="00B925AC">
        <w:rPr>
          <w:rFonts w:ascii="Times New Roman" w:hAnsi="Times New Roman"/>
          <w:spacing w:val="4"/>
        </w:rPr>
        <w:t xml:space="preserve"> </w:t>
      </w:r>
      <w:r w:rsidRPr="00B925AC">
        <w:rPr>
          <w:rFonts w:ascii="Times New Roman" w:hAnsi="Times New Roman"/>
        </w:rPr>
        <w:t>with</w:t>
      </w:r>
      <w:r w:rsidRPr="00B925AC">
        <w:rPr>
          <w:rFonts w:ascii="Times New Roman" w:hAnsi="Times New Roman"/>
          <w:spacing w:val="5"/>
        </w:rPr>
        <w:t xml:space="preserve"> </w:t>
      </w:r>
      <w:r w:rsidRPr="00B925AC">
        <w:rPr>
          <w:rFonts w:ascii="Times New Roman" w:hAnsi="Times New Roman"/>
        </w:rPr>
        <w:t>a</w:t>
      </w:r>
      <w:r w:rsidRPr="00B925AC">
        <w:rPr>
          <w:rFonts w:ascii="Times New Roman" w:hAnsi="Times New Roman"/>
          <w:spacing w:val="3"/>
        </w:rPr>
        <w:t xml:space="preserve"> </w:t>
      </w:r>
      <w:r w:rsidRPr="00B925AC">
        <w:rPr>
          <w:rFonts w:ascii="Times New Roman" w:hAnsi="Times New Roman"/>
        </w:rPr>
        <w:t>particular</w:t>
      </w:r>
      <w:r w:rsidRPr="00B925AC">
        <w:rPr>
          <w:rFonts w:ascii="Times New Roman" w:hAnsi="Times New Roman"/>
          <w:spacing w:val="5"/>
        </w:rPr>
        <w:t xml:space="preserve"> </w:t>
      </w:r>
      <w:r w:rsidRPr="00B925AC">
        <w:rPr>
          <w:rFonts w:ascii="Times New Roman" w:hAnsi="Times New Roman"/>
        </w:rPr>
        <w:t>side</w:t>
      </w:r>
      <w:r w:rsidRPr="00B925AC">
        <w:rPr>
          <w:rFonts w:ascii="Times New Roman" w:hAnsi="Times New Roman"/>
          <w:spacing w:val="4"/>
        </w:rPr>
        <w:t xml:space="preserve"> </w:t>
      </w:r>
      <w:r w:rsidRPr="00B925AC">
        <w:rPr>
          <w:rFonts w:ascii="Times New Roman" w:hAnsi="Times New Roman"/>
        </w:rPr>
        <w:t>of</w:t>
      </w:r>
      <w:r w:rsidRPr="00B925AC">
        <w:rPr>
          <w:rFonts w:ascii="Times New Roman" w:hAnsi="Times New Roman"/>
          <w:spacing w:val="5"/>
        </w:rPr>
        <w:t xml:space="preserve"> </w:t>
      </w:r>
      <w:r w:rsidRPr="00B925AC">
        <w:rPr>
          <w:rFonts w:ascii="Times New Roman" w:hAnsi="Times New Roman"/>
        </w:rPr>
        <w:t>the</w:t>
      </w:r>
      <w:r w:rsidRPr="00B925AC">
        <w:rPr>
          <w:rFonts w:ascii="Times New Roman" w:hAnsi="Times New Roman"/>
          <w:spacing w:val="-57"/>
        </w:rPr>
        <w:t xml:space="preserve"> </w:t>
      </w:r>
      <w:r w:rsidRPr="00B925AC">
        <w:rPr>
          <w:rFonts w:ascii="Times New Roman" w:hAnsi="Times New Roman"/>
        </w:rPr>
        <w:t>abortion</w:t>
      </w:r>
      <w:r w:rsidRPr="00B925AC">
        <w:rPr>
          <w:rFonts w:ascii="Times New Roman" w:hAnsi="Times New Roman"/>
          <w:spacing w:val="-14"/>
        </w:rPr>
        <w:t xml:space="preserve"> </w:t>
      </w:r>
      <w:r w:rsidRPr="00B925AC">
        <w:rPr>
          <w:rFonts w:ascii="Times New Roman" w:hAnsi="Times New Roman"/>
        </w:rPr>
        <w:t>debate.</w:t>
      </w:r>
      <w:r w:rsidR="005C0EDB" w:rsidRPr="00B925AC">
        <w:rPr>
          <w:rStyle w:val="FootnoteReference"/>
          <w:rFonts w:ascii="Times New Roman" w:hAnsi="Times New Roman"/>
        </w:rPr>
        <w:footnoteReference w:id="138"/>
      </w:r>
      <w:r w:rsidR="00283ED7" w:rsidRPr="00B925AC">
        <w:rPr>
          <w:rFonts w:ascii="Times New Roman" w:hAnsi="Times New Roman"/>
          <w:vertAlign w:val="superscript"/>
        </w:rPr>
        <w:t xml:space="preserve"> </w:t>
      </w:r>
      <w:r w:rsidRPr="00B925AC">
        <w:rPr>
          <w:rFonts w:ascii="Times New Roman" w:hAnsi="Times New Roman"/>
        </w:rPr>
        <w:t>This</w:t>
      </w:r>
      <w:r w:rsidRPr="00B925AC">
        <w:rPr>
          <w:rFonts w:ascii="Times New Roman" w:hAnsi="Times New Roman"/>
          <w:spacing w:val="-14"/>
        </w:rPr>
        <w:t xml:space="preserve"> </w:t>
      </w:r>
      <w:r w:rsidRPr="00B925AC">
        <w:rPr>
          <w:rFonts w:ascii="Times New Roman" w:hAnsi="Times New Roman"/>
        </w:rPr>
        <w:t>mutually</w:t>
      </w:r>
      <w:r w:rsidRPr="00B925AC">
        <w:rPr>
          <w:rFonts w:ascii="Times New Roman" w:hAnsi="Times New Roman"/>
          <w:spacing w:val="-14"/>
        </w:rPr>
        <w:t xml:space="preserve"> </w:t>
      </w:r>
      <w:r w:rsidRPr="00B925AC">
        <w:rPr>
          <w:rFonts w:ascii="Times New Roman" w:hAnsi="Times New Roman"/>
        </w:rPr>
        <w:t>reinforcing</w:t>
      </w:r>
      <w:r w:rsidRPr="00B925AC">
        <w:rPr>
          <w:rFonts w:ascii="Times New Roman" w:hAnsi="Times New Roman"/>
          <w:spacing w:val="-13"/>
        </w:rPr>
        <w:t xml:space="preserve"> </w:t>
      </w:r>
      <w:r w:rsidRPr="00B925AC">
        <w:rPr>
          <w:rFonts w:ascii="Times New Roman" w:hAnsi="Times New Roman"/>
        </w:rPr>
        <w:t>process</w:t>
      </w:r>
      <w:r w:rsidRPr="00B925AC">
        <w:rPr>
          <w:rFonts w:ascii="Times New Roman" w:hAnsi="Times New Roman"/>
          <w:spacing w:val="-14"/>
        </w:rPr>
        <w:t xml:space="preserve"> </w:t>
      </w:r>
      <w:r w:rsidRPr="00B925AC">
        <w:rPr>
          <w:rFonts w:ascii="Times New Roman" w:hAnsi="Times New Roman"/>
        </w:rPr>
        <w:t>of</w:t>
      </w:r>
      <w:r w:rsidRPr="00B925AC">
        <w:rPr>
          <w:rFonts w:ascii="Times New Roman" w:hAnsi="Times New Roman"/>
          <w:spacing w:val="-14"/>
        </w:rPr>
        <w:t xml:space="preserve"> </w:t>
      </w:r>
      <w:r w:rsidRPr="00B925AC">
        <w:rPr>
          <w:rFonts w:ascii="Times New Roman" w:hAnsi="Times New Roman"/>
        </w:rPr>
        <w:t>elite</w:t>
      </w:r>
      <w:r w:rsidRPr="00B925AC">
        <w:rPr>
          <w:rFonts w:ascii="Times New Roman" w:hAnsi="Times New Roman"/>
          <w:spacing w:val="-13"/>
        </w:rPr>
        <w:t xml:space="preserve"> </w:t>
      </w:r>
      <w:r w:rsidRPr="00B925AC">
        <w:rPr>
          <w:rFonts w:ascii="Times New Roman" w:hAnsi="Times New Roman"/>
        </w:rPr>
        <w:t>position</w:t>
      </w:r>
      <w:r w:rsidRPr="00B925AC">
        <w:rPr>
          <w:rFonts w:ascii="Times New Roman" w:hAnsi="Times New Roman"/>
          <w:spacing w:val="-14"/>
        </w:rPr>
        <w:t xml:space="preserve"> </w:t>
      </w:r>
      <w:r w:rsidRPr="00B925AC">
        <w:rPr>
          <w:rFonts w:ascii="Times New Roman" w:hAnsi="Times New Roman"/>
        </w:rPr>
        <w:t>change</w:t>
      </w:r>
      <w:r w:rsidRPr="00B925AC">
        <w:rPr>
          <w:rFonts w:ascii="Times New Roman" w:hAnsi="Times New Roman"/>
          <w:spacing w:val="-14"/>
        </w:rPr>
        <w:t xml:space="preserve"> </w:t>
      </w:r>
      <w:r w:rsidRPr="00B925AC">
        <w:rPr>
          <w:rFonts w:ascii="Times New Roman" w:hAnsi="Times New Roman"/>
        </w:rPr>
        <w:t>and</w:t>
      </w:r>
      <w:r w:rsidRPr="00B925AC">
        <w:rPr>
          <w:rFonts w:ascii="Times New Roman" w:hAnsi="Times New Roman"/>
          <w:spacing w:val="-14"/>
        </w:rPr>
        <w:t xml:space="preserve"> </w:t>
      </w:r>
      <w:r w:rsidRPr="00B925AC">
        <w:rPr>
          <w:rFonts w:ascii="Times New Roman" w:hAnsi="Times New Roman"/>
        </w:rPr>
        <w:t>coalition</w:t>
      </w:r>
      <w:r w:rsidR="00340450" w:rsidRPr="00B925AC">
        <w:rPr>
          <w:rFonts w:ascii="Times New Roman" w:hAnsi="Times New Roman"/>
          <w:sz w:val="27"/>
        </w:rPr>
        <w:t xml:space="preserve"> </w:t>
      </w:r>
      <w:r w:rsidRPr="00B925AC">
        <w:rPr>
          <w:rFonts w:ascii="Times New Roman" w:hAnsi="Times New Roman"/>
          <w:w w:val="95"/>
        </w:rPr>
        <w:t>adjustment takes</w:t>
      </w:r>
      <w:r w:rsidR="00C70FF6" w:rsidRPr="00B925AC">
        <w:rPr>
          <w:rFonts w:ascii="Times New Roman" w:hAnsi="Times New Roman"/>
          <w:w w:val="95"/>
        </w:rPr>
        <w:t xml:space="preserve"> time</w:t>
      </w:r>
      <w:r w:rsidRPr="00B925AC">
        <w:rPr>
          <w:rFonts w:ascii="Times New Roman" w:hAnsi="Times New Roman"/>
          <w:w w:val="95"/>
        </w:rPr>
        <w:t>, causing the principles articulated by the relevant coalitions to evolve</w:t>
      </w:r>
      <w:r w:rsidRPr="00B925AC">
        <w:rPr>
          <w:rFonts w:ascii="Times New Roman" w:hAnsi="Times New Roman"/>
          <w:spacing w:val="1"/>
          <w:w w:val="95"/>
        </w:rPr>
        <w:t xml:space="preserve"> </w:t>
      </w:r>
      <w:r w:rsidRPr="00B925AC">
        <w:rPr>
          <w:rFonts w:ascii="Times New Roman" w:hAnsi="Times New Roman"/>
        </w:rPr>
        <w:t>slowly.</w:t>
      </w:r>
      <w:r w:rsidR="00340450" w:rsidRPr="00B925AC">
        <w:rPr>
          <w:rStyle w:val="FootnoteReference"/>
          <w:rFonts w:ascii="Times New Roman" w:hAnsi="Times New Roman"/>
        </w:rPr>
        <w:footnoteReference w:id="139"/>
      </w:r>
    </w:p>
    <w:p w14:paraId="02754666" w14:textId="68373A1F" w:rsidR="001D6B32" w:rsidRPr="00B925AC" w:rsidRDefault="00D92D7A" w:rsidP="007B742F">
      <w:pPr>
        <w:tabs>
          <w:tab w:val="left" w:pos="2975"/>
        </w:tabs>
        <w:spacing w:before="1"/>
        <w:rPr>
          <w:rFonts w:ascii="Times New Roman" w:hAnsi="Times New Roman"/>
        </w:rPr>
      </w:pPr>
      <w:r w:rsidRPr="00B925AC">
        <w:rPr>
          <w:rFonts w:ascii="Times New Roman" w:hAnsi="Times New Roman"/>
        </w:rPr>
        <w:t>To summarize, t</w:t>
      </w:r>
      <w:r w:rsidR="00E72E21" w:rsidRPr="00B925AC">
        <w:rPr>
          <w:rFonts w:ascii="Times New Roman" w:hAnsi="Times New Roman"/>
        </w:rPr>
        <w:t>he</w:t>
      </w:r>
      <w:r w:rsidR="00E72E21" w:rsidRPr="00B925AC">
        <w:rPr>
          <w:rFonts w:ascii="Times New Roman" w:hAnsi="Times New Roman"/>
          <w:spacing w:val="24"/>
        </w:rPr>
        <w:t xml:space="preserve"> </w:t>
      </w:r>
      <w:r w:rsidR="00E72E21" w:rsidRPr="00B925AC">
        <w:rPr>
          <w:rFonts w:ascii="Times New Roman" w:hAnsi="Times New Roman"/>
        </w:rPr>
        <w:t>position</w:t>
      </w:r>
      <w:r w:rsidR="00E72E21" w:rsidRPr="00B925AC">
        <w:rPr>
          <w:rFonts w:ascii="Times New Roman" w:hAnsi="Times New Roman"/>
          <w:spacing w:val="24"/>
        </w:rPr>
        <w:t xml:space="preserve"> </w:t>
      </w:r>
      <w:r w:rsidR="00E72E21" w:rsidRPr="00B925AC">
        <w:rPr>
          <w:rFonts w:ascii="Times New Roman" w:hAnsi="Times New Roman"/>
        </w:rPr>
        <w:t>change</w:t>
      </w:r>
      <w:r w:rsidR="00E72E21" w:rsidRPr="00B925AC">
        <w:rPr>
          <w:rFonts w:ascii="Times New Roman" w:hAnsi="Times New Roman"/>
          <w:spacing w:val="24"/>
        </w:rPr>
        <w:t xml:space="preserve"> </w:t>
      </w:r>
      <w:r w:rsidR="00E72E21" w:rsidRPr="00B925AC">
        <w:rPr>
          <w:rFonts w:ascii="Times New Roman" w:hAnsi="Times New Roman"/>
        </w:rPr>
        <w:t>process</w:t>
      </w:r>
      <w:r w:rsidR="00E72E21" w:rsidRPr="00B925AC">
        <w:rPr>
          <w:rFonts w:ascii="Times New Roman" w:hAnsi="Times New Roman"/>
          <w:spacing w:val="25"/>
        </w:rPr>
        <w:t xml:space="preserve"> </w:t>
      </w:r>
      <w:r w:rsidR="00E72E21" w:rsidRPr="00B925AC">
        <w:rPr>
          <w:rFonts w:ascii="Times New Roman" w:hAnsi="Times New Roman"/>
        </w:rPr>
        <w:t>has</w:t>
      </w:r>
      <w:r w:rsidR="00E72E21" w:rsidRPr="00B925AC">
        <w:rPr>
          <w:rFonts w:ascii="Times New Roman" w:hAnsi="Times New Roman"/>
          <w:spacing w:val="24"/>
        </w:rPr>
        <w:t xml:space="preserve"> </w:t>
      </w:r>
      <w:r w:rsidR="00E72E21" w:rsidRPr="00B925AC">
        <w:rPr>
          <w:rFonts w:ascii="Times New Roman" w:hAnsi="Times New Roman"/>
        </w:rPr>
        <w:t>a</w:t>
      </w:r>
      <w:r w:rsidR="00E72E21" w:rsidRPr="00B925AC">
        <w:rPr>
          <w:rFonts w:ascii="Times New Roman" w:hAnsi="Times New Roman"/>
          <w:spacing w:val="24"/>
        </w:rPr>
        <w:t xml:space="preserve"> </w:t>
      </w:r>
      <w:r w:rsidR="00E72E21" w:rsidRPr="00B925AC">
        <w:rPr>
          <w:rFonts w:ascii="Times New Roman" w:hAnsi="Times New Roman"/>
        </w:rPr>
        <w:t>logic</w:t>
      </w:r>
      <w:r w:rsidR="00E72E21" w:rsidRPr="00B925AC">
        <w:rPr>
          <w:rFonts w:ascii="Times New Roman" w:hAnsi="Times New Roman"/>
          <w:spacing w:val="24"/>
        </w:rPr>
        <w:t xml:space="preserve"> </w:t>
      </w:r>
      <w:r w:rsidR="00E72E21" w:rsidRPr="00B925AC">
        <w:rPr>
          <w:rFonts w:ascii="Times New Roman" w:hAnsi="Times New Roman"/>
        </w:rPr>
        <w:t>that</w:t>
      </w:r>
      <w:r w:rsidR="00E72E21" w:rsidRPr="00B925AC">
        <w:rPr>
          <w:rFonts w:ascii="Times New Roman" w:hAnsi="Times New Roman"/>
          <w:spacing w:val="25"/>
        </w:rPr>
        <w:t xml:space="preserve"> </w:t>
      </w:r>
      <w:r w:rsidR="00E72E21" w:rsidRPr="00B925AC">
        <w:rPr>
          <w:rFonts w:ascii="Times New Roman" w:hAnsi="Times New Roman"/>
        </w:rPr>
        <w:t>constrains</w:t>
      </w:r>
      <w:r w:rsidR="00E72E21" w:rsidRPr="00B925AC">
        <w:rPr>
          <w:rFonts w:ascii="Times New Roman" w:hAnsi="Times New Roman"/>
          <w:spacing w:val="24"/>
        </w:rPr>
        <w:t xml:space="preserve"> </w:t>
      </w:r>
      <w:r w:rsidR="00E72E21" w:rsidRPr="00B925AC">
        <w:rPr>
          <w:rFonts w:ascii="Times New Roman" w:hAnsi="Times New Roman"/>
        </w:rPr>
        <w:t>erratic</w:t>
      </w:r>
      <w:r w:rsidR="00E72E21" w:rsidRPr="00B925AC">
        <w:rPr>
          <w:rFonts w:ascii="Times New Roman" w:hAnsi="Times New Roman"/>
          <w:spacing w:val="24"/>
        </w:rPr>
        <w:t xml:space="preserve"> </w:t>
      </w:r>
      <w:r w:rsidR="00E72E21" w:rsidRPr="00B925AC">
        <w:rPr>
          <w:rFonts w:ascii="Times New Roman" w:hAnsi="Times New Roman"/>
        </w:rPr>
        <w:lastRenderedPageBreak/>
        <w:t>shifts.</w:t>
      </w:r>
      <w:r w:rsidR="00E72E21" w:rsidRPr="00B925AC">
        <w:rPr>
          <w:rFonts w:ascii="Times New Roman" w:hAnsi="Times New Roman"/>
          <w:spacing w:val="18"/>
        </w:rPr>
        <w:t xml:space="preserve"> </w:t>
      </w:r>
      <w:r w:rsidR="00E72E21" w:rsidRPr="00B925AC">
        <w:rPr>
          <w:rFonts w:ascii="Times New Roman" w:hAnsi="Times New Roman"/>
        </w:rPr>
        <w:t>When</w:t>
      </w:r>
      <w:r w:rsidR="00E72E21" w:rsidRPr="00B925AC">
        <w:rPr>
          <w:rFonts w:ascii="Times New Roman" w:hAnsi="Times New Roman"/>
          <w:spacing w:val="25"/>
        </w:rPr>
        <w:t xml:space="preserve"> </w:t>
      </w:r>
      <w:r w:rsidR="00D02790" w:rsidRPr="00B925AC">
        <w:rPr>
          <w:rFonts w:ascii="Times New Roman" w:hAnsi="Times New Roman"/>
        </w:rPr>
        <w:t xml:space="preserve">voters are </w:t>
      </w:r>
      <w:r w:rsidR="00E72E21" w:rsidRPr="00B925AC">
        <w:rPr>
          <w:rFonts w:ascii="Times New Roman" w:hAnsi="Times New Roman"/>
        </w:rPr>
        <w:t>being wooed by a coalition,</w:t>
      </w:r>
      <w:r w:rsidR="00E72E21" w:rsidRPr="00B925AC">
        <w:rPr>
          <w:rFonts w:ascii="Times New Roman" w:hAnsi="Times New Roman"/>
          <w:spacing w:val="60"/>
        </w:rPr>
        <w:t xml:space="preserve"> </w:t>
      </w:r>
      <w:r w:rsidR="00E72E21" w:rsidRPr="00B925AC">
        <w:rPr>
          <w:rFonts w:ascii="Times New Roman" w:hAnsi="Times New Roman"/>
        </w:rPr>
        <w:t>they are being asked to build ties to that coalition that</w:t>
      </w:r>
      <w:r w:rsidR="00E72E21" w:rsidRPr="00B925AC">
        <w:rPr>
          <w:rFonts w:ascii="Times New Roman" w:hAnsi="Times New Roman"/>
          <w:spacing w:val="1"/>
        </w:rPr>
        <w:t xml:space="preserve"> </w:t>
      </w:r>
      <w:r w:rsidR="00E72E21" w:rsidRPr="00B925AC">
        <w:rPr>
          <w:rFonts w:ascii="Times New Roman" w:hAnsi="Times New Roman"/>
        </w:rPr>
        <w:t>will not be easily severed.</w:t>
      </w:r>
      <w:r w:rsidR="00E2296C" w:rsidRPr="00B925AC">
        <w:rPr>
          <w:rStyle w:val="FootnoteReference"/>
          <w:rFonts w:ascii="Times New Roman" w:hAnsi="Times New Roman"/>
        </w:rPr>
        <w:footnoteReference w:id="140"/>
      </w:r>
      <w:r w:rsidR="00E72E21" w:rsidRPr="00B925AC">
        <w:rPr>
          <w:rFonts w:ascii="Times New Roman" w:hAnsi="Times New Roman"/>
        </w:rPr>
        <w:t xml:space="preserve"> They must believe that the coalition will be with them not</w:t>
      </w:r>
      <w:r w:rsidR="00E72E21" w:rsidRPr="00B925AC">
        <w:rPr>
          <w:rFonts w:ascii="Times New Roman" w:hAnsi="Times New Roman"/>
          <w:spacing w:val="1"/>
        </w:rPr>
        <w:t xml:space="preserve"> </w:t>
      </w:r>
      <w:r w:rsidR="00E72E21" w:rsidRPr="00B925AC">
        <w:rPr>
          <w:rFonts w:ascii="Times New Roman" w:hAnsi="Times New Roman"/>
        </w:rPr>
        <w:t>just in the fight of the day but in future battles.</w:t>
      </w:r>
      <w:r w:rsidR="00E72E21" w:rsidRPr="00B925AC">
        <w:rPr>
          <w:rFonts w:ascii="Times New Roman" w:hAnsi="Times New Roman"/>
          <w:spacing w:val="1"/>
        </w:rPr>
        <w:t xml:space="preserve"> </w:t>
      </w:r>
      <w:r w:rsidR="00E72E21" w:rsidRPr="00B925AC">
        <w:rPr>
          <w:rFonts w:ascii="Times New Roman" w:hAnsi="Times New Roman"/>
        </w:rPr>
        <w:t>This belief will be easier to sow if the</w:t>
      </w:r>
      <w:r w:rsidR="00E72E21" w:rsidRPr="00B925AC">
        <w:rPr>
          <w:rFonts w:ascii="Times New Roman" w:hAnsi="Times New Roman"/>
          <w:spacing w:val="1"/>
        </w:rPr>
        <w:t xml:space="preserve"> </w:t>
      </w:r>
      <w:r w:rsidR="00E72E21" w:rsidRPr="00B925AC">
        <w:rPr>
          <w:rFonts w:ascii="Times New Roman" w:hAnsi="Times New Roman"/>
        </w:rPr>
        <w:t>coalition</w:t>
      </w:r>
      <w:r w:rsidR="00E72E21" w:rsidRPr="00B925AC">
        <w:rPr>
          <w:rFonts w:ascii="Times New Roman" w:hAnsi="Times New Roman"/>
          <w:spacing w:val="-10"/>
        </w:rPr>
        <w:t xml:space="preserve"> </w:t>
      </w:r>
      <w:r w:rsidR="00E72E21" w:rsidRPr="00B925AC">
        <w:rPr>
          <w:rFonts w:ascii="Times New Roman" w:hAnsi="Times New Roman"/>
        </w:rPr>
        <w:t>can</w:t>
      </w:r>
      <w:r w:rsidR="00E72E21" w:rsidRPr="00B925AC">
        <w:rPr>
          <w:rFonts w:ascii="Times New Roman" w:hAnsi="Times New Roman"/>
          <w:spacing w:val="-9"/>
        </w:rPr>
        <w:t xml:space="preserve"> </w:t>
      </w:r>
      <w:r w:rsidR="00E72E21" w:rsidRPr="00B925AC">
        <w:rPr>
          <w:rFonts w:ascii="Times New Roman" w:hAnsi="Times New Roman"/>
        </w:rPr>
        <w:t>make</w:t>
      </w:r>
      <w:r w:rsidR="00E72E21" w:rsidRPr="00B925AC">
        <w:rPr>
          <w:rFonts w:ascii="Times New Roman" w:hAnsi="Times New Roman"/>
          <w:spacing w:val="-9"/>
        </w:rPr>
        <w:t xml:space="preserve"> </w:t>
      </w:r>
      <w:r w:rsidR="00E72E21" w:rsidRPr="00B925AC">
        <w:rPr>
          <w:rFonts w:ascii="Times New Roman" w:hAnsi="Times New Roman"/>
        </w:rPr>
        <w:t>statements</w:t>
      </w:r>
      <w:r w:rsidR="00E72E21" w:rsidRPr="00B925AC">
        <w:rPr>
          <w:rFonts w:ascii="Times New Roman" w:hAnsi="Times New Roman"/>
          <w:spacing w:val="-9"/>
        </w:rPr>
        <w:t xml:space="preserve"> </w:t>
      </w:r>
      <w:r w:rsidR="00E72E21" w:rsidRPr="00B925AC">
        <w:rPr>
          <w:rFonts w:ascii="Times New Roman" w:hAnsi="Times New Roman"/>
        </w:rPr>
        <w:t>of</w:t>
      </w:r>
      <w:r w:rsidR="00E72E21" w:rsidRPr="00B925AC">
        <w:rPr>
          <w:rFonts w:ascii="Times New Roman" w:hAnsi="Times New Roman"/>
          <w:spacing w:val="-9"/>
        </w:rPr>
        <w:t xml:space="preserve"> </w:t>
      </w:r>
      <w:r w:rsidR="00E72E21" w:rsidRPr="00B925AC">
        <w:rPr>
          <w:rFonts w:ascii="Times New Roman" w:hAnsi="Times New Roman"/>
        </w:rPr>
        <w:t>principle</w:t>
      </w:r>
      <w:r w:rsidR="00E72E21" w:rsidRPr="00B925AC">
        <w:rPr>
          <w:rFonts w:ascii="Times New Roman" w:hAnsi="Times New Roman"/>
          <w:spacing w:val="-9"/>
        </w:rPr>
        <w:t xml:space="preserve"> </w:t>
      </w:r>
      <w:r w:rsidR="00E72E21" w:rsidRPr="00B925AC">
        <w:rPr>
          <w:rFonts w:ascii="Times New Roman" w:hAnsi="Times New Roman"/>
        </w:rPr>
        <w:t>that</w:t>
      </w:r>
      <w:r w:rsidR="00E72E21" w:rsidRPr="00B925AC">
        <w:rPr>
          <w:rFonts w:ascii="Times New Roman" w:hAnsi="Times New Roman"/>
          <w:spacing w:val="-9"/>
        </w:rPr>
        <w:t xml:space="preserve"> </w:t>
      </w:r>
      <w:r w:rsidR="00E72E21" w:rsidRPr="00B925AC">
        <w:rPr>
          <w:rFonts w:ascii="Times New Roman" w:hAnsi="Times New Roman"/>
        </w:rPr>
        <w:t>are</w:t>
      </w:r>
      <w:r w:rsidR="00E72E21" w:rsidRPr="00B925AC">
        <w:rPr>
          <w:rFonts w:ascii="Times New Roman" w:hAnsi="Times New Roman"/>
          <w:spacing w:val="-9"/>
        </w:rPr>
        <w:t xml:space="preserve"> </w:t>
      </w:r>
      <w:r w:rsidR="00E72E21" w:rsidRPr="00B925AC">
        <w:rPr>
          <w:rFonts w:ascii="Times New Roman" w:hAnsi="Times New Roman"/>
        </w:rPr>
        <w:t>consistent</w:t>
      </w:r>
      <w:r w:rsidR="00E72E21" w:rsidRPr="00B925AC">
        <w:rPr>
          <w:rFonts w:ascii="Times New Roman" w:hAnsi="Times New Roman"/>
          <w:spacing w:val="-10"/>
        </w:rPr>
        <w:t xml:space="preserve"> </w:t>
      </w:r>
      <w:r w:rsidR="00E72E21" w:rsidRPr="00B925AC">
        <w:rPr>
          <w:rFonts w:ascii="Times New Roman" w:hAnsi="Times New Roman"/>
        </w:rPr>
        <w:t>with</w:t>
      </w:r>
      <w:r w:rsidR="00E72E21" w:rsidRPr="00B925AC">
        <w:rPr>
          <w:rFonts w:ascii="Times New Roman" w:hAnsi="Times New Roman"/>
          <w:spacing w:val="-9"/>
        </w:rPr>
        <w:t xml:space="preserve"> </w:t>
      </w:r>
      <w:r w:rsidR="00E72E21" w:rsidRPr="00B925AC">
        <w:rPr>
          <w:rFonts w:ascii="Times New Roman" w:hAnsi="Times New Roman"/>
        </w:rPr>
        <w:t>the</w:t>
      </w:r>
      <w:r w:rsidR="00E72E21" w:rsidRPr="00B925AC">
        <w:rPr>
          <w:rFonts w:ascii="Times New Roman" w:hAnsi="Times New Roman"/>
          <w:spacing w:val="-9"/>
        </w:rPr>
        <w:t xml:space="preserve"> </w:t>
      </w:r>
      <w:r w:rsidR="00E72E21" w:rsidRPr="00B925AC">
        <w:rPr>
          <w:rFonts w:ascii="Times New Roman" w:hAnsi="Times New Roman"/>
        </w:rPr>
        <w:t>principles</w:t>
      </w:r>
      <w:r w:rsidR="00E72E21" w:rsidRPr="00B925AC">
        <w:rPr>
          <w:rFonts w:ascii="Times New Roman" w:hAnsi="Times New Roman"/>
          <w:spacing w:val="-9"/>
        </w:rPr>
        <w:t xml:space="preserve"> </w:t>
      </w:r>
      <w:r w:rsidR="00E72E21" w:rsidRPr="00B925AC">
        <w:rPr>
          <w:rFonts w:ascii="Times New Roman" w:hAnsi="Times New Roman"/>
        </w:rPr>
        <w:t>they</w:t>
      </w:r>
      <w:r w:rsidR="00E72E21" w:rsidRPr="00B925AC">
        <w:rPr>
          <w:rFonts w:ascii="Times New Roman" w:hAnsi="Times New Roman"/>
          <w:spacing w:val="-9"/>
        </w:rPr>
        <w:t xml:space="preserve"> </w:t>
      </w:r>
      <w:r w:rsidR="009936DA" w:rsidRPr="00B925AC">
        <w:rPr>
          <w:rFonts w:ascii="Times New Roman" w:hAnsi="Times New Roman"/>
        </w:rPr>
        <w:t xml:space="preserve">have espoused </w:t>
      </w:r>
      <w:r w:rsidR="00E72E21" w:rsidRPr="00B925AC">
        <w:rPr>
          <w:rFonts w:ascii="Times New Roman" w:hAnsi="Times New Roman"/>
        </w:rPr>
        <w:t>in the past, and with the subjective interests of their members. A coalition built</w:t>
      </w:r>
      <w:r w:rsidR="00E72E21" w:rsidRPr="00B925AC">
        <w:rPr>
          <w:rFonts w:ascii="Times New Roman" w:hAnsi="Times New Roman"/>
          <w:spacing w:val="1"/>
        </w:rPr>
        <w:t xml:space="preserve"> </w:t>
      </w:r>
      <w:r w:rsidR="00E72E21" w:rsidRPr="00B925AC">
        <w:rPr>
          <w:rFonts w:ascii="Times New Roman" w:hAnsi="Times New Roman"/>
        </w:rPr>
        <w:t>on anti-government conservatism, even if it has said nothing about race in the past, will</w:t>
      </w:r>
      <w:r w:rsidR="00E72E21" w:rsidRPr="00B925AC">
        <w:rPr>
          <w:rFonts w:ascii="Times New Roman" w:hAnsi="Times New Roman"/>
          <w:spacing w:val="1"/>
        </w:rPr>
        <w:t xml:space="preserve"> </w:t>
      </w:r>
      <w:r w:rsidR="00E72E21" w:rsidRPr="00B925AC">
        <w:rPr>
          <w:rFonts w:ascii="Times New Roman" w:hAnsi="Times New Roman"/>
        </w:rPr>
        <w:t>find it easier to appeal to opponents of federal civil rights legislation.</w:t>
      </w:r>
      <w:r w:rsidR="00700834" w:rsidRPr="00B925AC">
        <w:rPr>
          <w:rStyle w:val="FootnoteReference"/>
          <w:rFonts w:ascii="Times New Roman" w:hAnsi="Times New Roman"/>
        </w:rPr>
        <w:footnoteReference w:id="141"/>
      </w:r>
      <w:r w:rsidR="00E72E21" w:rsidRPr="00B925AC">
        <w:rPr>
          <w:rFonts w:ascii="Times New Roman" w:hAnsi="Times New Roman"/>
        </w:rPr>
        <w:t xml:space="preserve"> A coalition that</w:t>
      </w:r>
      <w:r w:rsidR="00E72E21" w:rsidRPr="00B925AC">
        <w:rPr>
          <w:rFonts w:ascii="Times New Roman" w:hAnsi="Times New Roman"/>
          <w:spacing w:val="1"/>
        </w:rPr>
        <w:t xml:space="preserve"> </w:t>
      </w:r>
      <w:r w:rsidR="00E72E21" w:rsidRPr="00B925AC">
        <w:rPr>
          <w:rFonts w:ascii="Times New Roman" w:hAnsi="Times New Roman"/>
          <w:w w:val="95"/>
        </w:rPr>
        <w:t>has</w:t>
      </w:r>
      <w:r w:rsidR="00E72E21" w:rsidRPr="00B925AC">
        <w:rPr>
          <w:rFonts w:ascii="Times New Roman" w:hAnsi="Times New Roman"/>
          <w:spacing w:val="15"/>
          <w:w w:val="95"/>
        </w:rPr>
        <w:t xml:space="preserve"> </w:t>
      </w:r>
      <w:r w:rsidR="00E72E21" w:rsidRPr="00B925AC">
        <w:rPr>
          <w:rFonts w:ascii="Times New Roman" w:hAnsi="Times New Roman"/>
          <w:w w:val="95"/>
        </w:rPr>
        <w:t>consistently</w:t>
      </w:r>
      <w:r w:rsidR="00E72E21" w:rsidRPr="00B925AC">
        <w:rPr>
          <w:rFonts w:ascii="Times New Roman" w:hAnsi="Times New Roman"/>
          <w:spacing w:val="16"/>
          <w:w w:val="95"/>
        </w:rPr>
        <w:t xml:space="preserve"> </w:t>
      </w:r>
      <w:r w:rsidR="00E72E21" w:rsidRPr="00B925AC">
        <w:rPr>
          <w:rFonts w:ascii="Times New Roman" w:hAnsi="Times New Roman"/>
          <w:w w:val="95"/>
        </w:rPr>
        <w:t>sided</w:t>
      </w:r>
      <w:r w:rsidR="00E72E21" w:rsidRPr="00B925AC">
        <w:rPr>
          <w:rFonts w:ascii="Times New Roman" w:hAnsi="Times New Roman"/>
          <w:spacing w:val="16"/>
          <w:w w:val="95"/>
        </w:rPr>
        <w:t xml:space="preserve"> </w:t>
      </w:r>
      <w:r w:rsidR="00E72E21" w:rsidRPr="00B925AC">
        <w:rPr>
          <w:rFonts w:ascii="Times New Roman" w:hAnsi="Times New Roman"/>
          <w:w w:val="95"/>
        </w:rPr>
        <w:t>with</w:t>
      </w:r>
      <w:r w:rsidR="00E72E21" w:rsidRPr="00B925AC">
        <w:rPr>
          <w:rFonts w:ascii="Times New Roman" w:hAnsi="Times New Roman"/>
          <w:spacing w:val="17"/>
          <w:w w:val="95"/>
        </w:rPr>
        <w:t xml:space="preserve"> </w:t>
      </w:r>
      <w:r w:rsidR="00E72E21" w:rsidRPr="00B925AC">
        <w:rPr>
          <w:rFonts w:ascii="Times New Roman" w:hAnsi="Times New Roman"/>
          <w:w w:val="95"/>
        </w:rPr>
        <w:t>big</w:t>
      </w:r>
      <w:r w:rsidR="00E72E21" w:rsidRPr="00B925AC">
        <w:rPr>
          <w:rFonts w:ascii="Times New Roman" w:hAnsi="Times New Roman"/>
          <w:spacing w:val="15"/>
          <w:w w:val="95"/>
        </w:rPr>
        <w:t xml:space="preserve"> </w:t>
      </w:r>
      <w:r w:rsidR="00E72E21" w:rsidRPr="00B925AC">
        <w:rPr>
          <w:rFonts w:ascii="Times New Roman" w:hAnsi="Times New Roman"/>
          <w:w w:val="95"/>
        </w:rPr>
        <w:t>business</w:t>
      </w:r>
      <w:r w:rsidR="00E72E21" w:rsidRPr="00B925AC">
        <w:rPr>
          <w:rFonts w:ascii="Times New Roman" w:hAnsi="Times New Roman"/>
          <w:spacing w:val="17"/>
          <w:w w:val="95"/>
        </w:rPr>
        <w:t xml:space="preserve"> </w:t>
      </w:r>
      <w:r w:rsidR="00E72E21" w:rsidRPr="00B925AC">
        <w:rPr>
          <w:rFonts w:ascii="Times New Roman" w:hAnsi="Times New Roman"/>
          <w:w w:val="95"/>
        </w:rPr>
        <w:t>will</w:t>
      </w:r>
      <w:r w:rsidR="00E72E21" w:rsidRPr="00B925AC">
        <w:rPr>
          <w:rFonts w:ascii="Times New Roman" w:hAnsi="Times New Roman"/>
          <w:spacing w:val="16"/>
          <w:w w:val="95"/>
        </w:rPr>
        <w:t xml:space="preserve"> </w:t>
      </w:r>
      <w:r w:rsidR="00E72E21" w:rsidRPr="00B925AC">
        <w:rPr>
          <w:rFonts w:ascii="Times New Roman" w:hAnsi="Times New Roman"/>
          <w:w w:val="95"/>
        </w:rPr>
        <w:t>have</w:t>
      </w:r>
      <w:r w:rsidR="00E72E21" w:rsidRPr="00B925AC">
        <w:rPr>
          <w:rFonts w:ascii="Times New Roman" w:hAnsi="Times New Roman"/>
          <w:spacing w:val="16"/>
          <w:w w:val="95"/>
        </w:rPr>
        <w:t xml:space="preserve"> </w:t>
      </w:r>
      <w:r w:rsidR="00E72E21" w:rsidRPr="00B925AC">
        <w:rPr>
          <w:rFonts w:ascii="Times New Roman" w:hAnsi="Times New Roman"/>
          <w:w w:val="95"/>
        </w:rPr>
        <w:t>trouble</w:t>
      </w:r>
      <w:r w:rsidR="00E72E21" w:rsidRPr="00B925AC">
        <w:rPr>
          <w:rFonts w:ascii="Times New Roman" w:hAnsi="Times New Roman"/>
          <w:spacing w:val="16"/>
          <w:w w:val="95"/>
        </w:rPr>
        <w:t xml:space="preserve"> </w:t>
      </w:r>
      <w:r w:rsidR="00E72E21" w:rsidRPr="00B925AC">
        <w:rPr>
          <w:rFonts w:ascii="Times New Roman" w:hAnsi="Times New Roman"/>
          <w:w w:val="95"/>
        </w:rPr>
        <w:t>persuading</w:t>
      </w:r>
      <w:r w:rsidR="00E72E21" w:rsidRPr="00B925AC">
        <w:rPr>
          <w:rFonts w:ascii="Times New Roman" w:hAnsi="Times New Roman"/>
          <w:spacing w:val="17"/>
          <w:w w:val="95"/>
        </w:rPr>
        <w:t xml:space="preserve"> </w:t>
      </w:r>
      <w:r w:rsidR="00E72E21" w:rsidRPr="00B925AC">
        <w:rPr>
          <w:rFonts w:ascii="Times New Roman" w:hAnsi="Times New Roman"/>
          <w:w w:val="95"/>
        </w:rPr>
        <w:t>environmentalists</w:t>
      </w:r>
      <w:r w:rsidR="00E72E21" w:rsidRPr="00B925AC">
        <w:rPr>
          <w:rFonts w:ascii="Times New Roman" w:hAnsi="Times New Roman"/>
          <w:spacing w:val="15"/>
          <w:w w:val="95"/>
        </w:rPr>
        <w:t xml:space="preserve"> </w:t>
      </w:r>
      <w:r w:rsidR="00E72E21" w:rsidRPr="00B925AC">
        <w:rPr>
          <w:rFonts w:ascii="Times New Roman" w:hAnsi="Times New Roman"/>
          <w:w w:val="95"/>
        </w:rPr>
        <w:t>that</w:t>
      </w:r>
      <w:r w:rsidR="00E72E21" w:rsidRPr="00B925AC">
        <w:rPr>
          <w:rFonts w:ascii="Times New Roman" w:hAnsi="Times New Roman"/>
          <w:spacing w:val="1"/>
          <w:w w:val="95"/>
        </w:rPr>
        <w:t xml:space="preserve"> </w:t>
      </w:r>
      <w:r w:rsidR="00E72E21" w:rsidRPr="00B925AC">
        <w:rPr>
          <w:rFonts w:ascii="Times New Roman" w:hAnsi="Times New Roman"/>
        </w:rPr>
        <w:t>it will take on polluters.</w:t>
      </w:r>
      <w:r w:rsidR="00717143" w:rsidRPr="00B925AC">
        <w:rPr>
          <w:rStyle w:val="FootnoteReference"/>
          <w:rFonts w:ascii="Times New Roman" w:hAnsi="Times New Roman"/>
        </w:rPr>
        <w:footnoteReference w:id="142"/>
      </w:r>
      <w:r w:rsidR="00E72E21" w:rsidRPr="00B925AC">
        <w:rPr>
          <w:rFonts w:ascii="Times New Roman" w:hAnsi="Times New Roman"/>
        </w:rPr>
        <w:t xml:space="preserve"> A coalition that contains active feminists will be pushed in a</w:t>
      </w:r>
      <w:r w:rsidR="00E72E21" w:rsidRPr="00B925AC">
        <w:rPr>
          <w:rFonts w:ascii="Times New Roman" w:hAnsi="Times New Roman"/>
          <w:spacing w:val="1"/>
        </w:rPr>
        <w:t xml:space="preserve"> </w:t>
      </w:r>
      <w:r w:rsidR="00E72E21" w:rsidRPr="00B925AC">
        <w:rPr>
          <w:rFonts w:ascii="Times New Roman" w:hAnsi="Times New Roman"/>
        </w:rPr>
        <w:t>pro-choice direction.</w:t>
      </w:r>
      <w:r w:rsidR="006C4C3E" w:rsidRPr="00B925AC">
        <w:rPr>
          <w:rStyle w:val="FootnoteReference"/>
          <w:rFonts w:ascii="Times New Roman" w:hAnsi="Times New Roman"/>
        </w:rPr>
        <w:footnoteReference w:id="143"/>
      </w:r>
      <w:r w:rsidR="00E72E21" w:rsidRPr="00B925AC">
        <w:rPr>
          <w:rFonts w:ascii="Times New Roman" w:hAnsi="Times New Roman"/>
        </w:rPr>
        <w:t xml:space="preserve"> </w:t>
      </w:r>
      <w:r w:rsidR="00E72E21" w:rsidRPr="00B925AC">
        <w:rPr>
          <w:rFonts w:ascii="Times New Roman" w:hAnsi="Times New Roman"/>
          <w:w w:val="95"/>
        </w:rPr>
        <w:t>While a coalition’s past positions and member</w:t>
      </w:r>
      <w:r w:rsidR="00E72E21" w:rsidRPr="00B925AC">
        <w:rPr>
          <w:rFonts w:ascii="Times New Roman" w:hAnsi="Times New Roman"/>
          <w:spacing w:val="1"/>
          <w:w w:val="95"/>
        </w:rPr>
        <w:t xml:space="preserve"> </w:t>
      </w:r>
      <w:r w:rsidR="00E72E21" w:rsidRPr="00B925AC">
        <w:rPr>
          <w:rFonts w:ascii="Times New Roman" w:hAnsi="Times New Roman"/>
        </w:rPr>
        <w:t>interests may allow for a variety of positions going forward, that variety is limited.</w:t>
      </w:r>
      <w:r w:rsidR="00E72E21" w:rsidRPr="00B925AC">
        <w:rPr>
          <w:rFonts w:ascii="Times New Roman" w:hAnsi="Times New Roman"/>
          <w:spacing w:val="1"/>
        </w:rPr>
        <w:t xml:space="preserve"> </w:t>
      </w:r>
      <w:r w:rsidR="00E72E21" w:rsidRPr="00B925AC">
        <w:rPr>
          <w:rFonts w:ascii="Times New Roman" w:hAnsi="Times New Roman"/>
        </w:rPr>
        <w:t>We should not expect a coalition’s articulated principles to change in a way that seems</w:t>
      </w:r>
      <w:r w:rsidR="00E72E21" w:rsidRPr="00B925AC">
        <w:rPr>
          <w:rFonts w:ascii="Times New Roman" w:hAnsi="Times New Roman"/>
          <w:spacing w:val="1"/>
        </w:rPr>
        <w:t xml:space="preserve"> </w:t>
      </w:r>
      <w:r w:rsidR="00E72E21" w:rsidRPr="00B925AC">
        <w:rPr>
          <w:rFonts w:ascii="Times New Roman" w:hAnsi="Times New Roman"/>
        </w:rPr>
        <w:t>discontinuous</w:t>
      </w:r>
      <w:r w:rsidR="00E72E21" w:rsidRPr="00B925AC">
        <w:rPr>
          <w:rFonts w:ascii="Times New Roman" w:hAnsi="Times New Roman"/>
          <w:spacing w:val="-2"/>
        </w:rPr>
        <w:t xml:space="preserve"> </w:t>
      </w:r>
      <w:r w:rsidR="00E72E21" w:rsidRPr="00B925AC">
        <w:rPr>
          <w:rFonts w:ascii="Times New Roman" w:hAnsi="Times New Roman"/>
        </w:rPr>
        <w:t>with</w:t>
      </w:r>
      <w:r w:rsidR="00E72E21" w:rsidRPr="00B925AC">
        <w:rPr>
          <w:rFonts w:ascii="Times New Roman" w:hAnsi="Times New Roman"/>
          <w:spacing w:val="-1"/>
        </w:rPr>
        <w:t xml:space="preserve"> </w:t>
      </w:r>
      <w:r w:rsidR="00E72E21" w:rsidRPr="00B925AC">
        <w:rPr>
          <w:rFonts w:ascii="Times New Roman" w:hAnsi="Times New Roman"/>
        </w:rPr>
        <w:t>its</w:t>
      </w:r>
      <w:r w:rsidR="00E72E21" w:rsidRPr="00B925AC">
        <w:rPr>
          <w:rFonts w:ascii="Times New Roman" w:hAnsi="Times New Roman"/>
          <w:spacing w:val="-1"/>
        </w:rPr>
        <w:t xml:space="preserve"> </w:t>
      </w:r>
      <w:r w:rsidR="00E72E21" w:rsidRPr="00B925AC">
        <w:rPr>
          <w:rFonts w:ascii="Times New Roman" w:hAnsi="Times New Roman"/>
        </w:rPr>
        <w:t>previous</w:t>
      </w:r>
      <w:r w:rsidR="00E72E21" w:rsidRPr="00B925AC">
        <w:rPr>
          <w:rFonts w:ascii="Times New Roman" w:hAnsi="Times New Roman"/>
          <w:spacing w:val="-2"/>
        </w:rPr>
        <w:t xml:space="preserve"> </w:t>
      </w:r>
      <w:r w:rsidR="00E72E21" w:rsidRPr="00B925AC">
        <w:rPr>
          <w:rFonts w:ascii="Times New Roman" w:hAnsi="Times New Roman"/>
        </w:rPr>
        <w:t>articulations</w:t>
      </w:r>
      <w:r w:rsidR="00A612C2" w:rsidRPr="00B925AC">
        <w:rPr>
          <w:rFonts w:ascii="Times New Roman" w:hAnsi="Times New Roman"/>
        </w:rPr>
        <w:t>.</w:t>
      </w:r>
    </w:p>
    <w:p w14:paraId="0526EBBF" w14:textId="77777777" w:rsidR="00663FD2" w:rsidRPr="00B925AC" w:rsidRDefault="00663FD2" w:rsidP="002D5242">
      <w:pPr>
        <w:rPr>
          <w:rFonts w:ascii="Times New Roman" w:hAnsi="Times New Roman"/>
        </w:rPr>
      </w:pPr>
    </w:p>
    <w:p w14:paraId="35698665" w14:textId="2CC76676" w:rsidR="0018076D" w:rsidRPr="00B925AC" w:rsidRDefault="00F80826" w:rsidP="00D9740F">
      <w:pPr>
        <w:pStyle w:val="Heading1"/>
        <w:rPr>
          <w:rFonts w:ascii="Times New Roman" w:hAnsi="Times New Roman"/>
        </w:rPr>
      </w:pPr>
      <w:r w:rsidRPr="00B925AC">
        <w:rPr>
          <w:rFonts w:ascii="Times New Roman" w:hAnsi="Times New Roman"/>
        </w:rPr>
        <w:t xml:space="preserve">II.  </w:t>
      </w:r>
      <w:r w:rsidR="00436B98" w:rsidRPr="00B925AC">
        <w:rPr>
          <w:rFonts w:ascii="Times New Roman" w:hAnsi="Times New Roman"/>
        </w:rPr>
        <w:t xml:space="preserve">Coalitional Constitutionalism and </w:t>
      </w:r>
      <w:r w:rsidRPr="00B925AC">
        <w:rPr>
          <w:rFonts w:ascii="Times New Roman" w:hAnsi="Times New Roman"/>
        </w:rPr>
        <w:t>Minorit</w:t>
      </w:r>
      <w:r w:rsidR="00436B98" w:rsidRPr="00B925AC">
        <w:rPr>
          <w:rFonts w:ascii="Times New Roman" w:hAnsi="Times New Roman"/>
        </w:rPr>
        <w:t>y Rights</w:t>
      </w:r>
    </w:p>
    <w:p w14:paraId="78B28E03" w14:textId="784E3B66" w:rsidR="00436B98" w:rsidRPr="00B925AC" w:rsidRDefault="00436B98" w:rsidP="00436B98">
      <w:pPr>
        <w:rPr>
          <w:rFonts w:ascii="Times New Roman" w:hAnsi="Times New Roman"/>
        </w:rPr>
      </w:pPr>
      <w:r w:rsidRPr="00B925AC">
        <w:rPr>
          <w:rFonts w:ascii="Times New Roman" w:hAnsi="Times New Roman"/>
        </w:rPr>
        <w:t>To Dworkin, a forum of principle is not just a decision maker that relies on general rules to decide specific cases. It is a decision maker who is willing to apply those rules in the face of majoritarian interests that point in a different direction. To this way of thinking, “achieve the greatest good for the greatest number”</w:t>
      </w:r>
      <w:r w:rsidR="00450DA8" w:rsidRPr="00B925AC">
        <w:rPr>
          <w:rStyle w:val="FootnoteReference"/>
          <w:rFonts w:ascii="Times New Roman" w:hAnsi="Times New Roman"/>
        </w:rPr>
        <w:footnoteReference w:id="144"/>
      </w:r>
      <w:r w:rsidRPr="00B925AC">
        <w:rPr>
          <w:rFonts w:ascii="Times New Roman" w:hAnsi="Times New Roman"/>
        </w:rPr>
        <w:t xml:space="preserve"> is not a principle, nor is “do what’s popular.”</w:t>
      </w:r>
      <w:r w:rsidR="009C1474" w:rsidRPr="00B925AC">
        <w:rPr>
          <w:rStyle w:val="FootnoteReference"/>
          <w:rFonts w:ascii="Times New Roman" w:hAnsi="Times New Roman"/>
        </w:rPr>
        <w:footnoteReference w:id="145"/>
      </w:r>
      <w:r w:rsidRPr="00B925AC">
        <w:rPr>
          <w:rFonts w:ascii="Times New Roman" w:hAnsi="Times New Roman"/>
        </w:rPr>
        <w:t xml:space="preserve"> A forum of principle must be willing to assert that some values are so important they must trump what the majority wants or even needs.</w:t>
      </w:r>
      <w:r w:rsidRPr="00B925AC">
        <w:rPr>
          <w:rStyle w:val="FootnoteReference"/>
          <w:rFonts w:ascii="Times New Roman" w:hAnsi="Times New Roman"/>
        </w:rPr>
        <w:footnoteReference w:id="146"/>
      </w:r>
    </w:p>
    <w:p w14:paraId="1E0773D5" w14:textId="7DA47F60" w:rsidR="00CC18B0" w:rsidRPr="00B925AC" w:rsidRDefault="00CC18B0" w:rsidP="00436B98">
      <w:pPr>
        <w:rPr>
          <w:rFonts w:ascii="Times New Roman" w:hAnsi="Times New Roman"/>
        </w:rPr>
      </w:pPr>
      <w:r w:rsidRPr="00B925AC">
        <w:rPr>
          <w:rFonts w:ascii="Times New Roman" w:hAnsi="Times New Roman"/>
        </w:rPr>
        <w:t xml:space="preserve">While Dworkin’s definition of “principle” may not track the dictionary’s, his claim resonates with a core assumption about </w:t>
      </w:r>
      <w:r w:rsidR="00EC3EAC" w:rsidRPr="00B925AC">
        <w:rPr>
          <w:rFonts w:ascii="Times New Roman" w:hAnsi="Times New Roman"/>
        </w:rPr>
        <w:t>constitutionalism: it should be capable of checking the power of what Dworkin call</w:t>
      </w:r>
      <w:r w:rsidR="00DD4241" w:rsidRPr="00B925AC">
        <w:rPr>
          <w:rFonts w:ascii="Times New Roman" w:hAnsi="Times New Roman"/>
        </w:rPr>
        <w:t>s</w:t>
      </w:r>
      <w:r w:rsidR="00EC3EAC" w:rsidRPr="00B925AC">
        <w:rPr>
          <w:rFonts w:ascii="Times New Roman" w:hAnsi="Times New Roman"/>
        </w:rPr>
        <w:t xml:space="preserve"> “statistical majorities,” groups whose claim to govern is based entirely on their </w:t>
      </w:r>
      <w:r w:rsidR="00973043" w:rsidRPr="00B925AC">
        <w:rPr>
          <w:rFonts w:ascii="Times New Roman" w:hAnsi="Times New Roman"/>
        </w:rPr>
        <w:t xml:space="preserve">numerical superiority in the </w:t>
      </w:r>
      <w:r w:rsidR="00973043" w:rsidRPr="00B925AC">
        <w:rPr>
          <w:rFonts w:ascii="Times New Roman" w:hAnsi="Times New Roman"/>
        </w:rPr>
        <w:lastRenderedPageBreak/>
        <w:t>population.</w:t>
      </w:r>
      <w:r w:rsidR="009C518A" w:rsidRPr="00B925AC">
        <w:rPr>
          <w:rStyle w:val="FootnoteReference"/>
          <w:rFonts w:ascii="Times New Roman" w:hAnsi="Times New Roman"/>
        </w:rPr>
        <w:footnoteReference w:id="147"/>
      </w:r>
      <w:r w:rsidR="00CF6655" w:rsidRPr="00B925AC">
        <w:rPr>
          <w:rFonts w:ascii="Times New Roman" w:hAnsi="Times New Roman"/>
        </w:rPr>
        <w:t xml:space="preserve"> If Congress is not up to the task, that suggests it will be at best an imperfect </w:t>
      </w:r>
      <w:r w:rsidR="007336A8" w:rsidRPr="00B925AC">
        <w:rPr>
          <w:rFonts w:ascii="Times New Roman" w:hAnsi="Times New Roman"/>
        </w:rPr>
        <w:t>defender of constitutional values.</w:t>
      </w:r>
    </w:p>
    <w:p w14:paraId="315030D9" w14:textId="77777777" w:rsidR="00470C4B" w:rsidRPr="00B925AC" w:rsidRDefault="00DD4241" w:rsidP="00D9740F">
      <w:pPr>
        <w:rPr>
          <w:rFonts w:ascii="Times New Roman" w:hAnsi="Times New Roman"/>
        </w:rPr>
      </w:pPr>
      <w:r w:rsidRPr="00B925AC">
        <w:rPr>
          <w:rFonts w:ascii="Times New Roman" w:hAnsi="Times New Roman"/>
        </w:rPr>
        <w:t xml:space="preserve">There is a long literature, generally associated with </w:t>
      </w:r>
      <w:r w:rsidR="00604D65" w:rsidRPr="00B925AC">
        <w:rPr>
          <w:rFonts w:ascii="Times New Roman" w:hAnsi="Times New Roman"/>
        </w:rPr>
        <w:t xml:space="preserve">the “pluralists,” focused on whether democratic institutions, and specifically America’s </w:t>
      </w:r>
      <w:r w:rsidR="00990C96" w:rsidRPr="00B925AC">
        <w:rPr>
          <w:rFonts w:ascii="Times New Roman" w:hAnsi="Times New Roman"/>
        </w:rPr>
        <w:t>two-party</w:t>
      </w:r>
      <w:r w:rsidR="00604D65" w:rsidRPr="00B925AC">
        <w:rPr>
          <w:rFonts w:ascii="Times New Roman" w:hAnsi="Times New Roman"/>
        </w:rPr>
        <w:t xml:space="preserve"> system, can </w:t>
      </w:r>
      <w:r w:rsidR="00BA5D5E" w:rsidRPr="00B925AC">
        <w:rPr>
          <w:rFonts w:ascii="Times New Roman" w:hAnsi="Times New Roman"/>
        </w:rPr>
        <w:t xml:space="preserve">protect minority rights. </w:t>
      </w:r>
      <w:r w:rsidR="00990C96" w:rsidRPr="00B925AC">
        <w:rPr>
          <w:rFonts w:ascii="Times New Roman" w:hAnsi="Times New Roman"/>
        </w:rPr>
        <w:t xml:space="preserve">To make this question tractable, scholars have abstracted away from particular minority rights. The key question, </w:t>
      </w:r>
      <w:r w:rsidR="00BF1B84" w:rsidRPr="00B925AC">
        <w:rPr>
          <w:rFonts w:ascii="Times New Roman" w:hAnsi="Times New Roman"/>
        </w:rPr>
        <w:t xml:space="preserve">at a high level of generality, is whether </w:t>
      </w:r>
      <w:r w:rsidR="004F18B7" w:rsidRPr="00B925AC">
        <w:rPr>
          <w:rFonts w:ascii="Times New Roman" w:hAnsi="Times New Roman"/>
        </w:rPr>
        <w:t xml:space="preserve">democratic processes will vindicate the </w:t>
      </w:r>
      <w:r w:rsidR="0094640D" w:rsidRPr="00B925AC">
        <w:rPr>
          <w:rFonts w:ascii="Times New Roman" w:hAnsi="Times New Roman"/>
        </w:rPr>
        <w:t>intensely held preferences of a minority when they conflict with weakly held majority preferences.</w:t>
      </w:r>
      <w:bookmarkStart w:id="19" w:name="_Ref186284647"/>
      <w:r w:rsidR="0094640D" w:rsidRPr="00B925AC">
        <w:rPr>
          <w:rStyle w:val="FootnoteReference"/>
          <w:rFonts w:ascii="Times New Roman" w:hAnsi="Times New Roman"/>
        </w:rPr>
        <w:footnoteReference w:id="148"/>
      </w:r>
      <w:bookmarkEnd w:id="19"/>
      <w:r w:rsidR="00487802" w:rsidRPr="00B925AC">
        <w:rPr>
          <w:rFonts w:ascii="Times New Roman" w:hAnsi="Times New Roman"/>
        </w:rPr>
        <w:t xml:space="preserve"> </w:t>
      </w:r>
    </w:p>
    <w:p w14:paraId="7572B3AC" w14:textId="19400DF5" w:rsidR="00DD4241" w:rsidRPr="00B925AC" w:rsidRDefault="00487802" w:rsidP="00D9740F">
      <w:pPr>
        <w:rPr>
          <w:rFonts w:ascii="Times New Roman" w:hAnsi="Times New Roman"/>
        </w:rPr>
      </w:pPr>
      <w:r w:rsidRPr="00B925AC">
        <w:rPr>
          <w:rFonts w:ascii="Times New Roman" w:hAnsi="Times New Roman"/>
        </w:rPr>
        <w:t>We might disagree with Ronald Dahl that intensely held minority preferences are “</w:t>
      </w:r>
      <w:r w:rsidR="001A7442" w:rsidRPr="00B925AC">
        <w:rPr>
          <w:rFonts w:ascii="Times New Roman" w:hAnsi="Times New Roman"/>
        </w:rPr>
        <w:t>almost a modern psychological version of natural rights,”</w:t>
      </w:r>
      <w:r w:rsidR="001A7442" w:rsidRPr="00B925AC">
        <w:rPr>
          <w:rStyle w:val="FootnoteReference"/>
          <w:rFonts w:ascii="Times New Roman" w:hAnsi="Times New Roman"/>
        </w:rPr>
        <w:footnoteReference w:id="149"/>
      </w:r>
      <w:r w:rsidR="001A7442" w:rsidRPr="00B925AC">
        <w:rPr>
          <w:rFonts w:ascii="Times New Roman" w:hAnsi="Times New Roman"/>
        </w:rPr>
        <w:t xml:space="preserve"> but the equation of rights with strongly held preferences gets at something both descriptively and normatively compelling. </w:t>
      </w:r>
      <w:r w:rsidR="00870D56" w:rsidRPr="00B925AC">
        <w:rPr>
          <w:rFonts w:ascii="Times New Roman" w:hAnsi="Times New Roman"/>
        </w:rPr>
        <w:t xml:space="preserve">Descriptively, it seems likely that serious rights deprivations often cause the groups that face them to have an intense desire for policies that will ameliorate these </w:t>
      </w:r>
      <w:r w:rsidR="00F821B3" w:rsidRPr="00B925AC">
        <w:rPr>
          <w:rFonts w:ascii="Times New Roman" w:hAnsi="Times New Roman"/>
        </w:rPr>
        <w:t xml:space="preserve">deprivations. </w:t>
      </w:r>
      <w:r w:rsidR="00962ECF" w:rsidRPr="00B925AC">
        <w:rPr>
          <w:rFonts w:ascii="Times New Roman" w:hAnsi="Times New Roman"/>
        </w:rPr>
        <w:t xml:space="preserve">It would be surprising indeed if Black people in the Jim Crow South or Jews in Hiter’s Germany did not </w:t>
      </w:r>
      <w:r w:rsidR="00C657B8" w:rsidRPr="00B925AC">
        <w:rPr>
          <w:rFonts w:ascii="Times New Roman" w:hAnsi="Times New Roman"/>
        </w:rPr>
        <w:t xml:space="preserve">privilege their </w:t>
      </w:r>
      <w:r w:rsidR="00470C4B" w:rsidRPr="00B925AC">
        <w:rPr>
          <w:rFonts w:ascii="Times New Roman" w:hAnsi="Times New Roman"/>
        </w:rPr>
        <w:t xml:space="preserve">views on Jim Crow or the Nuremberg Laws over their preferences on tax rates and spending. </w:t>
      </w:r>
      <w:r w:rsidR="00F67EAD" w:rsidRPr="00B925AC">
        <w:rPr>
          <w:rFonts w:ascii="Times New Roman" w:hAnsi="Times New Roman"/>
        </w:rPr>
        <w:t xml:space="preserve">Similarly, though with less certainty, we might assume that Black people and Jews felt more strongly about </w:t>
      </w:r>
      <w:r w:rsidR="007306AE" w:rsidRPr="00B925AC">
        <w:rPr>
          <w:rFonts w:ascii="Times New Roman" w:hAnsi="Times New Roman"/>
        </w:rPr>
        <w:t>reducing the legal burdens they faced than Whites and Gentiles felt about perpetuating them.</w:t>
      </w:r>
    </w:p>
    <w:p w14:paraId="23F97D1B" w14:textId="7654388C" w:rsidR="00B90A98" w:rsidRPr="00B925AC" w:rsidRDefault="00B90A98" w:rsidP="00D9740F">
      <w:pPr>
        <w:rPr>
          <w:rFonts w:ascii="Times New Roman" w:hAnsi="Times New Roman"/>
        </w:rPr>
      </w:pPr>
      <w:r w:rsidRPr="00B925AC">
        <w:rPr>
          <w:rFonts w:ascii="Times New Roman" w:hAnsi="Times New Roman"/>
        </w:rPr>
        <w:t xml:space="preserve">Normatively, </w:t>
      </w:r>
      <w:r w:rsidR="0094383C" w:rsidRPr="00B925AC">
        <w:rPr>
          <w:rFonts w:ascii="Times New Roman" w:hAnsi="Times New Roman"/>
        </w:rPr>
        <w:t xml:space="preserve">we might simply prefer to equate rights with intensely held preferences. </w:t>
      </w:r>
      <w:r w:rsidR="00E6162E" w:rsidRPr="00B925AC">
        <w:rPr>
          <w:rFonts w:ascii="Times New Roman" w:hAnsi="Times New Roman"/>
        </w:rPr>
        <w:t xml:space="preserve">If an </w:t>
      </w:r>
      <w:r w:rsidR="00854DA1" w:rsidRPr="00B925AC">
        <w:rPr>
          <w:rFonts w:ascii="Times New Roman" w:hAnsi="Times New Roman"/>
        </w:rPr>
        <w:t>impacted</w:t>
      </w:r>
      <w:r w:rsidR="00E6162E" w:rsidRPr="00B925AC">
        <w:rPr>
          <w:rFonts w:ascii="Times New Roman" w:hAnsi="Times New Roman"/>
        </w:rPr>
        <w:t xml:space="preserve"> group does not consider a supposedly rights-infringing policy to be highly salient, there is something almost paternalistic about determining that </w:t>
      </w:r>
      <w:r w:rsidR="009E0CE5" w:rsidRPr="00B925AC">
        <w:rPr>
          <w:rFonts w:ascii="Times New Roman" w:hAnsi="Times New Roman"/>
        </w:rPr>
        <w:t xml:space="preserve">such a policy must be proscribed regardless of how the voting public feels about it. </w:t>
      </w:r>
      <w:r w:rsidR="00923528" w:rsidRPr="00B925AC">
        <w:rPr>
          <w:rFonts w:ascii="Times New Roman" w:hAnsi="Times New Roman"/>
        </w:rPr>
        <w:t xml:space="preserve">There is a reason </w:t>
      </w:r>
      <w:r w:rsidR="00E2270C" w:rsidRPr="00B925AC">
        <w:rPr>
          <w:rFonts w:ascii="Times New Roman" w:hAnsi="Times New Roman"/>
        </w:rPr>
        <w:t xml:space="preserve">that </w:t>
      </w:r>
      <w:r w:rsidR="00923528" w:rsidRPr="00B925AC">
        <w:rPr>
          <w:rFonts w:ascii="Times New Roman" w:hAnsi="Times New Roman"/>
        </w:rPr>
        <w:t>arguments about “false consciousness” have come to be generally derided</w:t>
      </w:r>
      <w:r w:rsidR="00E2270C" w:rsidRPr="00B925AC">
        <w:rPr>
          <w:rFonts w:ascii="Times New Roman" w:hAnsi="Times New Roman"/>
        </w:rPr>
        <w:t>.</w:t>
      </w:r>
      <w:bookmarkStart w:id="20" w:name="_Ref186376935"/>
      <w:r w:rsidR="008272F5" w:rsidRPr="00B925AC">
        <w:rPr>
          <w:rStyle w:val="FootnoteReference"/>
          <w:rFonts w:ascii="Times New Roman" w:hAnsi="Times New Roman"/>
        </w:rPr>
        <w:footnoteReference w:id="150"/>
      </w:r>
      <w:bookmarkEnd w:id="20"/>
      <w:r w:rsidR="00925478" w:rsidRPr="00B925AC">
        <w:rPr>
          <w:rFonts w:ascii="Times New Roman" w:hAnsi="Times New Roman"/>
        </w:rPr>
        <w:t xml:space="preserve"> I do not rule out the many arguments that can be made for treating some policy as a “right” even when those who would benefit don’t much care. But </w:t>
      </w:r>
      <w:r w:rsidR="00974E15" w:rsidRPr="00B925AC">
        <w:rPr>
          <w:rFonts w:ascii="Times New Roman" w:hAnsi="Times New Roman"/>
        </w:rPr>
        <w:t xml:space="preserve">if we equate rights – at least for the sake of analysis – with </w:t>
      </w:r>
      <w:r w:rsidR="00974E15" w:rsidRPr="00B925AC">
        <w:rPr>
          <w:rFonts w:ascii="Times New Roman" w:hAnsi="Times New Roman"/>
        </w:rPr>
        <w:lastRenderedPageBreak/>
        <w:t xml:space="preserve">highly salient policies, we have a </w:t>
      </w:r>
      <w:r w:rsidR="007B4BEB" w:rsidRPr="00B925AC">
        <w:rPr>
          <w:rFonts w:ascii="Times New Roman" w:hAnsi="Times New Roman"/>
        </w:rPr>
        <w:t>ready-made ground</w:t>
      </w:r>
      <w:r w:rsidR="00974E15" w:rsidRPr="00B925AC">
        <w:rPr>
          <w:rFonts w:ascii="Times New Roman" w:hAnsi="Times New Roman"/>
        </w:rPr>
        <w:t xml:space="preserve"> for demanding they be upheld.</w:t>
      </w:r>
    </w:p>
    <w:p w14:paraId="43931471" w14:textId="69765D77" w:rsidR="00095CC0" w:rsidRPr="00B925AC" w:rsidRDefault="00703F22" w:rsidP="00D9740F">
      <w:pPr>
        <w:rPr>
          <w:rFonts w:ascii="Times New Roman" w:hAnsi="Times New Roman"/>
        </w:rPr>
      </w:pPr>
      <w:r w:rsidRPr="00B925AC">
        <w:rPr>
          <w:rFonts w:ascii="Times New Roman" w:hAnsi="Times New Roman"/>
        </w:rPr>
        <w:t xml:space="preserve">The intensity-based conception of rights, it should be clear, generalizes beyond the rights of </w:t>
      </w:r>
      <w:r w:rsidR="001029D2" w:rsidRPr="00B925AC">
        <w:rPr>
          <w:rFonts w:ascii="Times New Roman" w:hAnsi="Times New Roman"/>
        </w:rPr>
        <w:t>ascriptive</w:t>
      </w:r>
      <w:r w:rsidR="003020C7" w:rsidRPr="00B925AC">
        <w:rPr>
          <w:rFonts w:ascii="Times New Roman" w:hAnsi="Times New Roman"/>
        </w:rPr>
        <w:t xml:space="preserve"> minority groups. </w:t>
      </w:r>
      <w:r w:rsidR="00C67840" w:rsidRPr="00B925AC">
        <w:rPr>
          <w:rFonts w:ascii="Times New Roman" w:hAnsi="Times New Roman"/>
        </w:rPr>
        <w:t xml:space="preserve">If a loosely organized set of dissidents strongly prefer that speech be unrestricted, </w:t>
      </w:r>
      <w:r w:rsidR="00D21EBD" w:rsidRPr="00B925AC">
        <w:rPr>
          <w:rFonts w:ascii="Times New Roman" w:hAnsi="Times New Roman"/>
        </w:rPr>
        <w:t xml:space="preserve">a right to free speech </w:t>
      </w:r>
      <w:r w:rsidR="00C67840" w:rsidRPr="00B925AC">
        <w:rPr>
          <w:rFonts w:ascii="Times New Roman" w:hAnsi="Times New Roman"/>
        </w:rPr>
        <w:t xml:space="preserve">can be </w:t>
      </w:r>
      <w:r w:rsidR="003F1C00" w:rsidRPr="00B925AC">
        <w:rPr>
          <w:rFonts w:ascii="Times New Roman" w:hAnsi="Times New Roman"/>
        </w:rPr>
        <w:t>analyzed</w:t>
      </w:r>
      <w:r w:rsidR="006C0B37" w:rsidRPr="00B925AC">
        <w:rPr>
          <w:rFonts w:ascii="Times New Roman" w:hAnsi="Times New Roman"/>
        </w:rPr>
        <w:t xml:space="preserve"> as </w:t>
      </w:r>
      <w:r w:rsidR="00C76BF4" w:rsidRPr="00B925AC">
        <w:rPr>
          <w:rFonts w:ascii="Times New Roman" w:hAnsi="Times New Roman"/>
        </w:rPr>
        <w:t xml:space="preserve">a policy </w:t>
      </w:r>
      <w:r w:rsidR="006C0B37" w:rsidRPr="00B925AC">
        <w:rPr>
          <w:rFonts w:ascii="Times New Roman" w:hAnsi="Times New Roman"/>
        </w:rPr>
        <w:t>intense</w:t>
      </w:r>
      <w:r w:rsidR="00C76BF4" w:rsidRPr="00B925AC">
        <w:rPr>
          <w:rFonts w:ascii="Times New Roman" w:hAnsi="Times New Roman"/>
        </w:rPr>
        <w:t>ly</w:t>
      </w:r>
      <w:r w:rsidR="006C0B37" w:rsidRPr="00B925AC">
        <w:rPr>
          <w:rFonts w:ascii="Times New Roman" w:hAnsi="Times New Roman"/>
        </w:rPr>
        <w:t xml:space="preserve"> </w:t>
      </w:r>
      <w:r w:rsidR="00C76BF4" w:rsidRPr="00B925AC">
        <w:rPr>
          <w:rFonts w:ascii="Times New Roman" w:hAnsi="Times New Roman"/>
        </w:rPr>
        <w:t>preferred by a minority group</w:t>
      </w:r>
      <w:r w:rsidR="00FC0001" w:rsidRPr="00B925AC">
        <w:rPr>
          <w:rFonts w:ascii="Times New Roman" w:hAnsi="Times New Roman"/>
        </w:rPr>
        <w:t xml:space="preserve">. The same goes for the </w:t>
      </w:r>
      <w:r w:rsidR="0008006E" w:rsidRPr="00B925AC">
        <w:rPr>
          <w:rFonts w:ascii="Times New Roman" w:hAnsi="Times New Roman"/>
        </w:rPr>
        <w:t xml:space="preserve">strong </w:t>
      </w:r>
      <w:r w:rsidR="00FC0001" w:rsidRPr="00B925AC">
        <w:rPr>
          <w:rFonts w:ascii="Times New Roman" w:hAnsi="Times New Roman"/>
        </w:rPr>
        <w:t>preferences of a gun-owning minority.</w:t>
      </w:r>
      <w:r w:rsidR="00A93E94" w:rsidRPr="00B925AC">
        <w:rPr>
          <w:rFonts w:ascii="Times New Roman" w:hAnsi="Times New Roman"/>
        </w:rPr>
        <w:t xml:space="preserve"> Criminals and their sympathizers may not constitute a particularly powerful minority, but </w:t>
      </w:r>
      <w:r w:rsidR="0090383E" w:rsidRPr="00B925AC">
        <w:rPr>
          <w:rFonts w:ascii="Times New Roman" w:hAnsi="Times New Roman"/>
        </w:rPr>
        <w:t>if they strongly prefer lenient criminal justice policies, we can analyze those preferences as a demand for rights.</w:t>
      </w:r>
      <w:r w:rsidR="0006458D" w:rsidRPr="00B925AC">
        <w:rPr>
          <w:rFonts w:ascii="Times New Roman" w:hAnsi="Times New Roman"/>
        </w:rPr>
        <w:t xml:space="preserve"> Below, when I discuss rights and the minority group that demands them, the</w:t>
      </w:r>
      <w:r w:rsidR="00546DE7" w:rsidRPr="00B925AC">
        <w:rPr>
          <w:rFonts w:ascii="Times New Roman" w:hAnsi="Times New Roman"/>
        </w:rPr>
        <w:t xml:space="preserve"> terms should be seen as a stand-in for any policies that are highly salient to some collection </w:t>
      </w:r>
      <w:r w:rsidR="00CD178F" w:rsidRPr="00B925AC">
        <w:rPr>
          <w:rFonts w:ascii="Times New Roman" w:hAnsi="Times New Roman"/>
        </w:rPr>
        <w:t xml:space="preserve">of </w:t>
      </w:r>
      <w:r w:rsidR="00546DE7" w:rsidRPr="00B925AC">
        <w:rPr>
          <w:rFonts w:ascii="Times New Roman" w:hAnsi="Times New Roman"/>
        </w:rPr>
        <w:t>individuals (rights) and the collection for which they are salient (minority group).</w:t>
      </w:r>
    </w:p>
    <w:p w14:paraId="392C0ADC" w14:textId="3896202A" w:rsidR="007B4BEB" w:rsidRPr="00B925AC" w:rsidRDefault="007B4BEB" w:rsidP="00D9740F">
      <w:pPr>
        <w:rPr>
          <w:rFonts w:ascii="Times New Roman" w:hAnsi="Times New Roman"/>
        </w:rPr>
      </w:pPr>
      <w:r w:rsidRPr="00B925AC">
        <w:rPr>
          <w:rFonts w:ascii="Times New Roman" w:hAnsi="Times New Roman"/>
        </w:rPr>
        <w:t>Pluralism is often seen – by its proponents</w:t>
      </w:r>
      <w:bookmarkStart w:id="21" w:name="_Ref186118967"/>
      <w:r w:rsidR="00E220A1" w:rsidRPr="00B925AC">
        <w:rPr>
          <w:rStyle w:val="FootnoteReference"/>
          <w:rFonts w:ascii="Times New Roman" w:hAnsi="Times New Roman"/>
        </w:rPr>
        <w:footnoteReference w:id="151"/>
      </w:r>
      <w:bookmarkEnd w:id="21"/>
      <w:r w:rsidRPr="00B925AC">
        <w:rPr>
          <w:rFonts w:ascii="Times New Roman" w:hAnsi="Times New Roman"/>
        </w:rPr>
        <w:t xml:space="preserve"> and its critics</w:t>
      </w:r>
      <w:bookmarkStart w:id="22" w:name="_Ref186106784"/>
      <w:r w:rsidR="00E220A1" w:rsidRPr="00B925AC">
        <w:rPr>
          <w:rStyle w:val="FootnoteReference"/>
          <w:rFonts w:ascii="Times New Roman" w:hAnsi="Times New Roman"/>
        </w:rPr>
        <w:footnoteReference w:id="152"/>
      </w:r>
      <w:bookmarkEnd w:id="22"/>
      <w:r w:rsidR="005D519E" w:rsidRPr="00B925AC">
        <w:rPr>
          <w:rFonts w:ascii="Times New Roman" w:hAnsi="Times New Roman"/>
        </w:rPr>
        <w:t xml:space="preserve"> – as bullish on the </w:t>
      </w:r>
      <w:r w:rsidR="0086728A" w:rsidRPr="00B925AC">
        <w:rPr>
          <w:rFonts w:ascii="Times New Roman" w:hAnsi="Times New Roman"/>
        </w:rPr>
        <w:t xml:space="preserve">idea that democracy can protect rights. The basic argument is that competing political coalitions have strong incentives to woo minority groups. </w:t>
      </w:r>
      <w:r w:rsidR="000C3472" w:rsidRPr="00B925AC">
        <w:rPr>
          <w:rFonts w:ascii="Times New Roman" w:hAnsi="Times New Roman"/>
        </w:rPr>
        <w:t xml:space="preserve">True, when a minority wants policies that the majority opposes there will be a cost to proposing </w:t>
      </w:r>
      <w:r w:rsidR="004E60F2" w:rsidRPr="00B925AC">
        <w:rPr>
          <w:rFonts w:ascii="Times New Roman" w:hAnsi="Times New Roman"/>
        </w:rPr>
        <w:t>those policies</w:t>
      </w:r>
      <w:r w:rsidR="000C5DAC" w:rsidRPr="00B925AC">
        <w:rPr>
          <w:rFonts w:ascii="Times New Roman" w:hAnsi="Times New Roman"/>
        </w:rPr>
        <w:t>.</w:t>
      </w:r>
      <w:r w:rsidR="000C5DAC" w:rsidRPr="00B925AC">
        <w:rPr>
          <w:rStyle w:val="FootnoteReference"/>
          <w:rFonts w:ascii="Times New Roman" w:hAnsi="Times New Roman"/>
        </w:rPr>
        <w:footnoteReference w:id="153"/>
      </w:r>
      <w:r w:rsidR="001F6A11" w:rsidRPr="00B925AC">
        <w:rPr>
          <w:rFonts w:ascii="Times New Roman" w:hAnsi="Times New Roman"/>
        </w:rPr>
        <w:t xml:space="preserve"> However, under plausible circumstances that cost will be worth paying.</w:t>
      </w:r>
      <w:bookmarkStart w:id="23" w:name="_Ref186119218"/>
      <w:r w:rsidR="001F6A11" w:rsidRPr="00B925AC">
        <w:rPr>
          <w:rStyle w:val="FootnoteReference"/>
          <w:rFonts w:ascii="Times New Roman" w:hAnsi="Times New Roman"/>
        </w:rPr>
        <w:footnoteReference w:id="154"/>
      </w:r>
      <w:bookmarkEnd w:id="23"/>
      <w:r w:rsidR="001F6A11" w:rsidRPr="00B925AC">
        <w:rPr>
          <w:rFonts w:ascii="Times New Roman" w:hAnsi="Times New Roman"/>
        </w:rPr>
        <w:t xml:space="preserve"> And under some circumstances an apathetic majority </w:t>
      </w:r>
      <w:r w:rsidR="00FF61B4" w:rsidRPr="00B925AC">
        <w:rPr>
          <w:rFonts w:ascii="Times New Roman" w:hAnsi="Times New Roman"/>
        </w:rPr>
        <w:t xml:space="preserve">will not exact a price, while a </w:t>
      </w:r>
      <w:r w:rsidR="00121752" w:rsidRPr="00B925AC">
        <w:rPr>
          <w:rFonts w:ascii="Times New Roman" w:hAnsi="Times New Roman"/>
        </w:rPr>
        <w:t>mobilized minority will most certainly provide a reward.</w:t>
      </w:r>
      <w:r w:rsidR="00121752" w:rsidRPr="00B925AC">
        <w:rPr>
          <w:rStyle w:val="FootnoteReference"/>
          <w:rFonts w:ascii="Times New Roman" w:hAnsi="Times New Roman"/>
        </w:rPr>
        <w:footnoteReference w:id="155"/>
      </w:r>
    </w:p>
    <w:p w14:paraId="2F9BDF6B" w14:textId="6AEC5C94" w:rsidR="00E62694" w:rsidRPr="00B925AC" w:rsidRDefault="00701057" w:rsidP="00E62694">
      <w:pPr>
        <w:rPr>
          <w:rFonts w:ascii="Times New Roman" w:hAnsi="Times New Roman"/>
        </w:rPr>
      </w:pPr>
      <w:r w:rsidRPr="00B925AC">
        <w:rPr>
          <w:rFonts w:ascii="Times New Roman" w:hAnsi="Times New Roman"/>
        </w:rPr>
        <w:t>To be sure, this pluralist vision has been heavily criticized.</w:t>
      </w:r>
      <w:r w:rsidR="006B4742" w:rsidRPr="00B925AC">
        <w:rPr>
          <w:rStyle w:val="FootnoteReference"/>
          <w:rFonts w:ascii="Times New Roman" w:hAnsi="Times New Roman"/>
        </w:rPr>
        <w:footnoteReference w:id="156"/>
      </w:r>
      <w:r w:rsidR="00DC5E8C" w:rsidRPr="00B925AC">
        <w:rPr>
          <w:rFonts w:ascii="Times New Roman" w:hAnsi="Times New Roman"/>
        </w:rPr>
        <w:t xml:space="preserve"> Scholars have noted that a minority group is unlikely to receive its due in the pluralist marketplace if it is stigmatized,</w:t>
      </w:r>
      <w:r w:rsidR="00860C04" w:rsidRPr="00B925AC">
        <w:rPr>
          <w:rStyle w:val="FootnoteReference"/>
          <w:rFonts w:ascii="Times New Roman" w:hAnsi="Times New Roman"/>
        </w:rPr>
        <w:footnoteReference w:id="157"/>
      </w:r>
      <w:r w:rsidR="00DC5E8C" w:rsidRPr="00B925AC">
        <w:rPr>
          <w:rFonts w:ascii="Times New Roman" w:hAnsi="Times New Roman"/>
        </w:rPr>
        <w:t xml:space="preserve"> </w:t>
      </w:r>
      <w:r w:rsidR="00366713" w:rsidRPr="00B925AC">
        <w:rPr>
          <w:rFonts w:ascii="Times New Roman" w:hAnsi="Times New Roman"/>
        </w:rPr>
        <w:t>if it has limited resources,</w:t>
      </w:r>
      <w:r w:rsidR="00014550" w:rsidRPr="00B925AC">
        <w:rPr>
          <w:rStyle w:val="FootnoteReference"/>
          <w:rFonts w:ascii="Times New Roman" w:hAnsi="Times New Roman"/>
        </w:rPr>
        <w:footnoteReference w:id="158"/>
      </w:r>
      <w:r w:rsidR="00366713" w:rsidRPr="00B925AC">
        <w:rPr>
          <w:rFonts w:ascii="Times New Roman" w:hAnsi="Times New Roman"/>
        </w:rPr>
        <w:t xml:space="preserve"> or if it is unable to mobilize as a </w:t>
      </w:r>
      <w:r w:rsidR="00366713" w:rsidRPr="00B925AC">
        <w:rPr>
          <w:rFonts w:ascii="Times New Roman" w:hAnsi="Times New Roman"/>
        </w:rPr>
        <w:lastRenderedPageBreak/>
        <w:t>group.</w:t>
      </w:r>
      <w:r w:rsidR="00366713" w:rsidRPr="00B925AC">
        <w:rPr>
          <w:rStyle w:val="FootnoteReference"/>
          <w:rFonts w:ascii="Times New Roman" w:hAnsi="Times New Roman"/>
        </w:rPr>
        <w:footnoteReference w:id="159"/>
      </w:r>
      <w:r w:rsidR="00D71D4A" w:rsidRPr="00B925AC">
        <w:rPr>
          <w:rFonts w:ascii="Times New Roman" w:hAnsi="Times New Roman"/>
        </w:rPr>
        <w:t xml:space="preserve"> However, these criticisms go to the price that politicians will be willing to pay for minority group support. </w:t>
      </w:r>
      <w:r w:rsidR="00301810" w:rsidRPr="00B925AC">
        <w:rPr>
          <w:rFonts w:ascii="Times New Roman" w:hAnsi="Times New Roman"/>
        </w:rPr>
        <w:t xml:space="preserve">The basic framework – in which politicians </w:t>
      </w:r>
      <w:r w:rsidR="00CA73B9" w:rsidRPr="00B925AC">
        <w:rPr>
          <w:rFonts w:ascii="Times New Roman" w:hAnsi="Times New Roman"/>
        </w:rPr>
        <w:t>are willing to take some action to win the support of a group of voters, even if that group does not make up a majority of the population – remains viable.</w:t>
      </w:r>
    </w:p>
    <w:p w14:paraId="43591C9B" w14:textId="09D7FC82" w:rsidR="00E62694" w:rsidRPr="00B925AC" w:rsidRDefault="00E62694" w:rsidP="00E62694">
      <w:pPr>
        <w:rPr>
          <w:rFonts w:ascii="Times New Roman" w:hAnsi="Times New Roman"/>
        </w:rPr>
      </w:pPr>
      <w:r w:rsidRPr="00B925AC">
        <w:rPr>
          <w:rFonts w:ascii="Times New Roman" w:hAnsi="Times New Roman"/>
        </w:rPr>
        <w:t xml:space="preserve">However, the pluralist model ignores two critical considerations. First, </w:t>
      </w:r>
      <w:r w:rsidR="000B4F64" w:rsidRPr="00B925AC">
        <w:rPr>
          <w:rFonts w:ascii="Times New Roman" w:hAnsi="Times New Roman"/>
        </w:rPr>
        <w:t xml:space="preserve">it </w:t>
      </w:r>
      <w:r w:rsidR="00C25655" w:rsidRPr="00B925AC">
        <w:rPr>
          <w:rFonts w:ascii="Times New Roman" w:hAnsi="Times New Roman"/>
        </w:rPr>
        <w:t xml:space="preserve">relies heavily on an analogy to the economic marketplace. But in the economic marketplace, </w:t>
      </w:r>
      <w:r w:rsidR="00212562" w:rsidRPr="00B925AC">
        <w:rPr>
          <w:rFonts w:ascii="Times New Roman" w:hAnsi="Times New Roman"/>
        </w:rPr>
        <w:t xml:space="preserve">market participants can </w:t>
      </w:r>
      <w:r w:rsidR="00C273E5" w:rsidRPr="00B925AC">
        <w:rPr>
          <w:rFonts w:ascii="Times New Roman" w:hAnsi="Times New Roman"/>
        </w:rPr>
        <w:t>sign contracts when they find a mutually beneficial exchange.</w:t>
      </w:r>
      <w:r w:rsidR="0094739A" w:rsidRPr="00B925AC">
        <w:rPr>
          <w:rFonts w:ascii="Times New Roman" w:hAnsi="Times New Roman"/>
        </w:rPr>
        <w:t xml:space="preserve"> In the political marketplace, the situation is considerably more complicated.</w:t>
      </w:r>
    </w:p>
    <w:p w14:paraId="3ED40E68" w14:textId="45FA40B0" w:rsidR="009C7919" w:rsidRPr="00B925AC" w:rsidRDefault="009C7919" w:rsidP="00E62694">
      <w:pPr>
        <w:rPr>
          <w:rFonts w:ascii="Times New Roman" w:hAnsi="Times New Roman"/>
        </w:rPr>
      </w:pPr>
      <w:r w:rsidRPr="00B925AC">
        <w:rPr>
          <w:rFonts w:ascii="Times New Roman" w:hAnsi="Times New Roman"/>
        </w:rPr>
        <w:t xml:space="preserve">In some </w:t>
      </w:r>
      <w:r w:rsidR="0073207C" w:rsidRPr="00B925AC">
        <w:rPr>
          <w:rFonts w:ascii="Times New Roman" w:hAnsi="Times New Roman"/>
        </w:rPr>
        <w:t>accounts</w:t>
      </w:r>
      <w:r w:rsidRPr="00B925AC">
        <w:rPr>
          <w:rFonts w:ascii="Times New Roman" w:hAnsi="Times New Roman"/>
        </w:rPr>
        <w:t xml:space="preserve">, </w:t>
      </w:r>
      <w:r w:rsidR="0073207C" w:rsidRPr="00B925AC">
        <w:rPr>
          <w:rFonts w:ascii="Times New Roman" w:hAnsi="Times New Roman"/>
        </w:rPr>
        <w:t xml:space="preserve">pluralists imagine that </w:t>
      </w:r>
      <w:r w:rsidRPr="00B925AC">
        <w:rPr>
          <w:rFonts w:ascii="Times New Roman" w:hAnsi="Times New Roman"/>
        </w:rPr>
        <w:t>politicians will compete for minority group support by paying up front.</w:t>
      </w:r>
      <w:r w:rsidRPr="00B925AC">
        <w:rPr>
          <w:rStyle w:val="FootnoteReference"/>
          <w:rFonts w:ascii="Times New Roman" w:hAnsi="Times New Roman"/>
        </w:rPr>
        <w:footnoteReference w:id="160"/>
      </w:r>
      <w:r w:rsidR="0073207C" w:rsidRPr="00B925AC">
        <w:rPr>
          <w:rFonts w:ascii="Times New Roman" w:hAnsi="Times New Roman"/>
        </w:rPr>
        <w:t xml:space="preserve"> They will attempt to compile favorable records on rights issues, on the hope that the</w:t>
      </w:r>
      <w:r w:rsidR="00E17624" w:rsidRPr="00B925AC">
        <w:rPr>
          <w:rFonts w:ascii="Times New Roman" w:hAnsi="Times New Roman"/>
        </w:rPr>
        <w:t xml:space="preserve">y will be rewarded at the next election. </w:t>
      </w:r>
      <w:r w:rsidR="001D51AF" w:rsidRPr="00B925AC">
        <w:rPr>
          <w:rFonts w:ascii="Times New Roman" w:hAnsi="Times New Roman"/>
        </w:rPr>
        <w:t>If we accept that some voting is “retrospective”</w:t>
      </w:r>
      <w:r w:rsidR="001D51AF" w:rsidRPr="00B925AC">
        <w:rPr>
          <w:rStyle w:val="FootnoteReference"/>
          <w:rFonts w:ascii="Times New Roman" w:hAnsi="Times New Roman"/>
        </w:rPr>
        <w:footnoteReference w:id="161"/>
      </w:r>
      <w:r w:rsidR="001C4D21" w:rsidRPr="00B925AC">
        <w:rPr>
          <w:rFonts w:ascii="Times New Roman" w:hAnsi="Times New Roman"/>
        </w:rPr>
        <w:t xml:space="preserve"> – that voters sometimes reward politicians for actions already taken – then this model is plausible for some issues.</w:t>
      </w:r>
    </w:p>
    <w:p w14:paraId="40377AF6" w14:textId="0B03395B" w:rsidR="001C4D21" w:rsidRPr="00B925AC" w:rsidRDefault="001C4D21" w:rsidP="00732243">
      <w:pPr>
        <w:rPr>
          <w:rFonts w:ascii="Times New Roman" w:hAnsi="Times New Roman"/>
        </w:rPr>
      </w:pPr>
      <w:r w:rsidRPr="00B925AC">
        <w:rPr>
          <w:rFonts w:ascii="Times New Roman" w:hAnsi="Times New Roman"/>
        </w:rPr>
        <w:t xml:space="preserve">But imagine that what a minority group wants is not a particular action taken today, but a </w:t>
      </w:r>
      <w:r w:rsidR="002F1817" w:rsidRPr="00B925AC">
        <w:rPr>
          <w:rFonts w:ascii="Times New Roman" w:hAnsi="Times New Roman"/>
        </w:rPr>
        <w:t>commitment that a set of actions will never be taken. Imagine, for example, that they want to know they will never face discriminatory laws, that their speech will never be infringed</w:t>
      </w:r>
      <w:r w:rsidR="001261A9" w:rsidRPr="00B925AC">
        <w:rPr>
          <w:rFonts w:ascii="Times New Roman" w:hAnsi="Times New Roman"/>
        </w:rPr>
        <w:t>, or that they will never be denied due process.</w:t>
      </w:r>
      <w:r w:rsidR="00B3154E" w:rsidRPr="00B925AC">
        <w:rPr>
          <w:rFonts w:ascii="Times New Roman" w:hAnsi="Times New Roman"/>
        </w:rPr>
        <w:t xml:space="preserve"> Imagine, in short, that they want a commitment that political actors will follow </w:t>
      </w:r>
      <w:r w:rsidR="005D276D" w:rsidRPr="00B925AC">
        <w:rPr>
          <w:rFonts w:ascii="Times New Roman" w:hAnsi="Times New Roman"/>
        </w:rPr>
        <w:t>some</w:t>
      </w:r>
      <w:r w:rsidR="00F660C2" w:rsidRPr="00B925AC">
        <w:rPr>
          <w:rFonts w:ascii="Times New Roman" w:hAnsi="Times New Roman"/>
        </w:rPr>
        <w:t xml:space="preserve"> </w:t>
      </w:r>
      <w:r w:rsidR="00A77430" w:rsidRPr="00B925AC">
        <w:rPr>
          <w:rFonts w:ascii="Times New Roman" w:hAnsi="Times New Roman"/>
        </w:rPr>
        <w:t>small-c</w:t>
      </w:r>
      <w:r w:rsidR="00F660C2" w:rsidRPr="00B925AC">
        <w:rPr>
          <w:rFonts w:ascii="Times New Roman" w:hAnsi="Times New Roman"/>
        </w:rPr>
        <w:t xml:space="preserve"> constitutional </w:t>
      </w:r>
      <w:r w:rsidR="00D80857" w:rsidRPr="00B925AC">
        <w:rPr>
          <w:rFonts w:ascii="Times New Roman" w:hAnsi="Times New Roman"/>
        </w:rPr>
        <w:t>limitation.</w:t>
      </w:r>
      <w:r w:rsidR="007B528A" w:rsidRPr="00B925AC">
        <w:rPr>
          <w:rFonts w:ascii="Times New Roman" w:hAnsi="Times New Roman"/>
        </w:rPr>
        <w:t xml:space="preserve"> In this case, retrospective voting will not work. </w:t>
      </w:r>
      <w:r w:rsidR="00571EE6" w:rsidRPr="00B925AC">
        <w:rPr>
          <w:rFonts w:ascii="Times New Roman" w:hAnsi="Times New Roman"/>
        </w:rPr>
        <w:t>A minority group might punish the party that violate</w:t>
      </w:r>
      <w:r w:rsidR="00172694" w:rsidRPr="00B925AC">
        <w:rPr>
          <w:rFonts w:ascii="Times New Roman" w:hAnsi="Times New Roman"/>
        </w:rPr>
        <w:t xml:space="preserve">s its rights at one point in time, but it cannot </w:t>
      </w:r>
      <w:r w:rsidR="006A1E6A" w:rsidRPr="00B925AC">
        <w:rPr>
          <w:rFonts w:ascii="Times New Roman" w:hAnsi="Times New Roman"/>
        </w:rPr>
        <w:t xml:space="preserve">elicit </w:t>
      </w:r>
      <w:r w:rsidR="0068082A" w:rsidRPr="00B925AC">
        <w:rPr>
          <w:rFonts w:ascii="Times New Roman" w:hAnsi="Times New Roman"/>
        </w:rPr>
        <w:t>a promise that its rights will be respected going forward.</w:t>
      </w:r>
      <w:r w:rsidR="00732243" w:rsidRPr="00B925AC">
        <w:rPr>
          <w:rFonts w:ascii="Times New Roman" w:hAnsi="Times New Roman"/>
        </w:rPr>
        <w:t xml:space="preserve"> </w:t>
      </w:r>
      <w:r w:rsidR="002B032A" w:rsidRPr="00B925AC">
        <w:rPr>
          <w:rFonts w:ascii="Times New Roman" w:hAnsi="Times New Roman"/>
        </w:rPr>
        <w:t xml:space="preserve">If it would be willing to </w:t>
      </w:r>
      <w:r w:rsidR="005B3C39" w:rsidRPr="00B925AC">
        <w:rPr>
          <w:rFonts w:ascii="Times New Roman" w:hAnsi="Times New Roman"/>
        </w:rPr>
        <w:t xml:space="preserve">pledge lasting fealty to the political coalition that commits to protecting its rights, such a </w:t>
      </w:r>
      <w:r w:rsidR="00DE6BBB" w:rsidRPr="00B925AC">
        <w:rPr>
          <w:rFonts w:ascii="Times New Roman" w:hAnsi="Times New Roman"/>
        </w:rPr>
        <w:t xml:space="preserve">trade of loyalty-for-commitment could well be mutually beneficial, as it would provide valuable certainty to both sides. But retrospective voting </w:t>
      </w:r>
      <w:r w:rsidR="00CC6648" w:rsidRPr="00B925AC">
        <w:rPr>
          <w:rFonts w:ascii="Times New Roman" w:hAnsi="Times New Roman"/>
        </w:rPr>
        <w:t>does not allow for such a trade.</w:t>
      </w:r>
      <w:r w:rsidR="00CC6648" w:rsidRPr="00B925AC">
        <w:rPr>
          <w:rStyle w:val="FootnoteReference"/>
          <w:rFonts w:ascii="Times New Roman" w:hAnsi="Times New Roman"/>
        </w:rPr>
        <w:footnoteReference w:id="162"/>
      </w:r>
    </w:p>
    <w:p w14:paraId="5A3AC88E" w14:textId="5C03AD8B" w:rsidR="00CC6648" w:rsidRPr="00B925AC" w:rsidRDefault="00CC6648" w:rsidP="00E62694">
      <w:pPr>
        <w:rPr>
          <w:rFonts w:ascii="Times New Roman" w:hAnsi="Times New Roman"/>
        </w:rPr>
      </w:pPr>
      <w:r w:rsidRPr="00B925AC">
        <w:rPr>
          <w:rFonts w:ascii="Times New Roman" w:hAnsi="Times New Roman"/>
        </w:rPr>
        <w:lastRenderedPageBreak/>
        <w:t xml:space="preserve">What </w:t>
      </w:r>
      <w:r w:rsidR="00515E22" w:rsidRPr="00B925AC">
        <w:rPr>
          <w:rFonts w:ascii="Times New Roman" w:hAnsi="Times New Roman"/>
        </w:rPr>
        <w:t xml:space="preserve">the minority group needs is a credible commitment mechanism. </w:t>
      </w:r>
      <w:r w:rsidR="00122613" w:rsidRPr="00B925AC">
        <w:rPr>
          <w:rFonts w:ascii="Times New Roman" w:hAnsi="Times New Roman"/>
        </w:rPr>
        <w:t>It</w:t>
      </w:r>
      <w:r w:rsidR="00515E22" w:rsidRPr="00B925AC">
        <w:rPr>
          <w:rFonts w:ascii="Times New Roman" w:hAnsi="Times New Roman"/>
        </w:rPr>
        <w:t xml:space="preserve"> </w:t>
      </w:r>
      <w:r w:rsidR="00EB2A43" w:rsidRPr="00B925AC">
        <w:rPr>
          <w:rFonts w:ascii="Times New Roman" w:hAnsi="Times New Roman"/>
        </w:rPr>
        <w:t>need</w:t>
      </w:r>
      <w:r w:rsidR="00122613" w:rsidRPr="00B925AC">
        <w:rPr>
          <w:rFonts w:ascii="Times New Roman" w:hAnsi="Times New Roman"/>
        </w:rPr>
        <w:t>s</w:t>
      </w:r>
      <w:r w:rsidR="00EB2A43" w:rsidRPr="00B925AC">
        <w:rPr>
          <w:rFonts w:ascii="Times New Roman" w:hAnsi="Times New Roman"/>
        </w:rPr>
        <w:t xml:space="preserve"> a means by which politicians can commit to respect minority rights in the future</w:t>
      </w:r>
      <w:r w:rsidR="00BB142C" w:rsidRPr="00B925AC">
        <w:rPr>
          <w:rFonts w:ascii="Times New Roman" w:hAnsi="Times New Roman"/>
        </w:rPr>
        <w:t xml:space="preserve"> and be bound to honor its commitment</w:t>
      </w:r>
      <w:r w:rsidR="00EB2A43" w:rsidRPr="00B925AC">
        <w:rPr>
          <w:rFonts w:ascii="Times New Roman" w:hAnsi="Times New Roman"/>
        </w:rPr>
        <w:t>.</w:t>
      </w:r>
      <w:r w:rsidR="0040480E" w:rsidRPr="00B925AC">
        <w:rPr>
          <w:rFonts w:ascii="Times New Roman" w:hAnsi="Times New Roman"/>
        </w:rPr>
        <w:t xml:space="preserve"> </w:t>
      </w:r>
      <w:r w:rsidR="000C00BC" w:rsidRPr="00B925AC">
        <w:rPr>
          <w:rFonts w:ascii="Times New Roman" w:hAnsi="Times New Roman"/>
        </w:rPr>
        <w:t xml:space="preserve">The group’s success in eliciting appropriate commitments </w:t>
      </w:r>
      <w:r w:rsidR="00AE3213" w:rsidRPr="00B925AC">
        <w:rPr>
          <w:rFonts w:ascii="Times New Roman" w:hAnsi="Times New Roman"/>
        </w:rPr>
        <w:t>will depend, then, in part on the types of mechanisms available to perform this role.</w:t>
      </w:r>
    </w:p>
    <w:p w14:paraId="71C3F5A9" w14:textId="571BD40E" w:rsidR="0040480E" w:rsidRPr="00B925AC" w:rsidRDefault="00037273" w:rsidP="00E62694">
      <w:pPr>
        <w:rPr>
          <w:rFonts w:ascii="Times New Roman" w:hAnsi="Times New Roman"/>
        </w:rPr>
      </w:pPr>
      <w:r w:rsidRPr="00B925AC">
        <w:rPr>
          <w:rFonts w:ascii="Times New Roman" w:hAnsi="Times New Roman"/>
        </w:rPr>
        <w:t>The pluralists have also ignored</w:t>
      </w:r>
      <w:r w:rsidR="002A154B" w:rsidRPr="00B925AC">
        <w:rPr>
          <w:rFonts w:ascii="Times New Roman" w:hAnsi="Times New Roman"/>
        </w:rPr>
        <w:t xml:space="preserve"> the </w:t>
      </w:r>
      <w:r w:rsidR="002E210F" w:rsidRPr="00B925AC">
        <w:rPr>
          <w:rFonts w:ascii="Times New Roman" w:hAnsi="Times New Roman"/>
        </w:rPr>
        <w:t xml:space="preserve">potential for minority </w:t>
      </w:r>
      <w:r w:rsidR="00E26FD8" w:rsidRPr="00B925AC">
        <w:rPr>
          <w:rFonts w:ascii="Times New Roman" w:hAnsi="Times New Roman"/>
        </w:rPr>
        <w:t xml:space="preserve">group </w:t>
      </w:r>
      <w:r w:rsidR="00C525D8" w:rsidRPr="00B925AC">
        <w:rPr>
          <w:rFonts w:ascii="Times New Roman" w:hAnsi="Times New Roman"/>
        </w:rPr>
        <w:t>incorporation</w:t>
      </w:r>
      <w:r w:rsidR="00E26FD8" w:rsidRPr="00B925AC">
        <w:rPr>
          <w:rFonts w:ascii="Times New Roman" w:hAnsi="Times New Roman"/>
        </w:rPr>
        <w:t xml:space="preserve"> to change the politics that produ</w:t>
      </w:r>
      <w:r w:rsidR="00A66537" w:rsidRPr="00B925AC">
        <w:rPr>
          <w:rFonts w:ascii="Times New Roman" w:hAnsi="Times New Roman"/>
        </w:rPr>
        <w:t>c</w:t>
      </w:r>
      <w:r w:rsidR="00E26FD8" w:rsidRPr="00B925AC">
        <w:rPr>
          <w:rFonts w:ascii="Times New Roman" w:hAnsi="Times New Roman"/>
        </w:rPr>
        <w:t xml:space="preserve">ed it. </w:t>
      </w:r>
      <w:r w:rsidR="00A66537" w:rsidRPr="00B925AC">
        <w:rPr>
          <w:rFonts w:ascii="Times New Roman" w:hAnsi="Times New Roman"/>
        </w:rPr>
        <w:t xml:space="preserve">As </w:t>
      </w:r>
      <w:r w:rsidR="003C7A91" w:rsidRPr="00B925AC">
        <w:rPr>
          <w:rFonts w:ascii="Times New Roman" w:hAnsi="Times New Roman"/>
        </w:rPr>
        <w:t xml:space="preserve">John </w:t>
      </w:r>
      <w:proofErr w:type="spellStart"/>
      <w:r w:rsidR="00A66537" w:rsidRPr="00B925AC">
        <w:rPr>
          <w:rFonts w:ascii="Times New Roman" w:hAnsi="Times New Roman"/>
        </w:rPr>
        <w:t>Skrentny</w:t>
      </w:r>
      <w:proofErr w:type="spellEnd"/>
      <w:r w:rsidR="00A66537" w:rsidRPr="00B925AC">
        <w:rPr>
          <w:rFonts w:ascii="Times New Roman" w:hAnsi="Times New Roman"/>
        </w:rPr>
        <w:t xml:space="preserve"> has noted, scholars who have studied how politicians respond to minority group rights claims have tended to assume that </w:t>
      </w:r>
      <w:r w:rsidR="00CE7D9A" w:rsidRPr="00B925AC">
        <w:rPr>
          <w:rFonts w:ascii="Times New Roman" w:hAnsi="Times New Roman"/>
        </w:rPr>
        <w:t>the two relevant actors – minorities and the politicians who accommodate them – are necessarily distinct.</w:t>
      </w:r>
      <w:bookmarkStart w:id="24" w:name="_Ref186378147"/>
      <w:r w:rsidR="00DB0EF0" w:rsidRPr="00B925AC">
        <w:rPr>
          <w:rStyle w:val="FootnoteReference"/>
          <w:rFonts w:ascii="Times New Roman" w:hAnsi="Times New Roman"/>
        </w:rPr>
        <w:footnoteReference w:id="163"/>
      </w:r>
      <w:bookmarkEnd w:id="24"/>
      <w:r w:rsidR="00CE7D9A" w:rsidRPr="00B925AC">
        <w:rPr>
          <w:rFonts w:ascii="Times New Roman" w:hAnsi="Times New Roman"/>
        </w:rPr>
        <w:t xml:space="preserve"> </w:t>
      </w:r>
      <w:r w:rsidR="00AE7C5A" w:rsidRPr="00B925AC">
        <w:rPr>
          <w:rFonts w:ascii="Times New Roman" w:hAnsi="Times New Roman"/>
        </w:rPr>
        <w:t xml:space="preserve">This assumption </w:t>
      </w:r>
      <w:r w:rsidR="0054301F" w:rsidRPr="00B925AC">
        <w:rPr>
          <w:rFonts w:ascii="Times New Roman" w:hAnsi="Times New Roman"/>
        </w:rPr>
        <w:t xml:space="preserve">gives the pluralist models </w:t>
      </w:r>
      <w:r w:rsidR="00E52B9C" w:rsidRPr="00B925AC">
        <w:rPr>
          <w:rFonts w:ascii="Times New Roman" w:hAnsi="Times New Roman"/>
        </w:rPr>
        <w:t xml:space="preserve">a static feel. </w:t>
      </w:r>
      <w:r w:rsidR="0009259D" w:rsidRPr="00B925AC">
        <w:rPr>
          <w:rFonts w:ascii="Times New Roman" w:hAnsi="Times New Roman"/>
        </w:rPr>
        <w:t xml:space="preserve">The interests of minority groups, on the one hand, and politicians, on the other, are assumed to remain fairly constant, since the makeup of the two groups </w:t>
      </w:r>
      <w:r w:rsidR="00CF17B5" w:rsidRPr="00B925AC">
        <w:rPr>
          <w:rFonts w:ascii="Times New Roman" w:hAnsi="Times New Roman"/>
        </w:rPr>
        <w:t>remains</w:t>
      </w:r>
      <w:r w:rsidR="0009259D" w:rsidRPr="00B925AC">
        <w:rPr>
          <w:rFonts w:ascii="Times New Roman" w:hAnsi="Times New Roman"/>
        </w:rPr>
        <w:t xml:space="preserve"> fairly constant.</w:t>
      </w:r>
    </w:p>
    <w:p w14:paraId="0A3DF5EA" w14:textId="469BB708" w:rsidR="005E4BE1" w:rsidRPr="00B925AC" w:rsidRDefault="005E4BE1" w:rsidP="00E62694">
      <w:pPr>
        <w:rPr>
          <w:rFonts w:ascii="Times New Roman" w:hAnsi="Times New Roman"/>
        </w:rPr>
      </w:pPr>
      <w:r w:rsidRPr="00B925AC">
        <w:rPr>
          <w:rFonts w:ascii="Times New Roman" w:hAnsi="Times New Roman"/>
        </w:rPr>
        <w:t xml:space="preserve">Coalitional constitutionalism adds to this picture in two ways. </w:t>
      </w:r>
      <w:r w:rsidR="002A0AA7" w:rsidRPr="00B925AC">
        <w:rPr>
          <w:rFonts w:ascii="Times New Roman" w:hAnsi="Times New Roman"/>
        </w:rPr>
        <w:t xml:space="preserve">First, it provides a credible commitment mechanism. </w:t>
      </w:r>
      <w:r w:rsidR="00D3052D" w:rsidRPr="00B925AC">
        <w:rPr>
          <w:rFonts w:ascii="Times New Roman" w:hAnsi="Times New Roman"/>
        </w:rPr>
        <w:t>If the account I provide in Part I is correct, politicians can articulate statements of principle – including statements like “I will never vote to discriminate against Group X” – that minority groups should take seriously</w:t>
      </w:r>
      <w:r w:rsidR="00DD5387" w:rsidRPr="00B925AC">
        <w:rPr>
          <w:rFonts w:ascii="Times New Roman" w:hAnsi="Times New Roman"/>
        </w:rPr>
        <w:t xml:space="preserve">, because they ultimately bind the politicians who </w:t>
      </w:r>
      <w:r w:rsidR="004033B3" w:rsidRPr="00B925AC">
        <w:rPr>
          <w:rFonts w:ascii="Times New Roman" w:hAnsi="Times New Roman"/>
        </w:rPr>
        <w:t xml:space="preserve">articulate </w:t>
      </w:r>
      <w:r w:rsidR="00DD5387" w:rsidRPr="00B925AC">
        <w:rPr>
          <w:rFonts w:ascii="Times New Roman" w:hAnsi="Times New Roman"/>
        </w:rPr>
        <w:t>them</w:t>
      </w:r>
      <w:r w:rsidR="00D3052D" w:rsidRPr="00B925AC">
        <w:rPr>
          <w:rFonts w:ascii="Times New Roman" w:hAnsi="Times New Roman"/>
        </w:rPr>
        <w:t>.</w:t>
      </w:r>
    </w:p>
    <w:p w14:paraId="2C8B1B3C" w14:textId="0F3A84A5" w:rsidR="00DD5387" w:rsidRPr="00B925AC" w:rsidRDefault="00D16DCE" w:rsidP="00E62694">
      <w:pPr>
        <w:rPr>
          <w:rFonts w:ascii="Times New Roman" w:hAnsi="Times New Roman"/>
        </w:rPr>
      </w:pPr>
      <w:r w:rsidRPr="00B925AC">
        <w:rPr>
          <w:rFonts w:ascii="Times New Roman" w:hAnsi="Times New Roman"/>
        </w:rPr>
        <w:t xml:space="preserve">Second, coalitional constitutionalism reminds us that one result of any mutually beneficial agreement between a </w:t>
      </w:r>
      <w:r w:rsidR="000F2814" w:rsidRPr="00B925AC">
        <w:rPr>
          <w:rFonts w:ascii="Times New Roman" w:hAnsi="Times New Roman"/>
        </w:rPr>
        <w:t>political coalition and a minority group is likely to be the incorporation of the minority group in</w:t>
      </w:r>
      <w:r w:rsidR="000B4B41" w:rsidRPr="00B925AC">
        <w:rPr>
          <w:rFonts w:ascii="Times New Roman" w:hAnsi="Times New Roman"/>
        </w:rPr>
        <w:t>to</w:t>
      </w:r>
      <w:r w:rsidR="000F2814" w:rsidRPr="00B925AC">
        <w:rPr>
          <w:rFonts w:ascii="Times New Roman" w:hAnsi="Times New Roman"/>
        </w:rPr>
        <w:t xml:space="preserve"> the political coalition. </w:t>
      </w:r>
      <w:r w:rsidR="00D8388F" w:rsidRPr="00B925AC">
        <w:rPr>
          <w:rFonts w:ascii="Times New Roman" w:hAnsi="Times New Roman"/>
        </w:rPr>
        <w:t xml:space="preserve">This dynamic has important implications for understanding the incentives of </w:t>
      </w:r>
      <w:r w:rsidR="00AD3960" w:rsidRPr="00B925AC">
        <w:rPr>
          <w:rFonts w:ascii="Times New Roman" w:hAnsi="Times New Roman"/>
        </w:rPr>
        <w:t>all involved, as well as the likely results of the pluralist game.</w:t>
      </w:r>
    </w:p>
    <w:p w14:paraId="1C3FAB57" w14:textId="6C569DAC" w:rsidR="00E2270C" w:rsidRPr="00B925AC" w:rsidRDefault="0083357F" w:rsidP="001013EA">
      <w:pPr>
        <w:rPr>
          <w:rFonts w:ascii="Times New Roman" w:hAnsi="Times New Roman"/>
        </w:rPr>
      </w:pPr>
      <w:r w:rsidRPr="00B925AC">
        <w:rPr>
          <w:rFonts w:ascii="Times New Roman" w:hAnsi="Times New Roman"/>
        </w:rPr>
        <w:t xml:space="preserve">The next two sections provide a stylized account of the minority group incorporation game. </w:t>
      </w:r>
    </w:p>
    <w:p w14:paraId="78FAA283" w14:textId="77777777" w:rsidR="004F18B7" w:rsidRPr="00B925AC" w:rsidRDefault="004F18B7" w:rsidP="00D9740F">
      <w:pPr>
        <w:rPr>
          <w:rFonts w:ascii="Times New Roman" w:hAnsi="Times New Roman"/>
        </w:rPr>
      </w:pPr>
    </w:p>
    <w:p w14:paraId="305EC271" w14:textId="52D9A2DA" w:rsidR="004306CE" w:rsidRPr="00B925AC" w:rsidRDefault="007D4261" w:rsidP="004306CE">
      <w:pPr>
        <w:pStyle w:val="Heading2"/>
        <w:rPr>
          <w:rFonts w:ascii="Times New Roman" w:hAnsi="Times New Roman"/>
        </w:rPr>
      </w:pPr>
      <w:r w:rsidRPr="00B925AC">
        <w:rPr>
          <w:rFonts w:ascii="Times New Roman" w:hAnsi="Times New Roman"/>
        </w:rPr>
        <w:t xml:space="preserve">Minority Incorporation </w:t>
      </w:r>
      <w:r w:rsidR="001013EA" w:rsidRPr="00B925AC">
        <w:rPr>
          <w:rFonts w:ascii="Times New Roman" w:hAnsi="Times New Roman"/>
        </w:rPr>
        <w:t>Game</w:t>
      </w:r>
      <w:r w:rsidR="004306CE" w:rsidRPr="00B925AC">
        <w:rPr>
          <w:rFonts w:ascii="Times New Roman" w:hAnsi="Times New Roman"/>
        </w:rPr>
        <w:t xml:space="preserve"> Part I: An Auction for Group Support</w:t>
      </w:r>
    </w:p>
    <w:p w14:paraId="7DEE3946" w14:textId="0B3F0F77" w:rsidR="004306CE" w:rsidRPr="00B925AC" w:rsidRDefault="000035A0" w:rsidP="00707F6F">
      <w:pPr>
        <w:rPr>
          <w:rFonts w:ascii="Times New Roman" w:hAnsi="Times New Roman"/>
        </w:rPr>
      </w:pPr>
      <w:r w:rsidRPr="00B925AC">
        <w:rPr>
          <w:rFonts w:ascii="Times New Roman" w:hAnsi="Times New Roman"/>
        </w:rPr>
        <w:t xml:space="preserve">The minority incorporation game includes </w:t>
      </w:r>
      <w:r w:rsidR="001B10A0" w:rsidRPr="00B925AC">
        <w:rPr>
          <w:rFonts w:ascii="Times New Roman" w:hAnsi="Times New Roman"/>
        </w:rPr>
        <w:t xml:space="preserve">three players. First, a minority group </w:t>
      </w:r>
      <w:r w:rsidR="001B10A0" w:rsidRPr="00B925AC">
        <w:rPr>
          <w:rFonts w:ascii="Times New Roman" w:hAnsi="Times New Roman"/>
        </w:rPr>
        <w:lastRenderedPageBreak/>
        <w:t xml:space="preserve">strongly </w:t>
      </w:r>
      <w:r w:rsidR="008B2B70" w:rsidRPr="00B925AC">
        <w:rPr>
          <w:rFonts w:ascii="Times New Roman" w:hAnsi="Times New Roman"/>
        </w:rPr>
        <w:t xml:space="preserve">supports </w:t>
      </w:r>
      <w:r w:rsidR="001B10A0" w:rsidRPr="00B925AC">
        <w:rPr>
          <w:rFonts w:ascii="Times New Roman" w:hAnsi="Times New Roman"/>
        </w:rPr>
        <w:t>a set of policies, which I will call rights policies.</w:t>
      </w:r>
      <w:r w:rsidR="00822956" w:rsidRPr="00B925AC">
        <w:rPr>
          <w:rStyle w:val="FootnoteReference"/>
          <w:rFonts w:ascii="Times New Roman" w:hAnsi="Times New Roman"/>
        </w:rPr>
        <w:footnoteReference w:id="164"/>
      </w:r>
      <w:r w:rsidR="001B10A0" w:rsidRPr="00B925AC">
        <w:rPr>
          <w:rFonts w:ascii="Times New Roman" w:hAnsi="Times New Roman"/>
        </w:rPr>
        <w:t xml:space="preserve"> </w:t>
      </w:r>
      <w:r w:rsidR="008B2B70" w:rsidRPr="00B925AC">
        <w:rPr>
          <w:rFonts w:ascii="Times New Roman" w:hAnsi="Times New Roman"/>
        </w:rPr>
        <w:t>These policies can be placed on a continuum and characterized in terms of their strength.</w:t>
      </w:r>
      <w:r w:rsidR="004A1F8F" w:rsidRPr="00B925AC">
        <w:rPr>
          <w:rFonts w:ascii="Times New Roman" w:hAnsi="Times New Roman"/>
        </w:rPr>
        <w:t xml:space="preserve"> </w:t>
      </w:r>
      <w:r w:rsidR="0058255E" w:rsidRPr="00B925AC">
        <w:rPr>
          <w:rFonts w:ascii="Times New Roman" w:hAnsi="Times New Roman"/>
        </w:rPr>
        <w:t xml:space="preserve">For example, </w:t>
      </w:r>
      <w:r w:rsidR="00053E5E" w:rsidRPr="00B925AC">
        <w:rPr>
          <w:rFonts w:ascii="Times New Roman" w:hAnsi="Times New Roman"/>
        </w:rPr>
        <w:t>we can</w:t>
      </w:r>
      <w:r w:rsidR="008C2600" w:rsidRPr="00B925AC">
        <w:rPr>
          <w:rFonts w:ascii="Times New Roman" w:hAnsi="Times New Roman"/>
        </w:rPr>
        <w:t xml:space="preserve"> imagine a policy spectrum that includes, in order of strength:</w:t>
      </w:r>
      <w:r w:rsidR="00053E5E" w:rsidRPr="00B925AC">
        <w:rPr>
          <w:rFonts w:ascii="Times New Roman" w:hAnsi="Times New Roman"/>
        </w:rPr>
        <w:t xml:space="preserve"> </w:t>
      </w:r>
      <w:r w:rsidR="00387A6B" w:rsidRPr="00B925AC">
        <w:rPr>
          <w:rFonts w:ascii="Times New Roman" w:hAnsi="Times New Roman"/>
        </w:rPr>
        <w:t>legalizing sodomy</w:t>
      </w:r>
      <w:r w:rsidR="0058255E" w:rsidRPr="00B925AC">
        <w:rPr>
          <w:rFonts w:ascii="Times New Roman" w:hAnsi="Times New Roman"/>
        </w:rPr>
        <w:t xml:space="preserve">, </w:t>
      </w:r>
      <w:r w:rsidR="00777A38" w:rsidRPr="00B925AC">
        <w:rPr>
          <w:rFonts w:ascii="Times New Roman" w:hAnsi="Times New Roman"/>
        </w:rPr>
        <w:t xml:space="preserve">allowing </w:t>
      </w:r>
      <w:r w:rsidR="00064DA3" w:rsidRPr="00B925AC">
        <w:rPr>
          <w:rFonts w:ascii="Times New Roman" w:hAnsi="Times New Roman"/>
        </w:rPr>
        <w:t xml:space="preserve">civil unions, allowing </w:t>
      </w:r>
      <w:r w:rsidR="00777A38" w:rsidRPr="00B925AC">
        <w:rPr>
          <w:rFonts w:ascii="Times New Roman" w:hAnsi="Times New Roman"/>
        </w:rPr>
        <w:t>same-sex marriage, banning discrimination against gays and lesbians</w:t>
      </w:r>
      <w:r w:rsidR="00E25447" w:rsidRPr="00B925AC">
        <w:rPr>
          <w:rFonts w:ascii="Times New Roman" w:hAnsi="Times New Roman"/>
        </w:rPr>
        <w:t xml:space="preserve"> with religious exceptions</w:t>
      </w:r>
      <w:r w:rsidR="00777A38" w:rsidRPr="00B925AC">
        <w:rPr>
          <w:rFonts w:ascii="Times New Roman" w:hAnsi="Times New Roman"/>
        </w:rPr>
        <w:t>, and</w:t>
      </w:r>
      <w:r w:rsidR="00E25447" w:rsidRPr="00B925AC">
        <w:rPr>
          <w:rFonts w:ascii="Times New Roman" w:hAnsi="Times New Roman"/>
        </w:rPr>
        <w:t xml:space="preserve"> banning discrimination without religious exceptions</w:t>
      </w:r>
      <w:r w:rsidR="00F72507" w:rsidRPr="00B925AC">
        <w:rPr>
          <w:rFonts w:ascii="Times New Roman" w:hAnsi="Times New Roman"/>
        </w:rPr>
        <w:t>.</w:t>
      </w:r>
      <w:r w:rsidR="00F72507" w:rsidRPr="00B925AC">
        <w:rPr>
          <w:rStyle w:val="FootnoteReference"/>
          <w:rFonts w:ascii="Times New Roman" w:hAnsi="Times New Roman"/>
        </w:rPr>
        <w:footnoteReference w:id="165"/>
      </w:r>
      <w:r w:rsidR="001848E5" w:rsidRPr="00B925AC">
        <w:rPr>
          <w:rFonts w:ascii="Times New Roman" w:hAnsi="Times New Roman"/>
        </w:rPr>
        <w:t xml:space="preserve"> The minority group </w:t>
      </w:r>
      <w:r w:rsidR="000A02C7" w:rsidRPr="00B925AC">
        <w:rPr>
          <w:rFonts w:ascii="Times New Roman" w:hAnsi="Times New Roman"/>
        </w:rPr>
        <w:t>(in this case, gay</w:t>
      </w:r>
      <w:r w:rsidR="000747C4" w:rsidRPr="00B925AC">
        <w:rPr>
          <w:rFonts w:ascii="Times New Roman" w:hAnsi="Times New Roman"/>
        </w:rPr>
        <w:t xml:space="preserve"> men </w:t>
      </w:r>
      <w:r w:rsidR="000A02C7" w:rsidRPr="00B925AC">
        <w:rPr>
          <w:rFonts w:ascii="Times New Roman" w:hAnsi="Times New Roman"/>
        </w:rPr>
        <w:t xml:space="preserve">and lesbians) </w:t>
      </w:r>
      <w:r w:rsidR="001848E5" w:rsidRPr="00B925AC">
        <w:rPr>
          <w:rFonts w:ascii="Times New Roman" w:hAnsi="Times New Roman"/>
        </w:rPr>
        <w:t>prefers the strongest possible policy</w:t>
      </w:r>
      <w:r w:rsidR="00F415DE" w:rsidRPr="00B925AC">
        <w:rPr>
          <w:rFonts w:ascii="Times New Roman" w:hAnsi="Times New Roman"/>
        </w:rPr>
        <w:t xml:space="preserve"> and</w:t>
      </w:r>
      <w:r w:rsidR="001161DE" w:rsidRPr="00B925AC">
        <w:rPr>
          <w:rFonts w:ascii="Times New Roman" w:hAnsi="Times New Roman"/>
        </w:rPr>
        <w:t xml:space="preserve">, </w:t>
      </w:r>
      <w:r w:rsidR="00F415DE" w:rsidRPr="00B925AC">
        <w:rPr>
          <w:rFonts w:ascii="Times New Roman" w:hAnsi="Times New Roman"/>
        </w:rPr>
        <w:t>because of the salience of rights-based issues</w:t>
      </w:r>
      <w:r w:rsidR="001161DE" w:rsidRPr="00B925AC">
        <w:rPr>
          <w:rFonts w:ascii="Times New Roman" w:hAnsi="Times New Roman"/>
        </w:rPr>
        <w:t>,</w:t>
      </w:r>
      <w:r w:rsidR="00F415DE" w:rsidRPr="00B925AC">
        <w:rPr>
          <w:rFonts w:ascii="Times New Roman" w:hAnsi="Times New Roman"/>
        </w:rPr>
        <w:t xml:space="preserve"> will vote for whichever politician</w:t>
      </w:r>
      <w:r w:rsidR="00982FB5" w:rsidRPr="00B925AC">
        <w:rPr>
          <w:rFonts w:ascii="Times New Roman" w:hAnsi="Times New Roman"/>
        </w:rPr>
        <w:t xml:space="preserve"> offers the best rights policy</w:t>
      </w:r>
      <w:r w:rsidR="001848E5" w:rsidRPr="00B925AC">
        <w:rPr>
          <w:rFonts w:ascii="Times New Roman" w:hAnsi="Times New Roman"/>
        </w:rPr>
        <w:t>.</w:t>
      </w:r>
      <w:r w:rsidR="00E81AFB" w:rsidRPr="00B925AC">
        <w:rPr>
          <w:rStyle w:val="FootnoteReference"/>
          <w:rFonts w:ascii="Times New Roman" w:hAnsi="Times New Roman"/>
        </w:rPr>
        <w:footnoteReference w:id="166"/>
      </w:r>
      <w:r w:rsidR="001848E5" w:rsidRPr="00B925AC">
        <w:rPr>
          <w:rFonts w:ascii="Times New Roman" w:hAnsi="Times New Roman"/>
        </w:rPr>
        <w:t xml:space="preserve"> </w:t>
      </w:r>
      <w:r w:rsidR="00C95AE7" w:rsidRPr="00B925AC">
        <w:rPr>
          <w:rFonts w:ascii="Times New Roman" w:hAnsi="Times New Roman"/>
        </w:rPr>
        <w:t xml:space="preserve">Politicians </w:t>
      </w:r>
      <w:r w:rsidR="00557C16" w:rsidRPr="00B925AC">
        <w:rPr>
          <w:rFonts w:ascii="Times New Roman" w:hAnsi="Times New Roman"/>
        </w:rPr>
        <w:t>that endorse any of the</w:t>
      </w:r>
      <w:r w:rsidR="00C95AE7" w:rsidRPr="00B925AC">
        <w:rPr>
          <w:rFonts w:ascii="Times New Roman" w:hAnsi="Times New Roman"/>
        </w:rPr>
        <w:t xml:space="preserve"> rights policies will lose votes, on net, among the general electorate (the set of voters who are not members of the minority group)</w:t>
      </w:r>
      <w:r w:rsidR="003A3204" w:rsidRPr="00B925AC">
        <w:rPr>
          <w:rFonts w:ascii="Times New Roman" w:hAnsi="Times New Roman"/>
        </w:rPr>
        <w:t>. The stronger the rights policy, the more votes will be lost.</w:t>
      </w:r>
      <w:r w:rsidR="007F70DA" w:rsidRPr="00B925AC">
        <w:rPr>
          <w:rStyle w:val="FootnoteReference"/>
          <w:rFonts w:ascii="Times New Roman" w:hAnsi="Times New Roman"/>
        </w:rPr>
        <w:footnoteReference w:id="167"/>
      </w:r>
    </w:p>
    <w:p w14:paraId="3314FFD7" w14:textId="05714F39" w:rsidR="00D76A82" w:rsidRPr="00B925AC" w:rsidRDefault="00A625F4" w:rsidP="00FA448C">
      <w:pPr>
        <w:rPr>
          <w:rFonts w:ascii="Times New Roman" w:hAnsi="Times New Roman"/>
        </w:rPr>
      </w:pPr>
      <w:r w:rsidRPr="00B925AC">
        <w:rPr>
          <w:rFonts w:ascii="Times New Roman" w:hAnsi="Times New Roman"/>
        </w:rPr>
        <w:t>To begin, I note that this game looks</w:t>
      </w:r>
      <w:r w:rsidR="008759B5" w:rsidRPr="00B925AC">
        <w:rPr>
          <w:rFonts w:ascii="Times New Roman" w:hAnsi="Times New Roman"/>
        </w:rPr>
        <w:t xml:space="preserve"> something like an auction. </w:t>
      </w:r>
      <w:r w:rsidR="00734D00" w:rsidRPr="00B925AC">
        <w:rPr>
          <w:rFonts w:ascii="Times New Roman" w:hAnsi="Times New Roman"/>
        </w:rPr>
        <w:t xml:space="preserve">Politicians bid on a non-divisible good – the bloc of votes that comes with winning over the minority group – and must pay some price to secure it. The higher bidder receives the </w:t>
      </w:r>
      <w:r w:rsidR="006B10BD" w:rsidRPr="00B925AC">
        <w:rPr>
          <w:rFonts w:ascii="Times New Roman" w:hAnsi="Times New Roman"/>
        </w:rPr>
        <w:t>good</w:t>
      </w:r>
      <w:r w:rsidR="002542B2" w:rsidRPr="00B925AC">
        <w:rPr>
          <w:rFonts w:ascii="Times New Roman" w:hAnsi="Times New Roman"/>
        </w:rPr>
        <w:t xml:space="preserve"> </w:t>
      </w:r>
      <w:r w:rsidR="006B10BD" w:rsidRPr="00B925AC">
        <w:rPr>
          <w:rFonts w:ascii="Times New Roman" w:hAnsi="Times New Roman"/>
        </w:rPr>
        <w:t xml:space="preserve">at the cost of whatever </w:t>
      </w:r>
      <w:r w:rsidR="008E3607" w:rsidRPr="00B925AC">
        <w:rPr>
          <w:rFonts w:ascii="Times New Roman" w:hAnsi="Times New Roman"/>
        </w:rPr>
        <w:t>it</w:t>
      </w:r>
      <w:r w:rsidR="006B10BD" w:rsidRPr="00B925AC">
        <w:rPr>
          <w:rFonts w:ascii="Times New Roman" w:hAnsi="Times New Roman"/>
        </w:rPr>
        <w:t xml:space="preserve"> bid.</w:t>
      </w:r>
      <w:r w:rsidR="0044439A" w:rsidRPr="00B925AC">
        <w:rPr>
          <w:rFonts w:ascii="Times New Roman" w:hAnsi="Times New Roman"/>
        </w:rPr>
        <w:t xml:space="preserve"> </w:t>
      </w:r>
      <w:r w:rsidR="004B34E7" w:rsidRPr="00B925AC">
        <w:rPr>
          <w:rFonts w:ascii="Times New Roman" w:hAnsi="Times New Roman"/>
        </w:rPr>
        <w:t>A higher bid corresponds to a more aggressive rights policy, which will cost the bidder more votes in the general electorate</w:t>
      </w:r>
      <w:r w:rsidR="00B113A7" w:rsidRPr="00B925AC">
        <w:rPr>
          <w:rFonts w:ascii="Times New Roman" w:hAnsi="Times New Roman"/>
        </w:rPr>
        <w:t>.</w:t>
      </w:r>
      <w:r w:rsidR="00556DF7" w:rsidRPr="00B925AC">
        <w:rPr>
          <w:rStyle w:val="FootnoteReference"/>
          <w:rFonts w:ascii="Times New Roman" w:hAnsi="Times New Roman"/>
        </w:rPr>
        <w:footnoteReference w:id="168"/>
      </w:r>
      <w:r w:rsidR="00FA448C" w:rsidRPr="00B925AC">
        <w:rPr>
          <w:rFonts w:ascii="Times New Roman" w:hAnsi="Times New Roman"/>
        </w:rPr>
        <w:t xml:space="preserve"> </w:t>
      </w:r>
      <w:r w:rsidR="002B5519" w:rsidRPr="00B925AC">
        <w:rPr>
          <w:rFonts w:ascii="Times New Roman" w:hAnsi="Times New Roman"/>
        </w:rPr>
        <w:t xml:space="preserve">However, policy strength is not the only determinant of </w:t>
      </w:r>
      <w:r w:rsidR="003C0640" w:rsidRPr="00B925AC">
        <w:rPr>
          <w:rFonts w:ascii="Times New Roman" w:hAnsi="Times New Roman"/>
        </w:rPr>
        <w:t xml:space="preserve">how many </w:t>
      </w:r>
      <w:r w:rsidR="003C0640" w:rsidRPr="00B925AC">
        <w:rPr>
          <w:rFonts w:ascii="Times New Roman" w:hAnsi="Times New Roman"/>
        </w:rPr>
        <w:lastRenderedPageBreak/>
        <w:t xml:space="preserve">votes a bidder will lose. </w:t>
      </w:r>
      <w:r w:rsidR="001F1F81" w:rsidRPr="00B925AC">
        <w:rPr>
          <w:rFonts w:ascii="Times New Roman" w:hAnsi="Times New Roman"/>
        </w:rPr>
        <w:t xml:space="preserve">Bidders also have to consider their </w:t>
      </w:r>
      <w:r w:rsidR="00FF0BAD" w:rsidRPr="00B925AC">
        <w:rPr>
          <w:rFonts w:ascii="Times New Roman" w:hAnsi="Times New Roman"/>
          <w:i/>
          <w:iCs/>
        </w:rPr>
        <w:t>aspirational winning coalitions</w:t>
      </w:r>
      <w:r w:rsidR="00FF0BAD" w:rsidRPr="00B925AC">
        <w:rPr>
          <w:rFonts w:ascii="Times New Roman" w:hAnsi="Times New Roman"/>
        </w:rPr>
        <w:t xml:space="preserve"> – the set of voters they hope to win over </w:t>
      </w:r>
      <w:r w:rsidR="009D01B7" w:rsidRPr="00B925AC">
        <w:rPr>
          <w:rFonts w:ascii="Times New Roman" w:hAnsi="Times New Roman"/>
        </w:rPr>
        <w:t xml:space="preserve">if they are to secure majority support in the next election. </w:t>
      </w:r>
      <w:r w:rsidR="00A04E2A" w:rsidRPr="00B925AC">
        <w:rPr>
          <w:rFonts w:ascii="Times New Roman" w:hAnsi="Times New Roman"/>
        </w:rPr>
        <w:t xml:space="preserve">This aspirational winning coalition includes </w:t>
      </w:r>
      <w:r w:rsidR="00BF6D00" w:rsidRPr="00B925AC">
        <w:rPr>
          <w:rFonts w:ascii="Times New Roman" w:hAnsi="Times New Roman"/>
        </w:rPr>
        <w:t xml:space="preserve">the voters who always support the </w:t>
      </w:r>
      <w:r w:rsidR="00A70FBE" w:rsidRPr="00B925AC">
        <w:rPr>
          <w:rFonts w:ascii="Times New Roman" w:hAnsi="Times New Roman"/>
        </w:rPr>
        <w:t>bidder</w:t>
      </w:r>
      <w:r w:rsidR="00EA45BC" w:rsidRPr="00B925AC">
        <w:rPr>
          <w:rFonts w:ascii="Times New Roman" w:hAnsi="Times New Roman"/>
        </w:rPr>
        <w:t xml:space="preserve">, but it also includes other voters who the </w:t>
      </w:r>
      <w:r w:rsidR="00E13B69" w:rsidRPr="00B925AC">
        <w:rPr>
          <w:rFonts w:ascii="Times New Roman" w:hAnsi="Times New Roman"/>
        </w:rPr>
        <w:t>bidder believes they will need to win.</w:t>
      </w:r>
      <w:r w:rsidR="00CE7277" w:rsidRPr="00B925AC">
        <w:rPr>
          <w:rFonts w:ascii="Times New Roman" w:hAnsi="Times New Roman"/>
        </w:rPr>
        <w:t xml:space="preserve"> For example, a Democrat playing the game might count in their aspirational coalition Black women who they </w:t>
      </w:r>
      <w:r w:rsidR="009D26D9" w:rsidRPr="00B925AC">
        <w:rPr>
          <w:rFonts w:ascii="Times New Roman" w:hAnsi="Times New Roman"/>
        </w:rPr>
        <w:t xml:space="preserve">cannot imagine losing and White union members they feel they must win over. </w:t>
      </w:r>
      <w:r w:rsidR="00353557" w:rsidRPr="00B925AC">
        <w:rPr>
          <w:rFonts w:ascii="Times New Roman" w:hAnsi="Times New Roman"/>
        </w:rPr>
        <w:t xml:space="preserve">Republicans count gun owners but also </w:t>
      </w:r>
      <w:r w:rsidR="00063498" w:rsidRPr="00B925AC">
        <w:rPr>
          <w:rFonts w:ascii="Times New Roman" w:hAnsi="Times New Roman"/>
        </w:rPr>
        <w:t>suburban men.</w:t>
      </w:r>
    </w:p>
    <w:p w14:paraId="1F7D15B4" w14:textId="7376085F" w:rsidR="00A720F1" w:rsidRPr="00B925AC" w:rsidRDefault="00DB63E0" w:rsidP="007D4261">
      <w:pPr>
        <w:rPr>
          <w:rFonts w:ascii="Times New Roman" w:hAnsi="Times New Roman"/>
        </w:rPr>
      </w:pPr>
      <w:r w:rsidRPr="00B925AC">
        <w:rPr>
          <w:rFonts w:ascii="Times New Roman" w:hAnsi="Times New Roman"/>
        </w:rPr>
        <w:t>The key is that the two bidders</w:t>
      </w:r>
      <w:r w:rsidRPr="00B925AC">
        <w:rPr>
          <w:rStyle w:val="FootnoteReference"/>
          <w:rFonts w:ascii="Times New Roman" w:hAnsi="Times New Roman"/>
        </w:rPr>
        <w:footnoteReference w:id="169"/>
      </w:r>
      <w:r w:rsidR="00E1279D" w:rsidRPr="00B925AC">
        <w:rPr>
          <w:rFonts w:ascii="Times New Roman" w:hAnsi="Times New Roman"/>
        </w:rPr>
        <w:t xml:space="preserve"> pay a different price – in terms of voters lost to their aspirational winning coalition – from the same bid. </w:t>
      </w:r>
      <w:r w:rsidR="00A720F1" w:rsidRPr="00B925AC">
        <w:rPr>
          <w:rFonts w:ascii="Times New Roman" w:hAnsi="Times New Roman"/>
        </w:rPr>
        <w:t xml:space="preserve">Imagine, for example, that the two parties sit roughly where they did in the </w:t>
      </w:r>
      <w:r w:rsidR="005B5BAC" w:rsidRPr="00B925AC">
        <w:rPr>
          <w:rFonts w:ascii="Times New Roman" w:hAnsi="Times New Roman"/>
        </w:rPr>
        <w:t>mid-</w:t>
      </w:r>
      <w:r w:rsidR="008A1F09" w:rsidRPr="00B925AC">
        <w:rPr>
          <w:rFonts w:ascii="Times New Roman" w:hAnsi="Times New Roman"/>
        </w:rPr>
        <w:t>1970s. Assume that neither party had attempted to incorporate gay and lesbian voters, and that gay and lesbian voters could plausibly support either party.</w:t>
      </w:r>
      <w:bookmarkStart w:id="25" w:name="_Ref186119832"/>
      <w:r w:rsidR="002E309A" w:rsidRPr="00B925AC">
        <w:rPr>
          <w:rStyle w:val="FootnoteReference"/>
          <w:rFonts w:ascii="Times New Roman" w:hAnsi="Times New Roman"/>
        </w:rPr>
        <w:footnoteReference w:id="170"/>
      </w:r>
      <w:bookmarkEnd w:id="25"/>
      <w:r w:rsidR="008A1F09" w:rsidRPr="00B925AC">
        <w:rPr>
          <w:rFonts w:ascii="Times New Roman" w:hAnsi="Times New Roman"/>
        </w:rPr>
        <w:t xml:space="preserve"> </w:t>
      </w:r>
      <w:r w:rsidR="00BB3B57" w:rsidRPr="00B925AC">
        <w:rPr>
          <w:rFonts w:ascii="Times New Roman" w:hAnsi="Times New Roman"/>
        </w:rPr>
        <w:t>Imagine further that</w:t>
      </w:r>
      <w:r w:rsidR="00364651" w:rsidRPr="00B925AC">
        <w:rPr>
          <w:rFonts w:ascii="Times New Roman" w:hAnsi="Times New Roman"/>
        </w:rPr>
        <w:t>, putting asi</w:t>
      </w:r>
      <w:r w:rsidR="00C42D72" w:rsidRPr="00B925AC">
        <w:rPr>
          <w:rFonts w:ascii="Times New Roman" w:hAnsi="Times New Roman"/>
        </w:rPr>
        <w:t>d</w:t>
      </w:r>
      <w:r w:rsidR="00364651" w:rsidRPr="00B925AC">
        <w:rPr>
          <w:rFonts w:ascii="Times New Roman" w:hAnsi="Times New Roman"/>
        </w:rPr>
        <w:t xml:space="preserve">e their position on gay rights, </w:t>
      </w:r>
      <w:r w:rsidR="00BB3B57" w:rsidRPr="00B925AC">
        <w:rPr>
          <w:rFonts w:ascii="Times New Roman" w:hAnsi="Times New Roman"/>
        </w:rPr>
        <w:t xml:space="preserve">Democrats </w:t>
      </w:r>
      <w:r w:rsidR="00C42D72" w:rsidRPr="00B925AC">
        <w:rPr>
          <w:rFonts w:ascii="Times New Roman" w:hAnsi="Times New Roman"/>
        </w:rPr>
        <w:t xml:space="preserve">hope to win </w:t>
      </w:r>
      <w:r w:rsidR="00BB3B57" w:rsidRPr="00B925AC">
        <w:rPr>
          <w:rFonts w:ascii="Times New Roman" w:hAnsi="Times New Roman"/>
        </w:rPr>
        <w:t xml:space="preserve">with the support of younger </w:t>
      </w:r>
      <w:r w:rsidR="00364651" w:rsidRPr="00B925AC">
        <w:rPr>
          <w:rFonts w:ascii="Times New Roman" w:hAnsi="Times New Roman"/>
        </w:rPr>
        <w:t xml:space="preserve">and more liberal voters </w:t>
      </w:r>
      <w:r w:rsidR="00821DB0" w:rsidRPr="00B925AC">
        <w:rPr>
          <w:rFonts w:ascii="Times New Roman" w:hAnsi="Times New Roman"/>
        </w:rPr>
        <w:t xml:space="preserve">attracted to the party by its support for civil rights and its relatively liberal stand on cultural issues. </w:t>
      </w:r>
      <w:r w:rsidR="005B5BAC" w:rsidRPr="00B925AC">
        <w:rPr>
          <w:rFonts w:ascii="Times New Roman" w:hAnsi="Times New Roman"/>
        </w:rPr>
        <w:t>Republicans, on the other hand, hope to win with traditional conservatives</w:t>
      </w:r>
      <w:r w:rsidR="00AE0343" w:rsidRPr="00B925AC">
        <w:rPr>
          <w:rFonts w:ascii="Times New Roman" w:hAnsi="Times New Roman"/>
        </w:rPr>
        <w:t xml:space="preserve"> and skeptics of the burgeoning youth </w:t>
      </w:r>
      <w:r w:rsidR="00F25E8F" w:rsidRPr="00B925AC">
        <w:rPr>
          <w:rFonts w:ascii="Times New Roman" w:hAnsi="Times New Roman"/>
        </w:rPr>
        <w:t>counterculture</w:t>
      </w:r>
      <w:r w:rsidR="00AE0343" w:rsidRPr="00B925AC">
        <w:rPr>
          <w:rFonts w:ascii="Times New Roman" w:hAnsi="Times New Roman"/>
        </w:rPr>
        <w:t>.</w:t>
      </w:r>
    </w:p>
    <w:p w14:paraId="1153F1D3" w14:textId="1168F6CC" w:rsidR="00B26EA0" w:rsidRPr="00B925AC" w:rsidRDefault="00B26EA0" w:rsidP="007D4261">
      <w:pPr>
        <w:rPr>
          <w:rFonts w:ascii="Times New Roman" w:hAnsi="Times New Roman"/>
        </w:rPr>
      </w:pPr>
      <w:r w:rsidRPr="00B925AC">
        <w:rPr>
          <w:rFonts w:ascii="Times New Roman" w:hAnsi="Times New Roman"/>
        </w:rPr>
        <w:t xml:space="preserve">It should be clear that Republicans </w:t>
      </w:r>
      <w:r w:rsidR="00526B0F" w:rsidRPr="00B925AC">
        <w:rPr>
          <w:rFonts w:ascii="Times New Roman" w:hAnsi="Times New Roman"/>
        </w:rPr>
        <w:t>will likely</w:t>
      </w:r>
      <w:r w:rsidRPr="00B925AC">
        <w:rPr>
          <w:rFonts w:ascii="Times New Roman" w:hAnsi="Times New Roman"/>
        </w:rPr>
        <w:t xml:space="preserve"> pay </w:t>
      </w:r>
      <w:r w:rsidR="00FF2B9F" w:rsidRPr="00B925AC">
        <w:rPr>
          <w:rFonts w:ascii="Times New Roman" w:hAnsi="Times New Roman"/>
        </w:rPr>
        <w:t xml:space="preserve">a high price for supporting </w:t>
      </w:r>
      <w:r w:rsidR="00064DA3" w:rsidRPr="00B925AC">
        <w:rPr>
          <w:rFonts w:ascii="Times New Roman" w:hAnsi="Times New Roman"/>
        </w:rPr>
        <w:t xml:space="preserve">a moderate policy </w:t>
      </w:r>
      <w:r w:rsidR="00526B0F" w:rsidRPr="00B925AC">
        <w:rPr>
          <w:rFonts w:ascii="Times New Roman" w:hAnsi="Times New Roman"/>
        </w:rPr>
        <w:t xml:space="preserve">like civil unions. </w:t>
      </w:r>
      <w:r w:rsidR="005A43B1" w:rsidRPr="00B925AC">
        <w:rPr>
          <w:rFonts w:ascii="Times New Roman" w:hAnsi="Times New Roman"/>
        </w:rPr>
        <w:t xml:space="preserve">If they lose a substantial share of </w:t>
      </w:r>
      <w:r w:rsidR="004957AD" w:rsidRPr="00B925AC">
        <w:rPr>
          <w:rFonts w:ascii="Times New Roman" w:hAnsi="Times New Roman"/>
        </w:rPr>
        <w:t>social conservatives</w:t>
      </w:r>
      <w:r w:rsidR="00E23B62" w:rsidRPr="00B925AC">
        <w:rPr>
          <w:rFonts w:ascii="Times New Roman" w:hAnsi="Times New Roman"/>
        </w:rPr>
        <w:t xml:space="preserve">, their goose is cooked. </w:t>
      </w:r>
      <w:r w:rsidR="004A71E4" w:rsidRPr="00B925AC">
        <w:rPr>
          <w:rFonts w:ascii="Times New Roman" w:hAnsi="Times New Roman"/>
        </w:rPr>
        <w:t xml:space="preserve">Democrats, on the other hand, </w:t>
      </w:r>
      <w:r w:rsidR="00A06180" w:rsidRPr="00B925AC">
        <w:rPr>
          <w:rFonts w:ascii="Times New Roman" w:hAnsi="Times New Roman"/>
        </w:rPr>
        <w:t xml:space="preserve">have fewer social conservatives in their aspirational coalition to lose. </w:t>
      </w:r>
      <w:r w:rsidR="004B238B" w:rsidRPr="00B925AC">
        <w:rPr>
          <w:rFonts w:ascii="Times New Roman" w:hAnsi="Times New Roman"/>
        </w:rPr>
        <w:t xml:space="preserve">Under plausible </w:t>
      </w:r>
      <w:r w:rsidR="004B238B" w:rsidRPr="00B925AC">
        <w:rPr>
          <w:rFonts w:ascii="Times New Roman" w:hAnsi="Times New Roman"/>
        </w:rPr>
        <w:lastRenderedPageBreak/>
        <w:t>circumstances,</w:t>
      </w:r>
      <w:r w:rsidR="00A4717E" w:rsidRPr="00B925AC">
        <w:rPr>
          <w:rStyle w:val="FootnoteReference"/>
          <w:rFonts w:ascii="Times New Roman" w:hAnsi="Times New Roman"/>
        </w:rPr>
        <w:footnoteReference w:id="171"/>
      </w:r>
      <w:r w:rsidR="004B238B" w:rsidRPr="00B925AC">
        <w:rPr>
          <w:rFonts w:ascii="Times New Roman" w:hAnsi="Times New Roman"/>
        </w:rPr>
        <w:t xml:space="preserve"> the Democrats have far less to lose </w:t>
      </w:r>
      <w:r w:rsidR="00D119ED" w:rsidRPr="00B925AC">
        <w:rPr>
          <w:rFonts w:ascii="Times New Roman" w:hAnsi="Times New Roman"/>
        </w:rPr>
        <w:t>by proposing civil unions than do the Republicans.</w:t>
      </w:r>
    </w:p>
    <w:p w14:paraId="4564F49D" w14:textId="18CF3421" w:rsidR="00A4717E" w:rsidRPr="00B925AC" w:rsidRDefault="002135A6" w:rsidP="00D41E53">
      <w:pPr>
        <w:rPr>
          <w:rFonts w:ascii="Times New Roman" w:hAnsi="Times New Roman"/>
        </w:rPr>
      </w:pPr>
      <w:r w:rsidRPr="00B925AC">
        <w:rPr>
          <w:rFonts w:ascii="Times New Roman" w:hAnsi="Times New Roman"/>
        </w:rPr>
        <w:t xml:space="preserve">To make this all simpler, imagine that </w:t>
      </w:r>
      <w:r w:rsidR="00383972" w:rsidRPr="00B925AC">
        <w:rPr>
          <w:rFonts w:ascii="Times New Roman" w:hAnsi="Times New Roman"/>
        </w:rPr>
        <w:t xml:space="preserve">gay rights policies can be described by a single number from 1 to 10. Imagine further that there are </w:t>
      </w:r>
      <w:r w:rsidR="007D7663" w:rsidRPr="00B925AC">
        <w:rPr>
          <w:rFonts w:ascii="Times New Roman" w:hAnsi="Times New Roman"/>
        </w:rPr>
        <w:t>3</w:t>
      </w:r>
      <w:r w:rsidR="00383972" w:rsidRPr="00B925AC">
        <w:rPr>
          <w:rFonts w:ascii="Times New Roman" w:hAnsi="Times New Roman"/>
        </w:rPr>
        <w:t xml:space="preserve"> million gay or lesbian voters in the country who </w:t>
      </w:r>
      <w:r w:rsidR="000E30EB" w:rsidRPr="00B925AC">
        <w:rPr>
          <w:rFonts w:ascii="Times New Roman" w:hAnsi="Times New Roman"/>
        </w:rPr>
        <w:t xml:space="preserve">will vote for whichever party better protects their rights. </w:t>
      </w:r>
      <w:r w:rsidR="007D7663" w:rsidRPr="00B925AC">
        <w:rPr>
          <w:rFonts w:ascii="Times New Roman" w:hAnsi="Times New Roman"/>
        </w:rPr>
        <w:t xml:space="preserve">Finally, imagine that Republicans will lose </w:t>
      </w:r>
      <w:r w:rsidR="0039295D" w:rsidRPr="00B925AC">
        <w:rPr>
          <w:rFonts w:ascii="Times New Roman" w:hAnsi="Times New Roman"/>
        </w:rPr>
        <w:t xml:space="preserve">one </w:t>
      </w:r>
      <w:r w:rsidR="00DC2F8A" w:rsidRPr="00B925AC">
        <w:rPr>
          <w:rFonts w:ascii="Times New Roman" w:hAnsi="Times New Roman"/>
        </w:rPr>
        <w:t>million voters</w:t>
      </w:r>
      <w:r w:rsidR="002A5A4B" w:rsidRPr="00B925AC">
        <w:rPr>
          <w:rFonts w:ascii="Times New Roman" w:hAnsi="Times New Roman"/>
        </w:rPr>
        <w:t xml:space="preserve">, multiplied by </w:t>
      </w:r>
      <w:r w:rsidR="0039295D" w:rsidRPr="00B925AC">
        <w:rPr>
          <w:rFonts w:ascii="Times New Roman" w:hAnsi="Times New Roman"/>
        </w:rPr>
        <w:t xml:space="preserve">the value of their policy choice (for a policy of 5, they will lose 5 million voters) </w:t>
      </w:r>
      <w:r w:rsidR="00DC2F8A" w:rsidRPr="00B925AC">
        <w:rPr>
          <w:rFonts w:ascii="Times New Roman" w:hAnsi="Times New Roman"/>
        </w:rPr>
        <w:t xml:space="preserve">while Democrats will lose </w:t>
      </w:r>
      <w:r w:rsidR="0039295D" w:rsidRPr="00B925AC">
        <w:rPr>
          <w:rFonts w:ascii="Times New Roman" w:hAnsi="Times New Roman"/>
        </w:rPr>
        <w:t>half that.</w:t>
      </w:r>
    </w:p>
    <w:p w14:paraId="1965C8DB" w14:textId="37EB33B3" w:rsidR="00A720F1" w:rsidRPr="00B925AC" w:rsidRDefault="006E27A0" w:rsidP="007D4261">
      <w:pPr>
        <w:rPr>
          <w:rFonts w:ascii="Times New Roman" w:hAnsi="Times New Roman"/>
        </w:rPr>
      </w:pPr>
      <w:r w:rsidRPr="00B925AC">
        <w:rPr>
          <w:rFonts w:ascii="Times New Roman" w:hAnsi="Times New Roman"/>
        </w:rPr>
        <w:t xml:space="preserve">Now, the game theory comes in. </w:t>
      </w:r>
      <w:r w:rsidR="001B5D18" w:rsidRPr="00B925AC">
        <w:rPr>
          <w:rFonts w:ascii="Times New Roman" w:hAnsi="Times New Roman"/>
        </w:rPr>
        <w:t xml:space="preserve">Under this setup, Democrats could </w:t>
      </w:r>
      <w:r w:rsidR="00592A3C" w:rsidRPr="00B925AC">
        <w:rPr>
          <w:rFonts w:ascii="Times New Roman" w:hAnsi="Times New Roman"/>
        </w:rPr>
        <w:t xml:space="preserve">propose a policy up to strength 10 and still improve their electoral situation. </w:t>
      </w:r>
      <w:r w:rsidR="00432CA8" w:rsidRPr="00B925AC">
        <w:rPr>
          <w:rFonts w:ascii="Times New Roman" w:hAnsi="Times New Roman"/>
        </w:rPr>
        <w:t>Republicans, on the other hand, can only propose a policy up to strength 5.</w:t>
      </w:r>
    </w:p>
    <w:p w14:paraId="6C803CF6" w14:textId="105876A3" w:rsidR="007569B4" w:rsidRPr="00B925AC" w:rsidRDefault="007569B4" w:rsidP="007D4261">
      <w:pPr>
        <w:rPr>
          <w:rFonts w:ascii="Times New Roman" w:hAnsi="Times New Roman"/>
        </w:rPr>
      </w:pPr>
      <w:r w:rsidRPr="00B925AC">
        <w:rPr>
          <w:rFonts w:ascii="Times New Roman" w:hAnsi="Times New Roman"/>
        </w:rPr>
        <w:t xml:space="preserve">For present purposes, the </w:t>
      </w:r>
      <w:r w:rsidR="00E835E6" w:rsidRPr="00B925AC">
        <w:rPr>
          <w:rFonts w:ascii="Times New Roman" w:hAnsi="Times New Roman"/>
        </w:rPr>
        <w:t xml:space="preserve">important takeaway from the mathematically complicated solution to a game of this kind is that neither </w:t>
      </w:r>
      <w:r w:rsidR="00DF5EC1" w:rsidRPr="00B925AC">
        <w:rPr>
          <w:rFonts w:ascii="Times New Roman" w:hAnsi="Times New Roman"/>
        </w:rPr>
        <w:t xml:space="preserve">party will bid more than </w:t>
      </w:r>
      <w:r w:rsidR="00DF5EC1" w:rsidRPr="00B925AC">
        <w:rPr>
          <w:rFonts w:ascii="Times New Roman" w:hAnsi="Times New Roman"/>
          <w:i/>
          <w:iCs/>
        </w:rPr>
        <w:t>the other party’s</w:t>
      </w:r>
      <w:r w:rsidR="00DF5EC1" w:rsidRPr="00B925AC">
        <w:rPr>
          <w:rFonts w:ascii="Times New Roman" w:hAnsi="Times New Roman"/>
        </w:rPr>
        <w:t xml:space="preserve"> highest reasonable bid. </w:t>
      </w:r>
      <w:r w:rsidR="009D7309" w:rsidRPr="00B925AC">
        <w:rPr>
          <w:rFonts w:ascii="Times New Roman" w:hAnsi="Times New Roman"/>
        </w:rPr>
        <w:t>In our case, while the Democrats would still benefit from winning the auction even if they bid slightly under 10, they will never bid</w:t>
      </w:r>
      <w:r w:rsidR="003700F4" w:rsidRPr="00B925AC">
        <w:rPr>
          <w:rFonts w:ascii="Times New Roman" w:hAnsi="Times New Roman"/>
        </w:rPr>
        <w:t xml:space="preserve"> more than 5. The reason is simple. Since Republicans will never bid more than 5 – they would be made worse off if they win and no better off if they lose – Democrats do not </w:t>
      </w:r>
      <w:r w:rsidR="006327E9" w:rsidRPr="00B925AC">
        <w:rPr>
          <w:rFonts w:ascii="Times New Roman" w:hAnsi="Times New Roman"/>
        </w:rPr>
        <w:t>benefit from bidding more than 5. To do so would increase their cost of winning without increasing their chances of winning.</w:t>
      </w:r>
    </w:p>
    <w:p w14:paraId="03BD5C80" w14:textId="2ECAE7C3" w:rsidR="00AD7F5E" w:rsidRPr="00B925AC" w:rsidRDefault="00DD4A62" w:rsidP="00AD7F5E">
      <w:pPr>
        <w:rPr>
          <w:rFonts w:ascii="Times New Roman" w:hAnsi="Times New Roman"/>
        </w:rPr>
      </w:pPr>
      <w:r w:rsidRPr="00B925AC">
        <w:rPr>
          <w:rFonts w:ascii="Times New Roman" w:hAnsi="Times New Roman"/>
        </w:rPr>
        <w:t xml:space="preserve">To be clear, I do not claim that this analysis describes what the parties will do, much less what they should do. </w:t>
      </w:r>
      <w:r w:rsidR="009F45A1" w:rsidRPr="00B925AC">
        <w:rPr>
          <w:rFonts w:ascii="Times New Roman" w:hAnsi="Times New Roman"/>
        </w:rPr>
        <w:t>I simply mean to clarify a particular set of incentives that party leaders face</w:t>
      </w:r>
      <w:r w:rsidR="000865A6" w:rsidRPr="00B925AC">
        <w:rPr>
          <w:rFonts w:ascii="Times New Roman" w:hAnsi="Times New Roman"/>
        </w:rPr>
        <w:t xml:space="preserve">, which I will call “general election incentives.” </w:t>
      </w:r>
      <w:r w:rsidR="00067B1B" w:rsidRPr="00B925AC">
        <w:rPr>
          <w:rFonts w:ascii="Times New Roman" w:hAnsi="Times New Roman"/>
        </w:rPr>
        <w:t xml:space="preserve">General election incentives, as the name suggests, relate only to the set of actions parties should take if they intend to maximize </w:t>
      </w:r>
      <w:r w:rsidR="00602B98" w:rsidRPr="00B925AC">
        <w:rPr>
          <w:rFonts w:ascii="Times New Roman" w:hAnsi="Times New Roman"/>
        </w:rPr>
        <w:t>only their probability of winning a general election.</w:t>
      </w:r>
      <w:r w:rsidR="00BF75F7" w:rsidRPr="00B925AC">
        <w:rPr>
          <w:rFonts w:ascii="Times New Roman" w:hAnsi="Times New Roman"/>
        </w:rPr>
        <w:t xml:space="preserve"> And the crucial thing about general election incentives is that they are </w:t>
      </w:r>
      <w:r w:rsidR="00BF75F7" w:rsidRPr="00B925AC">
        <w:rPr>
          <w:rFonts w:ascii="Times New Roman" w:hAnsi="Times New Roman"/>
        </w:rPr>
        <w:lastRenderedPageBreak/>
        <w:t xml:space="preserve">keyed not to the values of the bidding party, but to the values of the </w:t>
      </w:r>
      <w:r w:rsidR="00BF75F7" w:rsidRPr="00B925AC">
        <w:rPr>
          <w:rFonts w:ascii="Times New Roman" w:hAnsi="Times New Roman"/>
          <w:i/>
          <w:iCs/>
        </w:rPr>
        <w:t>other</w:t>
      </w:r>
      <w:r w:rsidR="00BF75F7" w:rsidRPr="00B925AC">
        <w:rPr>
          <w:rFonts w:ascii="Times New Roman" w:hAnsi="Times New Roman"/>
        </w:rPr>
        <w:t xml:space="preserve"> party. </w:t>
      </w:r>
      <w:r w:rsidR="004869B3" w:rsidRPr="00B925AC">
        <w:rPr>
          <w:rFonts w:ascii="Times New Roman" w:hAnsi="Times New Roman"/>
        </w:rPr>
        <w:t>If</w:t>
      </w:r>
      <w:r w:rsidR="00C34F68" w:rsidRPr="00B925AC">
        <w:rPr>
          <w:rFonts w:ascii="Times New Roman" w:hAnsi="Times New Roman"/>
        </w:rPr>
        <w:t xml:space="preserve"> the two dominant parties are the competing bidders, </w:t>
      </w:r>
      <w:r w:rsidR="00903908" w:rsidRPr="00B925AC">
        <w:rPr>
          <w:rFonts w:ascii="Times New Roman" w:hAnsi="Times New Roman"/>
        </w:rPr>
        <w:t>Democrats’ general election incentives</w:t>
      </w:r>
      <w:r w:rsidR="007B00C9" w:rsidRPr="00B925AC">
        <w:rPr>
          <w:rFonts w:ascii="Times New Roman" w:hAnsi="Times New Roman"/>
        </w:rPr>
        <w:t xml:space="preserve"> on</w:t>
      </w:r>
      <w:r w:rsidR="00903908" w:rsidRPr="00B925AC">
        <w:rPr>
          <w:rFonts w:ascii="Times New Roman" w:hAnsi="Times New Roman"/>
        </w:rPr>
        <w:t xml:space="preserve"> gay rights</w:t>
      </w:r>
      <w:r w:rsidR="007B00C9" w:rsidRPr="00B925AC">
        <w:rPr>
          <w:rFonts w:ascii="Times New Roman" w:hAnsi="Times New Roman"/>
        </w:rPr>
        <w:t xml:space="preserve"> policies </w:t>
      </w:r>
      <w:r w:rsidR="00903908" w:rsidRPr="00B925AC">
        <w:rPr>
          <w:rFonts w:ascii="Times New Roman" w:hAnsi="Times New Roman"/>
        </w:rPr>
        <w:t xml:space="preserve">depend on how homophobic </w:t>
      </w:r>
      <w:r w:rsidR="007914E2" w:rsidRPr="00B925AC">
        <w:rPr>
          <w:rFonts w:ascii="Times New Roman" w:hAnsi="Times New Roman"/>
        </w:rPr>
        <w:t xml:space="preserve">they perceive </w:t>
      </w:r>
      <w:r w:rsidR="007914E2" w:rsidRPr="00B925AC">
        <w:rPr>
          <w:rFonts w:ascii="Times New Roman" w:hAnsi="Times New Roman"/>
          <w:i/>
          <w:iCs/>
        </w:rPr>
        <w:t>Republican</w:t>
      </w:r>
      <w:r w:rsidR="007914E2" w:rsidRPr="00B925AC">
        <w:rPr>
          <w:rFonts w:ascii="Times New Roman" w:hAnsi="Times New Roman"/>
        </w:rPr>
        <w:t xml:space="preserve"> voters to be, and vice versa.</w:t>
      </w:r>
      <w:r w:rsidR="00755C79" w:rsidRPr="00B925AC">
        <w:rPr>
          <w:rFonts w:ascii="Times New Roman" w:hAnsi="Times New Roman"/>
        </w:rPr>
        <w:t xml:space="preserve"> This, as we will see, creates a tension between general election incentives and what I will call coalitional incentives.</w:t>
      </w:r>
    </w:p>
    <w:p w14:paraId="3B1428A3" w14:textId="77777777" w:rsidR="00B935AE" w:rsidRPr="00B925AC" w:rsidRDefault="00B935AE" w:rsidP="00B935AE">
      <w:pPr>
        <w:ind w:firstLine="0"/>
        <w:rPr>
          <w:rFonts w:ascii="Times New Roman" w:hAnsi="Times New Roman"/>
        </w:rPr>
      </w:pPr>
    </w:p>
    <w:p w14:paraId="1C2601C5" w14:textId="6CCA9165" w:rsidR="00B935AE" w:rsidRPr="00B925AC" w:rsidRDefault="00B935AE" w:rsidP="00B935AE">
      <w:pPr>
        <w:pStyle w:val="Heading2"/>
        <w:rPr>
          <w:rFonts w:ascii="Times New Roman" w:hAnsi="Times New Roman"/>
        </w:rPr>
      </w:pPr>
      <w:r w:rsidRPr="00B925AC">
        <w:rPr>
          <w:rFonts w:ascii="Times New Roman" w:hAnsi="Times New Roman"/>
        </w:rPr>
        <w:t>Minority Incorporation Game Part II: Coalitional Incentives</w:t>
      </w:r>
      <w:r w:rsidR="00284CBC" w:rsidRPr="00B925AC">
        <w:rPr>
          <w:rFonts w:ascii="Times New Roman" w:hAnsi="Times New Roman"/>
        </w:rPr>
        <w:t xml:space="preserve"> and the </w:t>
      </w:r>
      <w:proofErr w:type="spellStart"/>
      <w:r w:rsidR="00284CBC" w:rsidRPr="00B925AC">
        <w:rPr>
          <w:rFonts w:ascii="Times New Roman" w:hAnsi="Times New Roman"/>
        </w:rPr>
        <w:t>Countermajoritarian</w:t>
      </w:r>
      <w:proofErr w:type="spellEnd"/>
      <w:r w:rsidR="00284CBC" w:rsidRPr="00B925AC">
        <w:rPr>
          <w:rFonts w:ascii="Times New Roman" w:hAnsi="Times New Roman"/>
        </w:rPr>
        <w:t xml:space="preserve"> Tension</w:t>
      </w:r>
    </w:p>
    <w:p w14:paraId="6C2ADB56" w14:textId="03899F74" w:rsidR="00223030" w:rsidRPr="00B925AC" w:rsidRDefault="00223030" w:rsidP="00B935AE">
      <w:pPr>
        <w:rPr>
          <w:rFonts w:ascii="Times New Roman" w:hAnsi="Times New Roman"/>
        </w:rPr>
      </w:pPr>
      <w:r w:rsidRPr="00B925AC">
        <w:rPr>
          <w:rFonts w:ascii="Times New Roman" w:hAnsi="Times New Roman"/>
        </w:rPr>
        <w:t xml:space="preserve">We have already seen coalitional incentives, in the basic coalitional constitutionalism model sketched in part I. </w:t>
      </w:r>
      <w:r w:rsidR="005975A5" w:rsidRPr="00B925AC">
        <w:rPr>
          <w:rFonts w:ascii="Times New Roman" w:hAnsi="Times New Roman"/>
        </w:rPr>
        <w:t xml:space="preserve">Coalitional incentives drive politicians to articulate and follow statements of principle that become foundational to the coalitions that help them win </w:t>
      </w:r>
      <w:r w:rsidR="004D26CA" w:rsidRPr="00B925AC">
        <w:rPr>
          <w:rFonts w:ascii="Times New Roman" w:hAnsi="Times New Roman"/>
        </w:rPr>
        <w:t xml:space="preserve">policy fights and secure reelection. </w:t>
      </w:r>
      <w:r w:rsidR="00274D89" w:rsidRPr="00B925AC">
        <w:rPr>
          <w:rFonts w:ascii="Times New Roman" w:hAnsi="Times New Roman"/>
        </w:rPr>
        <w:t xml:space="preserve">The minority incorporation game from the preceding subsection can be seen as a particular situation in which politicians have </w:t>
      </w:r>
      <w:r w:rsidR="000C797D" w:rsidRPr="00B925AC">
        <w:rPr>
          <w:rFonts w:ascii="Times New Roman" w:hAnsi="Times New Roman"/>
        </w:rPr>
        <w:t>an incentive to make statements of principle, incentives driven by “</w:t>
      </w:r>
      <w:r w:rsidR="008734A1" w:rsidRPr="00B925AC">
        <w:rPr>
          <w:rFonts w:ascii="Times New Roman" w:hAnsi="Times New Roman"/>
        </w:rPr>
        <w:t>coalition</w:t>
      </w:r>
      <w:r w:rsidR="000C797D" w:rsidRPr="00B925AC">
        <w:rPr>
          <w:rFonts w:ascii="Times New Roman" w:hAnsi="Times New Roman"/>
        </w:rPr>
        <w:t xml:space="preserve"> group incorporation</w:t>
      </w:r>
      <w:r w:rsidR="00B0757A" w:rsidRPr="00B925AC">
        <w:rPr>
          <w:rFonts w:ascii="Times New Roman" w:hAnsi="Times New Roman"/>
        </w:rPr>
        <w:t>.</w:t>
      </w:r>
      <w:r w:rsidR="000C797D" w:rsidRPr="00B925AC">
        <w:rPr>
          <w:rFonts w:ascii="Times New Roman" w:hAnsi="Times New Roman"/>
        </w:rPr>
        <w:t>”</w:t>
      </w:r>
      <w:r w:rsidR="00B0757A" w:rsidRPr="00B925AC">
        <w:rPr>
          <w:rStyle w:val="FootnoteReference"/>
          <w:rFonts w:ascii="Times New Roman" w:hAnsi="Times New Roman"/>
        </w:rPr>
        <w:footnoteReference w:id="172"/>
      </w:r>
    </w:p>
    <w:p w14:paraId="03ABD3CB" w14:textId="2DFBE1D1" w:rsidR="007151F2" w:rsidRPr="00B925AC" w:rsidRDefault="00AF62AE" w:rsidP="007151F2">
      <w:pPr>
        <w:rPr>
          <w:rFonts w:ascii="Times New Roman" w:hAnsi="Times New Roman"/>
        </w:rPr>
      </w:pPr>
      <w:r w:rsidRPr="00B925AC">
        <w:rPr>
          <w:rFonts w:ascii="Times New Roman" w:hAnsi="Times New Roman"/>
        </w:rPr>
        <w:t>Once a party has “won” the auction for a minority group’s support, then, coalitional incentives</w:t>
      </w:r>
      <w:r w:rsidR="003734FC" w:rsidRPr="00B925AC">
        <w:rPr>
          <w:rFonts w:ascii="Times New Roman" w:hAnsi="Times New Roman"/>
        </w:rPr>
        <w:t xml:space="preserve"> </w:t>
      </w:r>
      <w:r w:rsidR="00A4776A" w:rsidRPr="00B925AC">
        <w:rPr>
          <w:rFonts w:ascii="Times New Roman" w:hAnsi="Times New Roman"/>
        </w:rPr>
        <w:t xml:space="preserve">push party members to </w:t>
      </w:r>
      <w:r w:rsidR="006472FF" w:rsidRPr="00B925AC">
        <w:rPr>
          <w:rFonts w:ascii="Times New Roman" w:hAnsi="Times New Roman"/>
        </w:rPr>
        <w:t xml:space="preserve">uphold the principles </w:t>
      </w:r>
      <w:r w:rsidR="00526551" w:rsidRPr="00B925AC">
        <w:rPr>
          <w:rFonts w:ascii="Times New Roman" w:hAnsi="Times New Roman"/>
        </w:rPr>
        <w:t>they articulated to incorporate the minority group into their coalition.</w:t>
      </w:r>
      <w:r w:rsidR="00AA68B5" w:rsidRPr="00B925AC">
        <w:rPr>
          <w:rFonts w:ascii="Times New Roman" w:hAnsi="Times New Roman"/>
        </w:rPr>
        <w:t xml:space="preserve"> However, </w:t>
      </w:r>
      <w:r w:rsidR="001C6DBF" w:rsidRPr="00B925AC">
        <w:rPr>
          <w:rFonts w:ascii="Times New Roman" w:hAnsi="Times New Roman"/>
        </w:rPr>
        <w:t xml:space="preserve">as discussed in the previous subsection, </w:t>
      </w:r>
      <w:r w:rsidR="00AA68B5" w:rsidRPr="00B925AC">
        <w:rPr>
          <w:rFonts w:ascii="Times New Roman" w:hAnsi="Times New Roman"/>
        </w:rPr>
        <w:t>that principle is likely to be fairly tame</w:t>
      </w:r>
      <w:r w:rsidR="001C6DBF" w:rsidRPr="00B925AC">
        <w:rPr>
          <w:rFonts w:ascii="Times New Roman" w:hAnsi="Times New Roman"/>
        </w:rPr>
        <w:t>.</w:t>
      </w:r>
      <w:r w:rsidR="00AA68B5" w:rsidRPr="00B925AC">
        <w:rPr>
          <w:rFonts w:ascii="Times New Roman" w:hAnsi="Times New Roman"/>
        </w:rPr>
        <w:t xml:space="preserve"> </w:t>
      </w:r>
      <w:r w:rsidR="00F22232" w:rsidRPr="00B925AC">
        <w:rPr>
          <w:rFonts w:ascii="Times New Roman" w:hAnsi="Times New Roman"/>
        </w:rPr>
        <w:t xml:space="preserve">At first, </w:t>
      </w:r>
      <w:r w:rsidR="00D9611E" w:rsidRPr="00B925AC">
        <w:rPr>
          <w:rFonts w:ascii="Times New Roman" w:hAnsi="Times New Roman"/>
        </w:rPr>
        <w:t xml:space="preserve">then, </w:t>
      </w:r>
      <w:r w:rsidR="00F22232" w:rsidRPr="00B925AC">
        <w:rPr>
          <w:rFonts w:ascii="Times New Roman" w:hAnsi="Times New Roman"/>
        </w:rPr>
        <w:t xml:space="preserve">these new coalitional incentives may not be terribly inconsistent with </w:t>
      </w:r>
      <w:r w:rsidR="00C43B80" w:rsidRPr="00B925AC">
        <w:rPr>
          <w:rFonts w:ascii="Times New Roman" w:hAnsi="Times New Roman"/>
        </w:rPr>
        <w:t>their general election incentives.</w:t>
      </w:r>
    </w:p>
    <w:p w14:paraId="71FDA003" w14:textId="783A17BE" w:rsidR="00EF0DDC" w:rsidRPr="00B925AC" w:rsidRDefault="00C10270" w:rsidP="00EF0DDC">
      <w:pPr>
        <w:rPr>
          <w:rFonts w:ascii="Times New Roman" w:hAnsi="Times New Roman"/>
        </w:rPr>
      </w:pPr>
      <w:r w:rsidRPr="00B925AC">
        <w:rPr>
          <w:rFonts w:ascii="Times New Roman" w:hAnsi="Times New Roman"/>
        </w:rPr>
        <w:t xml:space="preserve">However, the dynamics of group incorporation should quickly create a </w:t>
      </w:r>
      <w:r w:rsidR="007C7C8C" w:rsidRPr="00B925AC">
        <w:rPr>
          <w:rFonts w:ascii="Times New Roman" w:hAnsi="Times New Roman"/>
        </w:rPr>
        <w:t>tension call it the “</w:t>
      </w:r>
      <w:proofErr w:type="spellStart"/>
      <w:r w:rsidR="007C7C8C" w:rsidRPr="00B925AC">
        <w:rPr>
          <w:rFonts w:ascii="Times New Roman" w:hAnsi="Times New Roman"/>
        </w:rPr>
        <w:t>countermajoritarian</w:t>
      </w:r>
      <w:proofErr w:type="spellEnd"/>
      <w:r w:rsidR="007C7C8C" w:rsidRPr="00B925AC">
        <w:rPr>
          <w:rFonts w:ascii="Times New Roman" w:hAnsi="Times New Roman"/>
        </w:rPr>
        <w:t xml:space="preserve"> tension,” b</w:t>
      </w:r>
      <w:r w:rsidRPr="00B925AC">
        <w:rPr>
          <w:rFonts w:ascii="Times New Roman" w:hAnsi="Times New Roman"/>
        </w:rPr>
        <w:t xml:space="preserve">etween </w:t>
      </w:r>
      <w:r w:rsidR="00F30F22" w:rsidRPr="00B925AC">
        <w:rPr>
          <w:rFonts w:ascii="Times New Roman" w:hAnsi="Times New Roman"/>
        </w:rPr>
        <w:t>politicians’ coalitional incentives and their general election incentives.</w:t>
      </w:r>
      <w:r w:rsidR="00B5787C" w:rsidRPr="00B925AC">
        <w:rPr>
          <w:rFonts w:ascii="Times New Roman" w:hAnsi="Times New Roman"/>
        </w:rPr>
        <w:t xml:space="preserve"> </w:t>
      </w:r>
      <w:r w:rsidR="002717B4" w:rsidRPr="00B925AC">
        <w:rPr>
          <w:rFonts w:ascii="Times New Roman" w:hAnsi="Times New Roman"/>
        </w:rPr>
        <w:t>When a bidder wins the auction, the minority group in question should move into that bidder’s political coalition.</w:t>
      </w:r>
      <w:r w:rsidR="002717B4" w:rsidRPr="00B925AC">
        <w:rPr>
          <w:rStyle w:val="FootnoteReference"/>
          <w:rFonts w:ascii="Times New Roman" w:hAnsi="Times New Roman"/>
        </w:rPr>
        <w:footnoteReference w:id="173"/>
      </w:r>
      <w:r w:rsidR="002548A2" w:rsidRPr="00B925AC">
        <w:rPr>
          <w:rFonts w:ascii="Times New Roman" w:hAnsi="Times New Roman"/>
        </w:rPr>
        <w:t xml:space="preserve"> </w:t>
      </w:r>
      <w:r w:rsidR="009F20FB" w:rsidRPr="00B925AC">
        <w:rPr>
          <w:rFonts w:ascii="Times New Roman" w:hAnsi="Times New Roman"/>
        </w:rPr>
        <w:t xml:space="preserve">Because where politicians stand depends on who they sit with, </w:t>
      </w:r>
      <w:r w:rsidR="00400625" w:rsidRPr="00B925AC">
        <w:rPr>
          <w:rFonts w:ascii="Times New Roman" w:hAnsi="Times New Roman"/>
        </w:rPr>
        <w:t xml:space="preserve">the newly </w:t>
      </w:r>
      <w:r w:rsidR="0086223D" w:rsidRPr="00B925AC">
        <w:rPr>
          <w:rFonts w:ascii="Times New Roman" w:hAnsi="Times New Roman"/>
        </w:rPr>
        <w:t>reconstituted</w:t>
      </w:r>
      <w:r w:rsidR="00400625" w:rsidRPr="00B925AC">
        <w:rPr>
          <w:rFonts w:ascii="Times New Roman" w:hAnsi="Times New Roman"/>
        </w:rPr>
        <w:t xml:space="preserve"> coalition will tend to develop ideas, identities, and institutions suited to </w:t>
      </w:r>
      <w:r w:rsidR="00877D4A" w:rsidRPr="00B925AC">
        <w:rPr>
          <w:rFonts w:ascii="Times New Roman" w:hAnsi="Times New Roman"/>
        </w:rPr>
        <w:t xml:space="preserve">its </w:t>
      </w:r>
      <w:r w:rsidR="00400625" w:rsidRPr="00B925AC">
        <w:rPr>
          <w:rFonts w:ascii="Times New Roman" w:hAnsi="Times New Roman"/>
        </w:rPr>
        <w:t>new membership</w:t>
      </w:r>
      <w:r w:rsidR="00877D4A" w:rsidRPr="00B925AC">
        <w:rPr>
          <w:rFonts w:ascii="Times New Roman" w:hAnsi="Times New Roman"/>
        </w:rPr>
        <w:t xml:space="preserve">. A political party with more gays and lesbians </w:t>
      </w:r>
      <w:r w:rsidR="00865B7F" w:rsidRPr="00B925AC">
        <w:rPr>
          <w:rFonts w:ascii="Times New Roman" w:hAnsi="Times New Roman"/>
        </w:rPr>
        <w:t xml:space="preserve">among its primary voters, its party officials, and its </w:t>
      </w:r>
      <w:r w:rsidR="00062420" w:rsidRPr="00B925AC">
        <w:rPr>
          <w:rFonts w:ascii="Times New Roman" w:hAnsi="Times New Roman"/>
        </w:rPr>
        <w:t xml:space="preserve">allied organizations </w:t>
      </w:r>
      <w:r w:rsidR="00E815E7" w:rsidRPr="00B925AC">
        <w:rPr>
          <w:rFonts w:ascii="Times New Roman" w:hAnsi="Times New Roman"/>
        </w:rPr>
        <w:t xml:space="preserve">will naturally encourage more aggressive principles on protecting LGBT rights. </w:t>
      </w:r>
      <w:r w:rsidR="008932BC" w:rsidRPr="00B925AC">
        <w:rPr>
          <w:rFonts w:ascii="Times New Roman" w:hAnsi="Times New Roman"/>
        </w:rPr>
        <w:t>In order to win primary elections</w:t>
      </w:r>
      <w:r w:rsidR="00704723" w:rsidRPr="00B925AC">
        <w:rPr>
          <w:rFonts w:ascii="Times New Roman" w:hAnsi="Times New Roman"/>
        </w:rPr>
        <w:t xml:space="preserve"> and to mobilize </w:t>
      </w:r>
      <w:proofErr w:type="spellStart"/>
      <w:r w:rsidR="00704723" w:rsidRPr="00B925AC">
        <w:rPr>
          <w:rFonts w:ascii="Times New Roman" w:hAnsi="Times New Roman"/>
        </w:rPr>
        <w:t>copartisans</w:t>
      </w:r>
      <w:proofErr w:type="spellEnd"/>
      <w:r w:rsidR="00704723" w:rsidRPr="00B925AC">
        <w:rPr>
          <w:rFonts w:ascii="Times New Roman" w:hAnsi="Times New Roman"/>
        </w:rPr>
        <w:t xml:space="preserve"> for policy and electoral fights, politicians will naturally </w:t>
      </w:r>
      <w:r w:rsidR="00704723" w:rsidRPr="00B925AC">
        <w:rPr>
          <w:rFonts w:ascii="Times New Roman" w:hAnsi="Times New Roman"/>
        </w:rPr>
        <w:lastRenderedPageBreak/>
        <w:t xml:space="preserve">rely on principles that are </w:t>
      </w:r>
      <w:r w:rsidR="00D238E9" w:rsidRPr="00B925AC">
        <w:rPr>
          <w:rFonts w:ascii="Times New Roman" w:hAnsi="Times New Roman"/>
        </w:rPr>
        <w:t>intuitive to their new coalition partners.</w:t>
      </w:r>
    </w:p>
    <w:p w14:paraId="6BE3A7E5" w14:textId="328BD414" w:rsidR="00EF0DDC" w:rsidRPr="00B925AC" w:rsidRDefault="00EF0DDC" w:rsidP="00EF0DDC">
      <w:pPr>
        <w:rPr>
          <w:rFonts w:ascii="Times New Roman" w:hAnsi="Times New Roman"/>
        </w:rPr>
      </w:pPr>
      <w:r w:rsidRPr="00B925AC">
        <w:rPr>
          <w:rFonts w:ascii="Times New Roman" w:hAnsi="Times New Roman"/>
        </w:rPr>
        <w:t>At the same time, the minority group may develop an identity – including a sense of its group interests and its perceived allies – that reflects its alliance with the auction-winning coalition. Andrew Proctor has documented how gay and lesbian advocates developed a “civil rights” identity through the course of their interactions with the Democratic Party.</w:t>
      </w:r>
      <w:r w:rsidR="00530821" w:rsidRPr="00B925AC">
        <w:rPr>
          <w:rStyle w:val="FootnoteReference"/>
          <w:rFonts w:ascii="Times New Roman" w:hAnsi="Times New Roman"/>
        </w:rPr>
        <w:footnoteReference w:id="174"/>
      </w:r>
      <w:r w:rsidRPr="00B925AC">
        <w:rPr>
          <w:rFonts w:ascii="Times New Roman" w:hAnsi="Times New Roman"/>
        </w:rPr>
        <w:t xml:space="preserve"> This identity gave members of the LGBT community the feeling that their interests</w:t>
      </w:r>
      <w:r w:rsidR="008E05F4" w:rsidRPr="00B925AC">
        <w:rPr>
          <w:rFonts w:ascii="Times New Roman" w:hAnsi="Times New Roman"/>
        </w:rPr>
        <w:t>, for better or for worse,</w:t>
      </w:r>
      <w:r w:rsidRPr="00B925AC">
        <w:rPr>
          <w:rFonts w:ascii="Times New Roman" w:hAnsi="Times New Roman"/>
        </w:rPr>
        <w:t xml:space="preserve"> are naturally aligned with other groups, like the Black community, who pursue civil rights-protective policies associated with Democrats.</w:t>
      </w:r>
      <w:r w:rsidR="00D46F90" w:rsidRPr="00B925AC">
        <w:rPr>
          <w:rStyle w:val="FootnoteReference"/>
          <w:rFonts w:ascii="Times New Roman" w:hAnsi="Times New Roman"/>
        </w:rPr>
        <w:footnoteReference w:id="175"/>
      </w:r>
      <w:r w:rsidRPr="00B925AC">
        <w:rPr>
          <w:rFonts w:ascii="Times New Roman" w:hAnsi="Times New Roman"/>
        </w:rPr>
        <w:t xml:space="preserve"> Before being incorporated into the Democratic coalition, large numbers of gays and lesbians were receptive to a “libertarian” identity suited to Republican ideals and a “liberationist” identity that would have made gays and lesbians a non-partisan force open to alliances with either party.</w:t>
      </w:r>
      <w:r w:rsidR="005229BF" w:rsidRPr="00B925AC">
        <w:rPr>
          <w:rStyle w:val="FootnoteReference"/>
          <w:rFonts w:ascii="Times New Roman" w:hAnsi="Times New Roman"/>
        </w:rPr>
        <w:footnoteReference w:id="176"/>
      </w:r>
      <w:r w:rsidRPr="00B925AC">
        <w:rPr>
          <w:rFonts w:ascii="Times New Roman" w:hAnsi="Times New Roman"/>
        </w:rPr>
        <w:t xml:space="preserve"> The gay and lesbian political identity we know today, Proctor shows, is the consequence, not just the cause, of Democrats’ decision to welcome gays and lesbians into the party.</w:t>
      </w:r>
      <w:r w:rsidRPr="00B925AC">
        <w:rPr>
          <w:rStyle w:val="FootnoteReference"/>
          <w:rFonts w:ascii="Times New Roman" w:hAnsi="Times New Roman"/>
        </w:rPr>
        <w:footnoteReference w:id="177"/>
      </w:r>
    </w:p>
    <w:p w14:paraId="2D981029" w14:textId="310EE8F2" w:rsidR="00363B59" w:rsidRPr="00B925AC" w:rsidRDefault="00E2214E" w:rsidP="00717513">
      <w:pPr>
        <w:rPr>
          <w:rFonts w:ascii="Times New Roman" w:hAnsi="Times New Roman"/>
        </w:rPr>
      </w:pPr>
      <w:r w:rsidRPr="00B925AC">
        <w:rPr>
          <w:rFonts w:ascii="Times New Roman" w:hAnsi="Times New Roman"/>
        </w:rPr>
        <w:t>We can see</w:t>
      </w:r>
      <w:r w:rsidR="000C04CB" w:rsidRPr="00B925AC">
        <w:rPr>
          <w:rFonts w:ascii="Times New Roman" w:hAnsi="Times New Roman"/>
        </w:rPr>
        <w:t xml:space="preserve"> the process of minority group incorporation in the two parties’ </w:t>
      </w:r>
      <w:r w:rsidR="008B7950" w:rsidRPr="00B925AC">
        <w:rPr>
          <w:rFonts w:ascii="Times New Roman" w:hAnsi="Times New Roman"/>
        </w:rPr>
        <w:t>trajectories on civil rights in the middle of the 20</w:t>
      </w:r>
      <w:r w:rsidR="008B7950" w:rsidRPr="00B925AC">
        <w:rPr>
          <w:rFonts w:ascii="Times New Roman" w:hAnsi="Times New Roman"/>
          <w:vertAlign w:val="superscript"/>
        </w:rPr>
        <w:t>th</w:t>
      </w:r>
      <w:r w:rsidR="008B7950" w:rsidRPr="00B925AC">
        <w:rPr>
          <w:rFonts w:ascii="Times New Roman" w:hAnsi="Times New Roman"/>
        </w:rPr>
        <w:t xml:space="preserve"> Century</w:t>
      </w:r>
      <w:r w:rsidR="000C04CB" w:rsidRPr="00B925AC">
        <w:rPr>
          <w:rFonts w:ascii="Times New Roman" w:hAnsi="Times New Roman"/>
        </w:rPr>
        <w:t xml:space="preserve">. </w:t>
      </w:r>
      <w:r w:rsidR="00363B59" w:rsidRPr="00B925AC">
        <w:rPr>
          <w:rFonts w:ascii="Times New Roman" w:hAnsi="Times New Roman"/>
        </w:rPr>
        <w:t xml:space="preserve">Prior to </w:t>
      </w:r>
      <w:r w:rsidR="00A35966" w:rsidRPr="00B925AC">
        <w:rPr>
          <w:rFonts w:ascii="Times New Roman" w:hAnsi="Times New Roman"/>
        </w:rPr>
        <w:t>the 1960s, a series of changes contributed to mak</w:t>
      </w:r>
      <w:r w:rsidR="00B9253D" w:rsidRPr="00B925AC">
        <w:rPr>
          <w:rFonts w:ascii="Times New Roman" w:hAnsi="Times New Roman"/>
        </w:rPr>
        <w:t>ing</w:t>
      </w:r>
      <w:r w:rsidR="00A35966" w:rsidRPr="00B925AC">
        <w:rPr>
          <w:rFonts w:ascii="Times New Roman" w:hAnsi="Times New Roman"/>
        </w:rPr>
        <w:t xml:space="preserve"> Democrats the party </w:t>
      </w:r>
      <w:r w:rsidR="00153EA0" w:rsidRPr="00B925AC">
        <w:rPr>
          <w:rFonts w:ascii="Times New Roman" w:hAnsi="Times New Roman"/>
        </w:rPr>
        <w:t xml:space="preserve">better suited to win an auction for the support of Black voters. </w:t>
      </w:r>
      <w:r w:rsidR="005527F1" w:rsidRPr="00B925AC">
        <w:rPr>
          <w:rFonts w:ascii="Times New Roman" w:hAnsi="Times New Roman"/>
        </w:rPr>
        <w:t xml:space="preserve">Organized labor’s </w:t>
      </w:r>
      <w:r w:rsidR="003B5FDB" w:rsidRPr="00B925AC">
        <w:rPr>
          <w:rFonts w:ascii="Times New Roman" w:hAnsi="Times New Roman"/>
        </w:rPr>
        <w:t xml:space="preserve">support for civil rights </w:t>
      </w:r>
      <w:r w:rsidR="005527F1" w:rsidRPr="00B925AC">
        <w:rPr>
          <w:rFonts w:ascii="Times New Roman" w:hAnsi="Times New Roman"/>
        </w:rPr>
        <w:t xml:space="preserve">forged links between a key Democratic constituency and </w:t>
      </w:r>
      <w:r w:rsidR="00CB262E" w:rsidRPr="00B925AC">
        <w:rPr>
          <w:rFonts w:ascii="Times New Roman" w:hAnsi="Times New Roman"/>
        </w:rPr>
        <w:t>Black voters.</w:t>
      </w:r>
      <w:r w:rsidR="00F80675" w:rsidRPr="00B925AC">
        <w:rPr>
          <w:rStyle w:val="FootnoteReference"/>
          <w:rFonts w:ascii="Times New Roman" w:hAnsi="Times New Roman"/>
        </w:rPr>
        <w:footnoteReference w:id="178"/>
      </w:r>
      <w:r w:rsidR="0064643E" w:rsidRPr="00B925AC">
        <w:rPr>
          <w:rFonts w:ascii="Times New Roman" w:hAnsi="Times New Roman"/>
        </w:rPr>
        <w:t xml:space="preserve"> </w:t>
      </w:r>
      <w:r w:rsidR="008D595B" w:rsidRPr="00B925AC">
        <w:rPr>
          <w:rFonts w:ascii="Times New Roman" w:hAnsi="Times New Roman"/>
        </w:rPr>
        <w:t xml:space="preserve">These links also </w:t>
      </w:r>
      <w:r w:rsidR="003D587F" w:rsidRPr="00B925AC">
        <w:rPr>
          <w:rFonts w:ascii="Times New Roman" w:hAnsi="Times New Roman"/>
        </w:rPr>
        <w:t>shaped</w:t>
      </w:r>
      <w:r w:rsidR="008D595B" w:rsidRPr="00B925AC">
        <w:rPr>
          <w:rFonts w:ascii="Times New Roman" w:hAnsi="Times New Roman"/>
        </w:rPr>
        <w:t xml:space="preserve"> the civil rights movement</w:t>
      </w:r>
      <w:r w:rsidR="00F05DDA" w:rsidRPr="00B925AC">
        <w:rPr>
          <w:rFonts w:ascii="Times New Roman" w:hAnsi="Times New Roman"/>
        </w:rPr>
        <w:t xml:space="preserve">’s agenda to prioritize economic goals that </w:t>
      </w:r>
      <w:r w:rsidR="00924960" w:rsidRPr="00B925AC">
        <w:rPr>
          <w:rFonts w:ascii="Times New Roman" w:hAnsi="Times New Roman"/>
        </w:rPr>
        <w:t>were particularly troubling for Republican officials.</w:t>
      </w:r>
      <w:r w:rsidR="00924960" w:rsidRPr="00B925AC">
        <w:rPr>
          <w:rStyle w:val="FootnoteReference"/>
          <w:rFonts w:ascii="Times New Roman" w:hAnsi="Times New Roman"/>
        </w:rPr>
        <w:footnoteReference w:id="179"/>
      </w:r>
      <w:r w:rsidR="00FE6357" w:rsidRPr="00B925AC">
        <w:rPr>
          <w:rFonts w:ascii="Times New Roman" w:hAnsi="Times New Roman"/>
        </w:rPr>
        <w:t xml:space="preserve"> In 1948, the Dixiecrat revolt</w:t>
      </w:r>
      <w:r w:rsidR="00AB0B6A" w:rsidRPr="00B925AC">
        <w:rPr>
          <w:rFonts w:ascii="Times New Roman" w:hAnsi="Times New Roman"/>
        </w:rPr>
        <w:t xml:space="preserve"> and Truman’s subsequent victory on a racially progressive platform</w:t>
      </w:r>
      <w:r w:rsidR="00FE6357" w:rsidRPr="00B925AC">
        <w:rPr>
          <w:rFonts w:ascii="Times New Roman" w:hAnsi="Times New Roman"/>
        </w:rPr>
        <w:t xml:space="preserve"> </w:t>
      </w:r>
      <w:r w:rsidR="00E87D50" w:rsidRPr="00B925AC">
        <w:rPr>
          <w:rFonts w:ascii="Times New Roman" w:hAnsi="Times New Roman"/>
        </w:rPr>
        <w:t>made it thinkable that Democrats could win without the Solid South.</w:t>
      </w:r>
      <w:r w:rsidR="00AB0B6A" w:rsidRPr="00B925AC">
        <w:rPr>
          <w:rStyle w:val="FootnoteReference"/>
          <w:rFonts w:ascii="Times New Roman" w:hAnsi="Times New Roman"/>
        </w:rPr>
        <w:footnoteReference w:id="180"/>
      </w:r>
      <w:r w:rsidR="00E87D50" w:rsidRPr="00B925AC">
        <w:rPr>
          <w:rFonts w:ascii="Times New Roman" w:hAnsi="Times New Roman"/>
        </w:rPr>
        <w:t xml:space="preserve"> In 1958, a good year for Democrats in liberal states </w:t>
      </w:r>
      <w:r w:rsidR="00276BD3" w:rsidRPr="00B925AC">
        <w:rPr>
          <w:rFonts w:ascii="Times New Roman" w:hAnsi="Times New Roman"/>
        </w:rPr>
        <w:t>made the Democratic Senate caucus more racially progressive and the Republican caucus less so,</w:t>
      </w:r>
      <w:r w:rsidR="001E630F" w:rsidRPr="00B925AC">
        <w:rPr>
          <w:rStyle w:val="FootnoteReference"/>
          <w:rFonts w:ascii="Times New Roman" w:hAnsi="Times New Roman"/>
        </w:rPr>
        <w:footnoteReference w:id="181"/>
      </w:r>
      <w:r w:rsidR="00276BD3" w:rsidRPr="00B925AC">
        <w:rPr>
          <w:rFonts w:ascii="Times New Roman" w:hAnsi="Times New Roman"/>
        </w:rPr>
        <w:t xml:space="preserve"> </w:t>
      </w:r>
      <w:r w:rsidR="005B68EC" w:rsidRPr="00B925AC">
        <w:rPr>
          <w:rFonts w:ascii="Times New Roman" w:hAnsi="Times New Roman"/>
        </w:rPr>
        <w:t xml:space="preserve">in turn </w:t>
      </w:r>
      <w:r w:rsidR="00276BD3" w:rsidRPr="00B925AC">
        <w:rPr>
          <w:rFonts w:ascii="Times New Roman" w:hAnsi="Times New Roman"/>
        </w:rPr>
        <w:t xml:space="preserve">making it easier to imagine </w:t>
      </w:r>
      <w:r w:rsidR="0083163E" w:rsidRPr="00B925AC">
        <w:rPr>
          <w:rFonts w:ascii="Times New Roman" w:hAnsi="Times New Roman"/>
        </w:rPr>
        <w:t xml:space="preserve">Democratic congressional majorities built on civil rights support as </w:t>
      </w:r>
      <w:r w:rsidR="0083163E" w:rsidRPr="00B925AC">
        <w:rPr>
          <w:rFonts w:ascii="Times New Roman" w:hAnsi="Times New Roman"/>
        </w:rPr>
        <w:lastRenderedPageBreak/>
        <w:t>opposed to civil rights opposition.</w:t>
      </w:r>
    </w:p>
    <w:p w14:paraId="3DDDBA35" w14:textId="4A07190E" w:rsidR="00AA3D17" w:rsidRPr="00B925AC" w:rsidRDefault="002F0E99" w:rsidP="00717513">
      <w:pPr>
        <w:rPr>
          <w:rFonts w:ascii="Times New Roman" w:hAnsi="Times New Roman"/>
        </w:rPr>
      </w:pPr>
      <w:r w:rsidRPr="00B925AC">
        <w:rPr>
          <w:rFonts w:ascii="Times New Roman" w:hAnsi="Times New Roman"/>
        </w:rPr>
        <w:t xml:space="preserve">The turning point – in my terms, the auction – came in 1964. </w:t>
      </w:r>
      <w:r w:rsidR="007716A9" w:rsidRPr="00B925AC">
        <w:rPr>
          <w:rFonts w:ascii="Times New Roman" w:hAnsi="Times New Roman"/>
        </w:rPr>
        <w:t xml:space="preserve">President Johnson’s leadership on the 1964 Civil Rights Act </w:t>
      </w:r>
      <w:r w:rsidR="00195957" w:rsidRPr="00B925AC">
        <w:rPr>
          <w:rFonts w:ascii="Times New Roman" w:hAnsi="Times New Roman"/>
        </w:rPr>
        <w:t>can be seen as Democrats’ bid for Black voters.</w:t>
      </w:r>
      <w:bookmarkStart w:id="26" w:name="_Ref186459684"/>
      <w:r w:rsidR="00195957" w:rsidRPr="00B925AC">
        <w:rPr>
          <w:rStyle w:val="FootnoteReference"/>
          <w:rFonts w:ascii="Times New Roman" w:hAnsi="Times New Roman"/>
        </w:rPr>
        <w:footnoteReference w:id="182"/>
      </w:r>
      <w:bookmarkEnd w:id="26"/>
      <w:r w:rsidR="00195957" w:rsidRPr="00B925AC">
        <w:rPr>
          <w:rFonts w:ascii="Times New Roman" w:hAnsi="Times New Roman"/>
        </w:rPr>
        <w:t xml:space="preserve"> </w:t>
      </w:r>
      <w:r w:rsidR="00915AE0" w:rsidRPr="00B925AC">
        <w:rPr>
          <w:rFonts w:ascii="Times New Roman" w:hAnsi="Times New Roman"/>
        </w:rPr>
        <w:t>Conversely, t</w:t>
      </w:r>
      <w:r w:rsidR="007716A9" w:rsidRPr="00B925AC">
        <w:rPr>
          <w:rFonts w:ascii="Times New Roman" w:hAnsi="Times New Roman"/>
        </w:rPr>
        <w:t>he Republicans’ nomination of Barry Goldwater – a rare GOP opponent of the 1964 Act specifically and federal civil rights legislation generally</w:t>
      </w:r>
      <w:bookmarkStart w:id="27" w:name="_Ref186459843"/>
      <w:r w:rsidR="007716A9" w:rsidRPr="00B925AC">
        <w:rPr>
          <w:rStyle w:val="FootnoteReference"/>
          <w:rFonts w:ascii="Times New Roman" w:hAnsi="Times New Roman"/>
        </w:rPr>
        <w:footnoteReference w:id="183"/>
      </w:r>
      <w:bookmarkEnd w:id="27"/>
      <w:r w:rsidR="007716A9" w:rsidRPr="00B925AC">
        <w:rPr>
          <w:rFonts w:ascii="Times New Roman" w:hAnsi="Times New Roman"/>
        </w:rPr>
        <w:t xml:space="preserve"> –</w:t>
      </w:r>
      <w:r w:rsidR="00983A30" w:rsidRPr="00B925AC">
        <w:rPr>
          <w:rFonts w:ascii="Times New Roman" w:hAnsi="Times New Roman"/>
        </w:rPr>
        <w:t xml:space="preserve"> can be seen as that party’s bid for the support of Southern Whites</w:t>
      </w:r>
      <w:r w:rsidR="00DB697C" w:rsidRPr="00B925AC">
        <w:rPr>
          <w:rFonts w:ascii="Times New Roman" w:hAnsi="Times New Roman"/>
        </w:rPr>
        <w:t xml:space="preserve">. </w:t>
      </w:r>
      <w:r w:rsidR="00441063" w:rsidRPr="00B925AC">
        <w:rPr>
          <w:rFonts w:ascii="Times New Roman" w:hAnsi="Times New Roman"/>
        </w:rPr>
        <w:t>T</w:t>
      </w:r>
      <w:r w:rsidR="005346C5" w:rsidRPr="00B925AC">
        <w:rPr>
          <w:rFonts w:ascii="Times New Roman" w:hAnsi="Times New Roman"/>
        </w:rPr>
        <w:t xml:space="preserve">he year produced significant and lasting changes in the electorate. </w:t>
      </w:r>
      <w:r w:rsidR="00DB697C" w:rsidRPr="00B925AC">
        <w:rPr>
          <w:rFonts w:ascii="Times New Roman" w:hAnsi="Times New Roman"/>
        </w:rPr>
        <w:t>While roughly 40 percent of Black voters supported Republicans in 1956 and roughly one-third in 1960, less than 10 percent did in 1964</w:t>
      </w:r>
      <w:r w:rsidR="00F15D9A" w:rsidRPr="00B925AC">
        <w:rPr>
          <w:rFonts w:ascii="Times New Roman" w:hAnsi="Times New Roman"/>
        </w:rPr>
        <w:t>,</w:t>
      </w:r>
      <w:r w:rsidR="00DB697C" w:rsidRPr="00B925AC">
        <w:rPr>
          <w:rStyle w:val="FootnoteReference"/>
          <w:rFonts w:ascii="Times New Roman" w:hAnsi="Times New Roman"/>
        </w:rPr>
        <w:footnoteReference w:id="184"/>
      </w:r>
      <w:r w:rsidR="00F15D9A" w:rsidRPr="00B925AC">
        <w:rPr>
          <w:rFonts w:ascii="Times New Roman" w:hAnsi="Times New Roman"/>
        </w:rPr>
        <w:t xml:space="preserve"> </w:t>
      </w:r>
      <w:r w:rsidR="0068288A" w:rsidRPr="00B925AC">
        <w:rPr>
          <w:rFonts w:ascii="Times New Roman" w:hAnsi="Times New Roman"/>
        </w:rPr>
        <w:t xml:space="preserve">with Republicans </w:t>
      </w:r>
      <w:r w:rsidR="003959B9" w:rsidRPr="00B925AC">
        <w:rPr>
          <w:rFonts w:ascii="Times New Roman" w:hAnsi="Times New Roman"/>
        </w:rPr>
        <w:t>never recovering their previous support.</w:t>
      </w:r>
      <w:r w:rsidR="003959B9" w:rsidRPr="00B925AC">
        <w:rPr>
          <w:rStyle w:val="FootnoteReference"/>
          <w:rFonts w:ascii="Times New Roman" w:hAnsi="Times New Roman"/>
        </w:rPr>
        <w:footnoteReference w:id="185"/>
      </w:r>
    </w:p>
    <w:p w14:paraId="11C6C626" w14:textId="4AAA17C6" w:rsidR="000011E6" w:rsidRPr="00B925AC" w:rsidRDefault="000011E6" w:rsidP="00717513">
      <w:pPr>
        <w:rPr>
          <w:rFonts w:ascii="Times New Roman" w:hAnsi="Times New Roman"/>
        </w:rPr>
      </w:pPr>
      <w:r w:rsidRPr="00B925AC">
        <w:rPr>
          <w:rFonts w:ascii="Times New Roman" w:hAnsi="Times New Roman"/>
        </w:rPr>
        <w:t xml:space="preserve">Crucially, both parties used coalitional constitutionalism to secure the political changes </w:t>
      </w:r>
      <w:r w:rsidR="00430E56" w:rsidRPr="00B925AC">
        <w:rPr>
          <w:rFonts w:ascii="Times New Roman" w:hAnsi="Times New Roman"/>
        </w:rPr>
        <w:t xml:space="preserve">they sought. </w:t>
      </w:r>
      <w:r w:rsidR="005E5585" w:rsidRPr="00B925AC">
        <w:rPr>
          <w:rFonts w:ascii="Times New Roman" w:hAnsi="Times New Roman"/>
        </w:rPr>
        <w:t>Democrats not only supported civil rights</w:t>
      </w:r>
      <w:r w:rsidR="00E96DE0" w:rsidRPr="00B925AC">
        <w:rPr>
          <w:rFonts w:ascii="Times New Roman" w:hAnsi="Times New Roman"/>
        </w:rPr>
        <w:t>;</w:t>
      </w:r>
      <w:r w:rsidR="005E5585" w:rsidRPr="00B925AC">
        <w:rPr>
          <w:rFonts w:ascii="Times New Roman" w:hAnsi="Times New Roman"/>
        </w:rPr>
        <w:t xml:space="preserve"> they supported a version of civil rights built on a </w:t>
      </w:r>
      <w:r w:rsidR="0022466A" w:rsidRPr="00B925AC">
        <w:rPr>
          <w:rFonts w:ascii="Times New Roman" w:hAnsi="Times New Roman"/>
        </w:rPr>
        <w:t>capacious understanding the Commerce Clause</w:t>
      </w:r>
      <w:r w:rsidR="0022466A" w:rsidRPr="00B925AC">
        <w:rPr>
          <w:rStyle w:val="FootnoteReference"/>
          <w:rFonts w:ascii="Times New Roman" w:hAnsi="Times New Roman"/>
        </w:rPr>
        <w:footnoteReference w:id="186"/>
      </w:r>
      <w:r w:rsidR="00382DCB" w:rsidRPr="00B925AC">
        <w:rPr>
          <w:rFonts w:ascii="Times New Roman" w:hAnsi="Times New Roman"/>
        </w:rPr>
        <w:t xml:space="preserve"> and focused in large part on regulating private business.</w:t>
      </w:r>
      <w:r w:rsidR="00070DAC" w:rsidRPr="00B925AC">
        <w:rPr>
          <w:rStyle w:val="FootnoteReference"/>
          <w:rFonts w:ascii="Times New Roman" w:hAnsi="Times New Roman"/>
        </w:rPr>
        <w:footnoteReference w:id="187"/>
      </w:r>
      <w:r w:rsidR="006524DE" w:rsidRPr="00B925AC">
        <w:rPr>
          <w:rFonts w:ascii="Times New Roman" w:hAnsi="Times New Roman"/>
        </w:rPr>
        <w:t xml:space="preserve"> The vision Democrats articulated </w:t>
      </w:r>
      <w:r w:rsidR="00F7469A" w:rsidRPr="00B925AC">
        <w:rPr>
          <w:rFonts w:ascii="Times New Roman" w:hAnsi="Times New Roman"/>
        </w:rPr>
        <w:t xml:space="preserve">maximized the fit between </w:t>
      </w:r>
      <w:r w:rsidR="00E96DE0" w:rsidRPr="00B925AC">
        <w:rPr>
          <w:rFonts w:ascii="Times New Roman" w:hAnsi="Times New Roman"/>
        </w:rPr>
        <w:t>their</w:t>
      </w:r>
      <w:r w:rsidR="00F7469A" w:rsidRPr="00B925AC">
        <w:rPr>
          <w:rFonts w:ascii="Times New Roman" w:hAnsi="Times New Roman"/>
        </w:rPr>
        <w:t xml:space="preserve"> existing coalition and values, on the one hand, and the coalition and values </w:t>
      </w:r>
      <w:r w:rsidR="00E96DE0" w:rsidRPr="00B925AC">
        <w:rPr>
          <w:rFonts w:ascii="Times New Roman" w:hAnsi="Times New Roman"/>
        </w:rPr>
        <w:t xml:space="preserve">they were </w:t>
      </w:r>
      <w:r w:rsidR="00A0341E" w:rsidRPr="00B925AC">
        <w:rPr>
          <w:rFonts w:ascii="Times New Roman" w:hAnsi="Times New Roman"/>
        </w:rPr>
        <w:t xml:space="preserve">bidding to represent, on the other. </w:t>
      </w:r>
      <w:r w:rsidR="00942FAB" w:rsidRPr="00B925AC">
        <w:rPr>
          <w:rFonts w:ascii="Times New Roman" w:hAnsi="Times New Roman"/>
        </w:rPr>
        <w:t xml:space="preserve">Black voters considering an alliance with the Democrats </w:t>
      </w:r>
      <w:r w:rsidR="00E07839" w:rsidRPr="00B925AC">
        <w:rPr>
          <w:rFonts w:ascii="Times New Roman" w:hAnsi="Times New Roman"/>
        </w:rPr>
        <w:t>could believe that the party would stay true to a program of active government intervention in the econom</w:t>
      </w:r>
      <w:r w:rsidR="008C559F" w:rsidRPr="00B925AC">
        <w:rPr>
          <w:rFonts w:ascii="Times New Roman" w:hAnsi="Times New Roman"/>
        </w:rPr>
        <w:t>y.</w:t>
      </w:r>
    </w:p>
    <w:p w14:paraId="279F17AF" w14:textId="45322C5D" w:rsidR="008C559F" w:rsidRPr="00B925AC" w:rsidRDefault="008C559F" w:rsidP="00717513">
      <w:pPr>
        <w:rPr>
          <w:rFonts w:ascii="Times New Roman" w:hAnsi="Times New Roman"/>
        </w:rPr>
      </w:pPr>
      <w:r w:rsidRPr="00B925AC">
        <w:rPr>
          <w:rFonts w:ascii="Times New Roman" w:hAnsi="Times New Roman"/>
        </w:rPr>
        <w:t xml:space="preserve">Republicans, on the other hand, offered a vision </w:t>
      </w:r>
      <w:r w:rsidR="00746646" w:rsidRPr="00B925AC">
        <w:rPr>
          <w:rFonts w:ascii="Times New Roman" w:hAnsi="Times New Roman"/>
        </w:rPr>
        <w:t xml:space="preserve">that emphasized the party’s long-run loyalty to business. </w:t>
      </w:r>
      <w:r w:rsidR="009B69FC" w:rsidRPr="00B925AC">
        <w:rPr>
          <w:rFonts w:ascii="Times New Roman" w:hAnsi="Times New Roman"/>
        </w:rPr>
        <w:t>Even those Republicans who supported the 1964 Civil Rights Act expressed concern that it would set a dangerous precedent for economic intervention in the economy.</w:t>
      </w:r>
      <w:r w:rsidR="00262DF8" w:rsidRPr="00B925AC">
        <w:rPr>
          <w:rStyle w:val="FootnoteReference"/>
          <w:rFonts w:ascii="Times New Roman" w:hAnsi="Times New Roman"/>
        </w:rPr>
        <w:footnoteReference w:id="188"/>
      </w:r>
      <w:r w:rsidR="008F2D0D" w:rsidRPr="00B925AC">
        <w:rPr>
          <w:rFonts w:ascii="Times New Roman" w:hAnsi="Times New Roman"/>
        </w:rPr>
        <w:t xml:space="preserve"> </w:t>
      </w:r>
      <w:r w:rsidR="00DD7915" w:rsidRPr="00B925AC">
        <w:rPr>
          <w:rFonts w:ascii="Times New Roman" w:hAnsi="Times New Roman"/>
        </w:rPr>
        <w:t xml:space="preserve">While Republican ideology </w:t>
      </w:r>
      <w:r w:rsidR="00517FE3" w:rsidRPr="00B925AC">
        <w:rPr>
          <w:rFonts w:ascii="Times New Roman" w:hAnsi="Times New Roman"/>
        </w:rPr>
        <w:t xml:space="preserve">originated in </w:t>
      </w:r>
      <w:r w:rsidR="00DD7915" w:rsidRPr="00B925AC">
        <w:rPr>
          <w:rFonts w:ascii="Times New Roman" w:hAnsi="Times New Roman"/>
        </w:rPr>
        <w:t>anti-</w:t>
      </w:r>
      <w:r w:rsidR="00DD7915" w:rsidRPr="00B925AC">
        <w:rPr>
          <w:rFonts w:ascii="Times New Roman" w:hAnsi="Times New Roman"/>
        </w:rPr>
        <w:lastRenderedPageBreak/>
        <w:t xml:space="preserve">slavery agitation, it </w:t>
      </w:r>
      <w:r w:rsidR="00517FE3" w:rsidRPr="00B925AC">
        <w:rPr>
          <w:rFonts w:ascii="Times New Roman" w:hAnsi="Times New Roman"/>
        </w:rPr>
        <w:t xml:space="preserve">was also rooted in </w:t>
      </w:r>
      <w:r w:rsidR="00675301" w:rsidRPr="00B925AC">
        <w:rPr>
          <w:rFonts w:ascii="Times New Roman" w:hAnsi="Times New Roman"/>
        </w:rPr>
        <w:t>commitment to pro-business policies.</w:t>
      </w:r>
      <w:r w:rsidR="00675301" w:rsidRPr="00B925AC">
        <w:rPr>
          <w:rStyle w:val="FootnoteReference"/>
          <w:rFonts w:ascii="Times New Roman" w:hAnsi="Times New Roman"/>
        </w:rPr>
        <w:footnoteReference w:id="189"/>
      </w:r>
      <w:r w:rsidR="00FD562D" w:rsidRPr="00B925AC">
        <w:rPr>
          <w:rFonts w:ascii="Times New Roman" w:hAnsi="Times New Roman"/>
        </w:rPr>
        <w:t xml:space="preserve"> </w:t>
      </w:r>
      <w:r w:rsidR="0060494D" w:rsidRPr="00B925AC">
        <w:rPr>
          <w:rFonts w:ascii="Times New Roman" w:hAnsi="Times New Roman"/>
        </w:rPr>
        <w:t>Goldwater himself supported desegregation while arguing that the federal government had no power to bring it about.</w:t>
      </w:r>
      <w:r w:rsidR="0060494D" w:rsidRPr="00B925AC">
        <w:rPr>
          <w:rStyle w:val="FootnoteReference"/>
          <w:rFonts w:ascii="Times New Roman" w:hAnsi="Times New Roman"/>
        </w:rPr>
        <w:footnoteReference w:id="190"/>
      </w:r>
      <w:r w:rsidR="0008171F" w:rsidRPr="00B925AC">
        <w:rPr>
          <w:rFonts w:ascii="Times New Roman" w:hAnsi="Times New Roman"/>
        </w:rPr>
        <w:t xml:space="preserve"> Southern Whites could believe that, whatever their differences </w:t>
      </w:r>
      <w:r w:rsidR="00D667D1" w:rsidRPr="00B925AC">
        <w:rPr>
          <w:rFonts w:ascii="Times New Roman" w:hAnsi="Times New Roman"/>
        </w:rPr>
        <w:t xml:space="preserve">in core values, Republicans </w:t>
      </w:r>
      <w:r w:rsidR="00831C4C" w:rsidRPr="00B925AC">
        <w:rPr>
          <w:rFonts w:ascii="Times New Roman" w:hAnsi="Times New Roman"/>
        </w:rPr>
        <w:t xml:space="preserve">were more likely to </w:t>
      </w:r>
      <w:r w:rsidR="00D667D1" w:rsidRPr="00B925AC">
        <w:rPr>
          <w:rFonts w:ascii="Times New Roman" w:hAnsi="Times New Roman"/>
        </w:rPr>
        <w:t xml:space="preserve">oppose federal interference with the South’s </w:t>
      </w:r>
      <w:r w:rsidR="00B86160" w:rsidRPr="00B925AC">
        <w:rPr>
          <w:rFonts w:ascii="Times New Roman" w:hAnsi="Times New Roman"/>
        </w:rPr>
        <w:t>approach to race relations</w:t>
      </w:r>
      <w:r w:rsidR="00831C4C" w:rsidRPr="00B925AC">
        <w:rPr>
          <w:rFonts w:ascii="Times New Roman" w:hAnsi="Times New Roman"/>
        </w:rPr>
        <w:t xml:space="preserve"> than were the Democrats</w:t>
      </w:r>
      <w:r w:rsidR="00B86160" w:rsidRPr="00B925AC">
        <w:rPr>
          <w:rFonts w:ascii="Times New Roman" w:hAnsi="Times New Roman"/>
        </w:rPr>
        <w:t>.</w:t>
      </w:r>
    </w:p>
    <w:p w14:paraId="1433C52D" w14:textId="50678119" w:rsidR="00F46681" w:rsidRPr="00B925AC" w:rsidRDefault="00E008B7" w:rsidP="00280337">
      <w:pPr>
        <w:rPr>
          <w:rFonts w:ascii="Times New Roman" w:hAnsi="Times New Roman"/>
        </w:rPr>
      </w:pPr>
      <w:r w:rsidRPr="00B925AC">
        <w:rPr>
          <w:rFonts w:ascii="Times New Roman" w:hAnsi="Times New Roman"/>
        </w:rPr>
        <w:t xml:space="preserve">Consistent with </w:t>
      </w:r>
      <w:r w:rsidR="00AF08B7" w:rsidRPr="00B925AC">
        <w:rPr>
          <w:rFonts w:ascii="Times New Roman" w:hAnsi="Times New Roman"/>
        </w:rPr>
        <w:t xml:space="preserve">my </w:t>
      </w:r>
      <w:r w:rsidRPr="00B925AC">
        <w:rPr>
          <w:rFonts w:ascii="Times New Roman" w:hAnsi="Times New Roman"/>
        </w:rPr>
        <w:t xml:space="preserve">theory, </w:t>
      </w:r>
      <w:r w:rsidR="00AF08B7" w:rsidRPr="00B925AC">
        <w:rPr>
          <w:rFonts w:ascii="Times New Roman" w:hAnsi="Times New Roman"/>
        </w:rPr>
        <w:t xml:space="preserve">the two parties were not terribly far apart on </w:t>
      </w:r>
      <w:r w:rsidR="00EA30BA" w:rsidRPr="00B925AC">
        <w:rPr>
          <w:rFonts w:ascii="Times New Roman" w:hAnsi="Times New Roman"/>
        </w:rPr>
        <w:t xml:space="preserve">civil rights policy in 1964. </w:t>
      </w:r>
      <w:r w:rsidR="007F701D" w:rsidRPr="00B925AC">
        <w:rPr>
          <w:rFonts w:ascii="Times New Roman" w:hAnsi="Times New Roman"/>
        </w:rPr>
        <w:t xml:space="preserve">A higher percentage of Republicans than Democrats voted for the </w:t>
      </w:r>
      <w:r w:rsidR="00D616AA" w:rsidRPr="00B925AC">
        <w:rPr>
          <w:rFonts w:ascii="Times New Roman" w:hAnsi="Times New Roman"/>
        </w:rPr>
        <w:t xml:space="preserve">Civil Rights </w:t>
      </w:r>
      <w:r w:rsidR="007F701D" w:rsidRPr="00B925AC">
        <w:rPr>
          <w:rFonts w:ascii="Times New Roman" w:hAnsi="Times New Roman"/>
        </w:rPr>
        <w:t>Act</w:t>
      </w:r>
      <w:r w:rsidR="00DC0BC4" w:rsidRPr="00B925AC">
        <w:rPr>
          <w:rFonts w:ascii="Times New Roman" w:hAnsi="Times New Roman"/>
        </w:rPr>
        <w:t>, albeit only after a long struggle to win the hearts of key Republican leaders</w:t>
      </w:r>
      <w:r w:rsidR="00E22823" w:rsidRPr="00B925AC">
        <w:rPr>
          <w:rFonts w:ascii="Times New Roman" w:hAnsi="Times New Roman"/>
        </w:rPr>
        <w:t>.</w:t>
      </w:r>
      <w:r w:rsidR="0038711A" w:rsidRPr="00B925AC">
        <w:rPr>
          <w:rStyle w:val="FootnoteReference"/>
          <w:rFonts w:ascii="Times New Roman" w:hAnsi="Times New Roman"/>
        </w:rPr>
        <w:footnoteReference w:id="191"/>
      </w:r>
      <w:r w:rsidR="00E22823" w:rsidRPr="00B925AC">
        <w:rPr>
          <w:rFonts w:ascii="Times New Roman" w:hAnsi="Times New Roman"/>
        </w:rPr>
        <w:t xml:space="preserve"> Republicans went to great pains to point out that they </w:t>
      </w:r>
      <w:r w:rsidR="001E19E5" w:rsidRPr="00B925AC">
        <w:rPr>
          <w:rFonts w:ascii="Times New Roman" w:hAnsi="Times New Roman"/>
        </w:rPr>
        <w:t xml:space="preserve">had proposed </w:t>
      </w:r>
      <w:r w:rsidR="00C941A9" w:rsidRPr="00B925AC">
        <w:rPr>
          <w:rFonts w:ascii="Times New Roman" w:hAnsi="Times New Roman"/>
        </w:rPr>
        <w:t>similar legislation while the Democrats were still dragging their heels, and to criticize Democrats for moving too slowly.</w:t>
      </w:r>
      <w:r w:rsidR="008C2578" w:rsidRPr="00B925AC">
        <w:rPr>
          <w:rStyle w:val="FootnoteReference"/>
          <w:rFonts w:ascii="Times New Roman" w:hAnsi="Times New Roman"/>
        </w:rPr>
        <w:footnoteReference w:id="192"/>
      </w:r>
    </w:p>
    <w:p w14:paraId="01BBD42A" w14:textId="3B23C875" w:rsidR="00280337" w:rsidRPr="00B925AC" w:rsidRDefault="00280337" w:rsidP="00280337">
      <w:pPr>
        <w:rPr>
          <w:rFonts w:ascii="Times New Roman" w:hAnsi="Times New Roman"/>
        </w:rPr>
      </w:pPr>
      <w:r w:rsidRPr="00B925AC">
        <w:rPr>
          <w:rFonts w:ascii="Times New Roman" w:hAnsi="Times New Roman"/>
        </w:rPr>
        <w:t xml:space="preserve">Only after the </w:t>
      </w:r>
      <w:r w:rsidR="0071593B" w:rsidRPr="00B925AC">
        <w:rPr>
          <w:rFonts w:ascii="Times New Roman" w:hAnsi="Times New Roman"/>
        </w:rPr>
        <w:t>party coalitions shift</w:t>
      </w:r>
      <w:r w:rsidR="001D5AEE" w:rsidRPr="00B925AC">
        <w:rPr>
          <w:rFonts w:ascii="Times New Roman" w:hAnsi="Times New Roman"/>
        </w:rPr>
        <w:t>ed</w:t>
      </w:r>
      <w:r w:rsidR="0071593B" w:rsidRPr="00B925AC">
        <w:rPr>
          <w:rFonts w:ascii="Times New Roman" w:hAnsi="Times New Roman"/>
        </w:rPr>
        <w:t xml:space="preserve"> did their </w:t>
      </w:r>
      <w:r w:rsidR="0016057C" w:rsidRPr="00B925AC">
        <w:rPr>
          <w:rFonts w:ascii="Times New Roman" w:hAnsi="Times New Roman"/>
        </w:rPr>
        <w:t xml:space="preserve">elected </w:t>
      </w:r>
      <w:r w:rsidR="0071593B" w:rsidRPr="00B925AC">
        <w:rPr>
          <w:rFonts w:ascii="Times New Roman" w:hAnsi="Times New Roman"/>
        </w:rPr>
        <w:t xml:space="preserve">politicians begin to take truly disparate positions on racial issues. </w:t>
      </w:r>
      <w:r w:rsidR="00A66677" w:rsidRPr="00B925AC">
        <w:rPr>
          <w:rFonts w:ascii="Times New Roman" w:hAnsi="Times New Roman"/>
        </w:rPr>
        <w:t xml:space="preserve">Republicans began to reject </w:t>
      </w:r>
      <w:r w:rsidR="00F908B7" w:rsidRPr="00B925AC">
        <w:rPr>
          <w:rFonts w:ascii="Times New Roman" w:hAnsi="Times New Roman"/>
        </w:rPr>
        <w:t xml:space="preserve">civil rights efforts in 1966 and </w:t>
      </w:r>
      <w:r w:rsidR="009F2A2B" w:rsidRPr="00B925AC">
        <w:rPr>
          <w:rFonts w:ascii="Times New Roman" w:hAnsi="Times New Roman"/>
        </w:rPr>
        <w:t>continued to oppose key Democratic initiatives</w:t>
      </w:r>
      <w:r w:rsidR="00E1725D" w:rsidRPr="00B925AC">
        <w:rPr>
          <w:rFonts w:ascii="Times New Roman" w:hAnsi="Times New Roman"/>
        </w:rPr>
        <w:t xml:space="preserve"> through the 1990s</w:t>
      </w:r>
      <w:r w:rsidR="009F2A2B" w:rsidRPr="00B925AC">
        <w:rPr>
          <w:rFonts w:ascii="Times New Roman" w:hAnsi="Times New Roman"/>
        </w:rPr>
        <w:t>.</w:t>
      </w:r>
      <w:r w:rsidR="009F2A2B" w:rsidRPr="00B925AC">
        <w:rPr>
          <w:rStyle w:val="FootnoteReference"/>
          <w:rFonts w:ascii="Times New Roman" w:hAnsi="Times New Roman"/>
        </w:rPr>
        <w:footnoteReference w:id="193"/>
      </w:r>
      <w:r w:rsidR="009F2A2B" w:rsidRPr="00B925AC">
        <w:rPr>
          <w:rFonts w:ascii="Times New Roman" w:hAnsi="Times New Roman"/>
        </w:rPr>
        <w:t xml:space="preserve"> </w:t>
      </w:r>
      <w:r w:rsidR="00534347" w:rsidRPr="00B925AC">
        <w:rPr>
          <w:rFonts w:ascii="Times New Roman" w:hAnsi="Times New Roman"/>
        </w:rPr>
        <w:t>Polarization on roll call votes continued through the 1970s,</w:t>
      </w:r>
      <w:r w:rsidR="00FB4B35" w:rsidRPr="00B925AC">
        <w:rPr>
          <w:rStyle w:val="FootnoteReference"/>
          <w:rFonts w:ascii="Times New Roman" w:hAnsi="Times New Roman"/>
        </w:rPr>
        <w:footnoteReference w:id="194"/>
      </w:r>
      <w:r w:rsidR="00534347" w:rsidRPr="00B925AC">
        <w:rPr>
          <w:rFonts w:ascii="Times New Roman" w:hAnsi="Times New Roman"/>
        </w:rPr>
        <w:t xml:space="preserve"> as Black voters </w:t>
      </w:r>
      <w:r w:rsidR="00F40AFB" w:rsidRPr="00B925AC">
        <w:rPr>
          <w:rFonts w:ascii="Times New Roman" w:hAnsi="Times New Roman"/>
        </w:rPr>
        <w:t>achieved official representation in Democratic Party institutions</w:t>
      </w:r>
      <w:r w:rsidR="00A26E19" w:rsidRPr="00B925AC">
        <w:rPr>
          <w:rStyle w:val="FootnoteReference"/>
          <w:rFonts w:ascii="Times New Roman" w:hAnsi="Times New Roman"/>
        </w:rPr>
        <w:footnoteReference w:id="195"/>
      </w:r>
      <w:r w:rsidR="00F40AFB" w:rsidRPr="00B925AC">
        <w:rPr>
          <w:rFonts w:ascii="Times New Roman" w:hAnsi="Times New Roman"/>
        </w:rPr>
        <w:t xml:space="preserve"> and </w:t>
      </w:r>
      <w:r w:rsidR="00A26E19" w:rsidRPr="00B925AC">
        <w:rPr>
          <w:rFonts w:ascii="Times New Roman" w:hAnsi="Times New Roman"/>
        </w:rPr>
        <w:t>party activists became increasingly divided on racial questions.</w:t>
      </w:r>
      <w:r w:rsidR="008D16AD" w:rsidRPr="00B925AC">
        <w:rPr>
          <w:rStyle w:val="FootnoteReference"/>
          <w:rFonts w:ascii="Times New Roman" w:hAnsi="Times New Roman"/>
        </w:rPr>
        <w:footnoteReference w:id="196"/>
      </w:r>
    </w:p>
    <w:p w14:paraId="0C106447" w14:textId="1255F816" w:rsidR="00EF0DDC" w:rsidRPr="00B925AC" w:rsidRDefault="0030015C" w:rsidP="00717513">
      <w:pPr>
        <w:rPr>
          <w:rFonts w:ascii="Times New Roman" w:hAnsi="Times New Roman"/>
        </w:rPr>
      </w:pPr>
      <w:r w:rsidRPr="00B925AC">
        <w:rPr>
          <w:rFonts w:ascii="Times New Roman" w:hAnsi="Times New Roman"/>
        </w:rPr>
        <w:t xml:space="preserve">As </w:t>
      </w:r>
      <w:r w:rsidR="00ED6A59" w:rsidRPr="00B925AC">
        <w:rPr>
          <w:rFonts w:ascii="Times New Roman" w:hAnsi="Times New Roman"/>
        </w:rPr>
        <w:t xml:space="preserve">politicians’ coalitional incentives shift to encourage more aggressive support for rights, their general election incentives move in the opposite direction. Just </w:t>
      </w:r>
      <w:r w:rsidR="00821D7D" w:rsidRPr="00B925AC">
        <w:rPr>
          <w:rFonts w:ascii="Times New Roman" w:hAnsi="Times New Roman"/>
        </w:rPr>
        <w:t xml:space="preserve">as the rights-supportive </w:t>
      </w:r>
      <w:r w:rsidR="0029282A" w:rsidRPr="00B925AC">
        <w:rPr>
          <w:rFonts w:ascii="Times New Roman" w:hAnsi="Times New Roman"/>
        </w:rPr>
        <w:t xml:space="preserve">party </w:t>
      </w:r>
      <w:r w:rsidR="00821D7D" w:rsidRPr="00B925AC">
        <w:rPr>
          <w:rFonts w:ascii="Times New Roman" w:hAnsi="Times New Roman"/>
        </w:rPr>
        <w:t xml:space="preserve">becomes increasingly attractive to </w:t>
      </w:r>
      <w:r w:rsidR="0029282A" w:rsidRPr="00B925AC">
        <w:rPr>
          <w:rFonts w:ascii="Times New Roman" w:hAnsi="Times New Roman"/>
        </w:rPr>
        <w:t xml:space="preserve">rights supporters, the other party </w:t>
      </w:r>
      <w:r w:rsidR="00B45EE6" w:rsidRPr="00B925AC">
        <w:rPr>
          <w:rFonts w:ascii="Times New Roman" w:hAnsi="Times New Roman"/>
        </w:rPr>
        <w:t xml:space="preserve">will become </w:t>
      </w:r>
      <w:r w:rsidR="000D4A0C" w:rsidRPr="00B925AC">
        <w:rPr>
          <w:rFonts w:ascii="Times New Roman" w:hAnsi="Times New Roman"/>
        </w:rPr>
        <w:t xml:space="preserve">increasingly attractive to rights opponents. </w:t>
      </w:r>
      <w:r w:rsidR="00B45EE6" w:rsidRPr="00B925AC">
        <w:rPr>
          <w:rFonts w:ascii="Times New Roman" w:hAnsi="Times New Roman"/>
        </w:rPr>
        <w:t xml:space="preserve">It will also </w:t>
      </w:r>
      <w:r w:rsidR="00EF5E79" w:rsidRPr="00B925AC">
        <w:rPr>
          <w:rFonts w:ascii="Times New Roman" w:hAnsi="Times New Roman"/>
        </w:rPr>
        <w:t xml:space="preserve">develop principles that explain and justify its opposition to </w:t>
      </w:r>
      <w:r w:rsidR="00CC67FD" w:rsidRPr="00B925AC">
        <w:rPr>
          <w:rFonts w:ascii="Times New Roman" w:hAnsi="Times New Roman"/>
        </w:rPr>
        <w:t xml:space="preserve">rights, principles designed to unify its coalition of rights skeptics. </w:t>
      </w:r>
      <w:r w:rsidR="0050395B" w:rsidRPr="00B925AC">
        <w:rPr>
          <w:rFonts w:ascii="Times New Roman" w:hAnsi="Times New Roman"/>
        </w:rPr>
        <w:t xml:space="preserve">It will attract new groups receptive to these principles. And it will reshape these groups’ </w:t>
      </w:r>
      <w:r w:rsidR="000C7411" w:rsidRPr="00B925AC">
        <w:rPr>
          <w:rFonts w:ascii="Times New Roman" w:hAnsi="Times New Roman"/>
        </w:rPr>
        <w:t xml:space="preserve">identities in ways that encourage rights skepticism, just as LGBT Americans had their identities </w:t>
      </w:r>
      <w:r w:rsidR="006B31CD" w:rsidRPr="00B925AC">
        <w:rPr>
          <w:rFonts w:ascii="Times New Roman" w:hAnsi="Times New Roman"/>
        </w:rPr>
        <w:lastRenderedPageBreak/>
        <w:t>reshaped in ways that left them more amenable to rights claims.</w:t>
      </w:r>
    </w:p>
    <w:p w14:paraId="6D7D92F6" w14:textId="764676D0" w:rsidR="00842EC9" w:rsidRPr="00B925AC" w:rsidRDefault="00842EC9" w:rsidP="00717513">
      <w:pPr>
        <w:rPr>
          <w:rFonts w:ascii="Times New Roman" w:hAnsi="Times New Roman"/>
        </w:rPr>
      </w:pPr>
      <w:r w:rsidRPr="00B925AC">
        <w:rPr>
          <w:rFonts w:ascii="Times New Roman" w:hAnsi="Times New Roman"/>
        </w:rPr>
        <w:t xml:space="preserve">Ultimately, </w:t>
      </w:r>
      <w:r w:rsidR="00181E6A" w:rsidRPr="00B925AC">
        <w:rPr>
          <w:rFonts w:ascii="Times New Roman" w:hAnsi="Times New Roman"/>
        </w:rPr>
        <w:t xml:space="preserve">politicians </w:t>
      </w:r>
      <w:r w:rsidR="00171A4F" w:rsidRPr="00B925AC">
        <w:rPr>
          <w:rFonts w:ascii="Times New Roman" w:hAnsi="Times New Roman"/>
        </w:rPr>
        <w:t>in the minority-supportive party</w:t>
      </w:r>
      <w:r w:rsidR="00313E6C" w:rsidRPr="00B925AC">
        <w:rPr>
          <w:rStyle w:val="FootnoteReference"/>
          <w:rFonts w:ascii="Times New Roman" w:hAnsi="Times New Roman"/>
        </w:rPr>
        <w:footnoteReference w:id="197"/>
      </w:r>
      <w:r w:rsidR="00171A4F" w:rsidRPr="00B925AC">
        <w:rPr>
          <w:rFonts w:ascii="Times New Roman" w:hAnsi="Times New Roman"/>
        </w:rPr>
        <w:t xml:space="preserve"> </w:t>
      </w:r>
      <w:r w:rsidR="00181E6A" w:rsidRPr="00B925AC">
        <w:rPr>
          <w:rFonts w:ascii="Times New Roman" w:hAnsi="Times New Roman"/>
        </w:rPr>
        <w:t xml:space="preserve">are likely to </w:t>
      </w:r>
      <w:r w:rsidR="007E6B22" w:rsidRPr="00B925AC">
        <w:rPr>
          <w:rFonts w:ascii="Times New Roman" w:hAnsi="Times New Roman"/>
        </w:rPr>
        <w:t>face a growing tension between their desire</w:t>
      </w:r>
      <w:r w:rsidR="00FD414D" w:rsidRPr="00B925AC">
        <w:rPr>
          <w:rFonts w:ascii="Times New Roman" w:hAnsi="Times New Roman"/>
        </w:rPr>
        <w:t xml:space="preserve"> to uphold their coalitional principles – motivated both by electoral incentives and by their </w:t>
      </w:r>
      <w:r w:rsidR="00B843A0" w:rsidRPr="00B925AC">
        <w:rPr>
          <w:rFonts w:ascii="Times New Roman" w:hAnsi="Times New Roman"/>
        </w:rPr>
        <w:t xml:space="preserve">values </w:t>
      </w:r>
      <w:r w:rsidR="00FD414D" w:rsidRPr="00B925AC">
        <w:rPr>
          <w:rFonts w:ascii="Times New Roman" w:hAnsi="Times New Roman"/>
        </w:rPr>
        <w:t xml:space="preserve">– and their recognition that there are electoral benefits to be had by throwing a coalition partner under the bus. </w:t>
      </w:r>
      <w:r w:rsidR="00256143" w:rsidRPr="00B925AC">
        <w:rPr>
          <w:rFonts w:ascii="Times New Roman" w:hAnsi="Times New Roman"/>
        </w:rPr>
        <w:t xml:space="preserve">The same forces that </w:t>
      </w:r>
      <w:r w:rsidR="00CE0DD8" w:rsidRPr="00B925AC">
        <w:rPr>
          <w:rFonts w:ascii="Times New Roman" w:hAnsi="Times New Roman"/>
        </w:rPr>
        <w:t xml:space="preserve">push the </w:t>
      </w:r>
      <w:r w:rsidR="00DA3B48" w:rsidRPr="00B925AC">
        <w:rPr>
          <w:rFonts w:ascii="Times New Roman" w:hAnsi="Times New Roman"/>
        </w:rPr>
        <w:t>minority</w:t>
      </w:r>
      <w:r w:rsidR="00CE0DD8" w:rsidRPr="00B925AC">
        <w:rPr>
          <w:rFonts w:ascii="Times New Roman" w:hAnsi="Times New Roman"/>
        </w:rPr>
        <w:t xml:space="preserve">-supportive party </w:t>
      </w:r>
      <w:r w:rsidR="00DA3B48" w:rsidRPr="00B925AC">
        <w:rPr>
          <w:rFonts w:ascii="Times New Roman" w:hAnsi="Times New Roman"/>
        </w:rPr>
        <w:t xml:space="preserve">in one direction ensure that the other party would face an even higher price for offering any support to the minority group in question. </w:t>
      </w:r>
      <w:r w:rsidR="008D7BC4" w:rsidRPr="00B925AC">
        <w:rPr>
          <w:rFonts w:ascii="Times New Roman" w:hAnsi="Times New Roman"/>
        </w:rPr>
        <w:t>As the other party becomes increasingly associated with its opposition to minority rights</w:t>
      </w:r>
      <w:r w:rsidR="00767A4B" w:rsidRPr="00B925AC">
        <w:rPr>
          <w:rFonts w:ascii="Times New Roman" w:hAnsi="Times New Roman"/>
        </w:rPr>
        <w:t xml:space="preserve">, it becomes increasingly difficult to imagine it commanding a national majority </w:t>
      </w:r>
      <w:r w:rsidR="003F6093" w:rsidRPr="00B925AC">
        <w:rPr>
          <w:rFonts w:ascii="Times New Roman" w:hAnsi="Times New Roman"/>
        </w:rPr>
        <w:t xml:space="preserve">if </w:t>
      </w:r>
      <w:r w:rsidR="001C7BA0" w:rsidRPr="00B925AC">
        <w:rPr>
          <w:rFonts w:ascii="Times New Roman" w:hAnsi="Times New Roman"/>
        </w:rPr>
        <w:t xml:space="preserve">it were to alienate anti-rights forces. </w:t>
      </w:r>
      <w:r w:rsidR="00C23D4D" w:rsidRPr="00B925AC">
        <w:rPr>
          <w:rFonts w:ascii="Times New Roman" w:hAnsi="Times New Roman"/>
        </w:rPr>
        <w:t xml:space="preserve">Just as </w:t>
      </w:r>
      <w:r w:rsidR="001C7BA0" w:rsidRPr="00B925AC">
        <w:rPr>
          <w:rFonts w:ascii="Times New Roman" w:hAnsi="Times New Roman"/>
        </w:rPr>
        <w:t xml:space="preserve">important, </w:t>
      </w:r>
      <w:r w:rsidR="00F55EDB" w:rsidRPr="00B925AC">
        <w:rPr>
          <w:rFonts w:ascii="Times New Roman" w:hAnsi="Times New Roman"/>
        </w:rPr>
        <w:t xml:space="preserve">the parties’ allied politicians are likely to increasingly see their policy goals in terms that are antithetical </w:t>
      </w:r>
      <w:r w:rsidR="0057013D" w:rsidRPr="00B925AC">
        <w:rPr>
          <w:rFonts w:ascii="Times New Roman" w:hAnsi="Times New Roman"/>
        </w:rPr>
        <w:t xml:space="preserve">to </w:t>
      </w:r>
      <w:r w:rsidR="00202610" w:rsidRPr="00B925AC">
        <w:rPr>
          <w:rFonts w:ascii="Times New Roman" w:hAnsi="Times New Roman"/>
        </w:rPr>
        <w:t xml:space="preserve">the rights in question. </w:t>
      </w:r>
      <w:r w:rsidR="0001625E" w:rsidRPr="00B925AC">
        <w:rPr>
          <w:rFonts w:ascii="Times New Roman" w:hAnsi="Times New Roman"/>
        </w:rPr>
        <w:t xml:space="preserve">As generations of Republicans are socialized to see Republicanism as a creed that defends traditional values against LGBT rights, it becomes increasingly </w:t>
      </w:r>
      <w:r w:rsidR="006F55F1" w:rsidRPr="00B925AC">
        <w:rPr>
          <w:rFonts w:ascii="Times New Roman" w:hAnsi="Times New Roman"/>
        </w:rPr>
        <w:t>difficult</w:t>
      </w:r>
      <w:r w:rsidR="0001625E" w:rsidRPr="00B925AC">
        <w:rPr>
          <w:rFonts w:ascii="Times New Roman" w:hAnsi="Times New Roman"/>
        </w:rPr>
        <w:t xml:space="preserve"> to imagine Republicans making a bid to be the party of LGBT rights. </w:t>
      </w:r>
      <w:r w:rsidR="00620A69" w:rsidRPr="00B925AC">
        <w:rPr>
          <w:rFonts w:ascii="Times New Roman" w:hAnsi="Times New Roman"/>
        </w:rPr>
        <w:t>In turn, it becomes increasingly easy to imagine Democrats weakening their support for LGBT rights without losing electoral support.</w:t>
      </w:r>
    </w:p>
    <w:p w14:paraId="624D0033" w14:textId="77777777" w:rsidR="00516661" w:rsidRPr="00B925AC" w:rsidRDefault="00516661" w:rsidP="007151F2">
      <w:pPr>
        <w:rPr>
          <w:rFonts w:ascii="Times New Roman" w:hAnsi="Times New Roman"/>
        </w:rPr>
      </w:pPr>
    </w:p>
    <w:p w14:paraId="388A3F60" w14:textId="48940E8E" w:rsidR="00AE2599" w:rsidRPr="00B925AC" w:rsidRDefault="00CA57FA" w:rsidP="00132BEC">
      <w:pPr>
        <w:pStyle w:val="Heading2"/>
        <w:rPr>
          <w:rFonts w:ascii="Times New Roman" w:hAnsi="Times New Roman"/>
        </w:rPr>
      </w:pPr>
      <w:r w:rsidRPr="00B925AC">
        <w:rPr>
          <w:rFonts w:ascii="Times New Roman" w:hAnsi="Times New Roman"/>
        </w:rPr>
        <w:t xml:space="preserve">A Constructive </w:t>
      </w:r>
      <w:r w:rsidR="00132BEC" w:rsidRPr="00B925AC">
        <w:rPr>
          <w:rFonts w:ascii="Times New Roman" w:hAnsi="Times New Roman"/>
        </w:rPr>
        <w:t>Tension</w:t>
      </w:r>
    </w:p>
    <w:p w14:paraId="50F108F9" w14:textId="4F145FE6" w:rsidR="00132BEC" w:rsidRPr="00B925AC" w:rsidRDefault="00132BEC" w:rsidP="00132BEC">
      <w:pPr>
        <w:rPr>
          <w:rFonts w:ascii="Times New Roman" w:hAnsi="Times New Roman"/>
        </w:rPr>
      </w:pPr>
      <w:r w:rsidRPr="00B925AC">
        <w:rPr>
          <w:rFonts w:ascii="Times New Roman" w:hAnsi="Times New Roman"/>
        </w:rPr>
        <w:t xml:space="preserve">In the previous section, I </w:t>
      </w:r>
      <w:r w:rsidR="000B3C1D" w:rsidRPr="00B925AC">
        <w:rPr>
          <w:rFonts w:ascii="Times New Roman" w:hAnsi="Times New Roman"/>
        </w:rPr>
        <w:t xml:space="preserve">argued that politicians will be pulled in two different directions when they – following their political incentives – choose to </w:t>
      </w:r>
      <w:r w:rsidR="00F8457D" w:rsidRPr="00B925AC">
        <w:rPr>
          <w:rFonts w:ascii="Times New Roman" w:hAnsi="Times New Roman"/>
        </w:rPr>
        <w:t xml:space="preserve">champion the intense preferences of a minority group. </w:t>
      </w:r>
      <w:r w:rsidR="007005E8" w:rsidRPr="00B925AC">
        <w:rPr>
          <w:rFonts w:ascii="Times New Roman" w:hAnsi="Times New Roman"/>
        </w:rPr>
        <w:t xml:space="preserve">On the one hand, their coalitional incentives will pull them to defend policies that are broadly unpopular but </w:t>
      </w:r>
      <w:r w:rsidR="0020615D" w:rsidRPr="00B925AC">
        <w:rPr>
          <w:rFonts w:ascii="Times New Roman" w:hAnsi="Times New Roman"/>
        </w:rPr>
        <w:t xml:space="preserve">are important to a </w:t>
      </w:r>
      <w:r w:rsidR="00DD4453" w:rsidRPr="00B925AC">
        <w:rPr>
          <w:rFonts w:ascii="Times New Roman" w:hAnsi="Times New Roman"/>
        </w:rPr>
        <w:t>new member of the party coalition. On the other, their general election incentives will pull them to</w:t>
      </w:r>
      <w:r w:rsidR="00D76626" w:rsidRPr="00B925AC">
        <w:rPr>
          <w:rFonts w:ascii="Times New Roman" w:hAnsi="Times New Roman"/>
        </w:rPr>
        <w:t xml:space="preserve"> </w:t>
      </w:r>
      <w:r w:rsidR="008B1250" w:rsidRPr="00B925AC">
        <w:rPr>
          <w:rFonts w:ascii="Times New Roman" w:hAnsi="Times New Roman"/>
        </w:rPr>
        <w:t xml:space="preserve">limit support for </w:t>
      </w:r>
      <w:r w:rsidR="00270730" w:rsidRPr="00B925AC">
        <w:rPr>
          <w:rFonts w:ascii="Times New Roman" w:hAnsi="Times New Roman"/>
        </w:rPr>
        <w:t>their new coalition-mate</w:t>
      </w:r>
      <w:r w:rsidR="00D76626" w:rsidRPr="00B925AC">
        <w:rPr>
          <w:rFonts w:ascii="Times New Roman" w:hAnsi="Times New Roman"/>
        </w:rPr>
        <w:t>, a move that becomes less politically costly as the parties polarize over that coalition partner’s rights.</w:t>
      </w:r>
    </w:p>
    <w:p w14:paraId="6AB51918" w14:textId="65C9FDA6" w:rsidR="008E7335" w:rsidRPr="00B925AC" w:rsidRDefault="0026571F" w:rsidP="00132BEC">
      <w:pPr>
        <w:rPr>
          <w:rFonts w:ascii="Times New Roman" w:hAnsi="Times New Roman"/>
        </w:rPr>
      </w:pPr>
      <w:r w:rsidRPr="00B925AC">
        <w:rPr>
          <w:rFonts w:ascii="Times New Roman" w:hAnsi="Times New Roman"/>
        </w:rPr>
        <w:t xml:space="preserve">One the one hand, this </w:t>
      </w:r>
      <w:proofErr w:type="spellStart"/>
      <w:r w:rsidR="00804ED8" w:rsidRPr="00B925AC">
        <w:rPr>
          <w:rFonts w:ascii="Times New Roman" w:hAnsi="Times New Roman"/>
        </w:rPr>
        <w:t>countermajoritarian</w:t>
      </w:r>
      <w:proofErr w:type="spellEnd"/>
      <w:r w:rsidR="00804ED8" w:rsidRPr="00B925AC">
        <w:rPr>
          <w:rFonts w:ascii="Times New Roman" w:hAnsi="Times New Roman"/>
        </w:rPr>
        <w:t xml:space="preserve"> </w:t>
      </w:r>
      <w:r w:rsidRPr="00B925AC">
        <w:rPr>
          <w:rFonts w:ascii="Times New Roman" w:hAnsi="Times New Roman"/>
        </w:rPr>
        <w:t xml:space="preserve">tension should cause the parties to </w:t>
      </w:r>
      <w:r w:rsidR="00DC5D3B" w:rsidRPr="00B925AC">
        <w:rPr>
          <w:rFonts w:ascii="Times New Roman" w:hAnsi="Times New Roman"/>
        </w:rPr>
        <w:t xml:space="preserve">pursue policies that are not designed to appeal to the majority of voters. </w:t>
      </w:r>
      <w:r w:rsidR="001A114C" w:rsidRPr="00B925AC">
        <w:rPr>
          <w:rFonts w:ascii="Times New Roman" w:hAnsi="Times New Roman"/>
        </w:rPr>
        <w:t>P</w:t>
      </w:r>
      <w:r w:rsidR="00DC5D3B" w:rsidRPr="00B925AC">
        <w:rPr>
          <w:rFonts w:ascii="Times New Roman" w:hAnsi="Times New Roman"/>
        </w:rPr>
        <w:t xml:space="preserve">olitical incentives should </w:t>
      </w:r>
      <w:r w:rsidR="00500DB1" w:rsidRPr="00B925AC">
        <w:rPr>
          <w:rFonts w:ascii="Times New Roman" w:hAnsi="Times New Roman"/>
        </w:rPr>
        <w:t xml:space="preserve">lead politicians to protect minority rights, at least if those rights </w:t>
      </w:r>
      <w:r w:rsidR="00500DB1" w:rsidRPr="00B925AC">
        <w:rPr>
          <w:rFonts w:ascii="Times New Roman" w:hAnsi="Times New Roman"/>
        </w:rPr>
        <w:lastRenderedPageBreak/>
        <w:t>take the form of policies intensely supported by a minority group.</w:t>
      </w:r>
      <w:r w:rsidR="00500DB1" w:rsidRPr="00B925AC">
        <w:rPr>
          <w:rStyle w:val="FootnoteReference"/>
          <w:rFonts w:ascii="Times New Roman" w:hAnsi="Times New Roman"/>
        </w:rPr>
        <w:footnoteReference w:id="198"/>
      </w:r>
    </w:p>
    <w:p w14:paraId="506A930C" w14:textId="4365CBD0" w:rsidR="00606AAC" w:rsidRPr="00B925AC" w:rsidRDefault="00606AAC" w:rsidP="00132BEC">
      <w:pPr>
        <w:rPr>
          <w:rFonts w:ascii="Times New Roman" w:hAnsi="Times New Roman"/>
        </w:rPr>
      </w:pPr>
      <w:r w:rsidRPr="00B925AC">
        <w:rPr>
          <w:rFonts w:ascii="Times New Roman" w:hAnsi="Times New Roman"/>
        </w:rPr>
        <w:t xml:space="preserve">However, the </w:t>
      </w:r>
      <w:proofErr w:type="spellStart"/>
      <w:r w:rsidR="00C02482" w:rsidRPr="00B925AC">
        <w:rPr>
          <w:rFonts w:ascii="Times New Roman" w:hAnsi="Times New Roman"/>
        </w:rPr>
        <w:t>countermajoritarian</w:t>
      </w:r>
      <w:proofErr w:type="spellEnd"/>
      <w:r w:rsidR="00C02482" w:rsidRPr="00B925AC">
        <w:rPr>
          <w:rFonts w:ascii="Times New Roman" w:hAnsi="Times New Roman"/>
        </w:rPr>
        <w:t xml:space="preserve"> </w:t>
      </w:r>
      <w:r w:rsidRPr="00B925AC">
        <w:rPr>
          <w:rFonts w:ascii="Times New Roman" w:hAnsi="Times New Roman"/>
        </w:rPr>
        <w:t xml:space="preserve">tension itself may be more important than the fact that it pulls politicians away from majority preferences. </w:t>
      </w:r>
      <w:r w:rsidR="00AA0131" w:rsidRPr="00B925AC">
        <w:rPr>
          <w:rFonts w:ascii="Times New Roman" w:hAnsi="Times New Roman"/>
        </w:rPr>
        <w:t xml:space="preserve">Ambitious politicians face a highly unattractive situation. They must make two difficult choices. First, they must decide how much political risk they are willing to accept in order to </w:t>
      </w:r>
      <w:r w:rsidR="00AE49B6" w:rsidRPr="00B925AC">
        <w:rPr>
          <w:rFonts w:ascii="Times New Roman" w:hAnsi="Times New Roman"/>
        </w:rPr>
        <w:t xml:space="preserve">protect the intense preferences of their coalition partners. And second, they must decide, for a given level of political risk, which risks to take. Will they </w:t>
      </w:r>
      <w:r w:rsidR="00D04041" w:rsidRPr="00B925AC">
        <w:rPr>
          <w:rFonts w:ascii="Times New Roman" w:hAnsi="Times New Roman"/>
        </w:rPr>
        <w:t xml:space="preserve">advance </w:t>
      </w:r>
      <w:r w:rsidR="00D56FA3" w:rsidRPr="00B925AC">
        <w:rPr>
          <w:rFonts w:ascii="Times New Roman" w:hAnsi="Times New Roman"/>
        </w:rPr>
        <w:t xml:space="preserve">Black civil rights, LGBT rights, or the rights of some other partner? </w:t>
      </w:r>
      <w:r w:rsidR="00A90215" w:rsidRPr="00B925AC">
        <w:rPr>
          <w:rFonts w:ascii="Times New Roman" w:hAnsi="Times New Roman"/>
        </w:rPr>
        <w:t xml:space="preserve">At any given level of political risk, this is a zero-sum game. Politicians must </w:t>
      </w:r>
      <w:r w:rsidR="00284355" w:rsidRPr="00B925AC">
        <w:rPr>
          <w:rFonts w:ascii="Times New Roman" w:hAnsi="Times New Roman"/>
        </w:rPr>
        <w:t>weigh difficult and fraught strategic, policy, and moral questions, and those questions are likely to divide political coalitions.</w:t>
      </w:r>
    </w:p>
    <w:p w14:paraId="4EB9817B" w14:textId="79085807" w:rsidR="00BB5AE0" w:rsidRPr="00B925AC" w:rsidRDefault="00653E86" w:rsidP="00BB5AE0">
      <w:pPr>
        <w:rPr>
          <w:rFonts w:ascii="Times New Roman" w:hAnsi="Times New Roman"/>
        </w:rPr>
      </w:pPr>
      <w:r w:rsidRPr="00B925AC">
        <w:rPr>
          <w:rFonts w:ascii="Times New Roman" w:hAnsi="Times New Roman"/>
        </w:rPr>
        <w:t xml:space="preserve">We can see </w:t>
      </w:r>
      <w:r w:rsidR="00DB689A" w:rsidRPr="00B925AC">
        <w:rPr>
          <w:rFonts w:ascii="Times New Roman" w:hAnsi="Times New Roman"/>
        </w:rPr>
        <w:t xml:space="preserve">the </w:t>
      </w:r>
      <w:proofErr w:type="spellStart"/>
      <w:r w:rsidR="00DB689A" w:rsidRPr="00B925AC">
        <w:rPr>
          <w:rFonts w:ascii="Times New Roman" w:hAnsi="Times New Roman"/>
        </w:rPr>
        <w:t>countermajoritarian</w:t>
      </w:r>
      <w:proofErr w:type="spellEnd"/>
      <w:r w:rsidRPr="00B925AC">
        <w:rPr>
          <w:rFonts w:ascii="Times New Roman" w:hAnsi="Times New Roman"/>
        </w:rPr>
        <w:t xml:space="preserve"> tension at work across American history. </w:t>
      </w:r>
      <w:r w:rsidR="00BB5AE0" w:rsidRPr="00B925AC">
        <w:rPr>
          <w:rFonts w:ascii="Times New Roman" w:hAnsi="Times New Roman"/>
        </w:rPr>
        <w:t>Long before Democrats debated the importance of trans rights, Republicans – then a party built on the fight against slavery – debated how aggressively to champion the rights of the freedmen. After sustaining heavy losses in the election of 1868, Republicans openly questioned their commitment to Black voters. Republicans who questioned the wisdom of this commitment framed their arguments in terms of majoritarian values. Claiming that both Democrats and Republican primary voters had rejected suffrage for Black citizens in 1868, Senator Thomas Hendricks (R-Ind.) asked, “[</w:t>
      </w:r>
      <w:proofErr w:type="spellStart"/>
      <w:r w:rsidR="00BB5AE0" w:rsidRPr="00B925AC">
        <w:rPr>
          <w:rFonts w:ascii="Times New Roman" w:hAnsi="Times New Roman"/>
        </w:rPr>
        <w:t>i</w:t>
      </w:r>
      <w:proofErr w:type="spellEnd"/>
      <w:r w:rsidR="00BB5AE0" w:rsidRPr="00B925AC">
        <w:rPr>
          <w:rFonts w:ascii="Times New Roman" w:hAnsi="Times New Roman"/>
        </w:rPr>
        <w:t>]f the people are against it, what right have you to change the Government?”</w:t>
      </w:r>
    </w:p>
    <w:p w14:paraId="3DA93987" w14:textId="6F5283F3" w:rsidR="00BB5AE0" w:rsidRPr="00B925AC" w:rsidRDefault="00BB5AE0" w:rsidP="00BB5AE0">
      <w:pPr>
        <w:rPr>
          <w:rFonts w:ascii="Times New Roman" w:hAnsi="Times New Roman"/>
        </w:rPr>
      </w:pPr>
      <w:r w:rsidRPr="00B925AC">
        <w:rPr>
          <w:rFonts w:ascii="Times New Roman" w:hAnsi="Times New Roman"/>
        </w:rPr>
        <w:t xml:space="preserve">But even as some Republicans called for pulling back, the party continued to push an aggressive policy on Black civil rights. And while some no doubt believed that securing such rights would pay electoral dividends – particularly by securing Black voting rights – others backed civil rights, in the words of two scholars of the period, “not because of political expediency but </w:t>
      </w:r>
      <w:r w:rsidRPr="00B925AC">
        <w:rPr>
          <w:rFonts w:ascii="Times New Roman" w:hAnsi="Times New Roman"/>
          <w:i/>
          <w:iCs/>
        </w:rPr>
        <w:t>despite</w:t>
      </w:r>
      <w:r w:rsidRPr="00B925AC">
        <w:rPr>
          <w:rFonts w:ascii="Times New Roman" w:hAnsi="Times New Roman"/>
        </w:rPr>
        <w:t xml:space="preserve"> political risk.”</w:t>
      </w:r>
      <w:r w:rsidRPr="00B925AC">
        <w:rPr>
          <w:rStyle w:val="FootnoteReference"/>
          <w:rFonts w:ascii="Times New Roman" w:hAnsi="Times New Roman"/>
        </w:rPr>
        <w:footnoteReference w:id="199"/>
      </w:r>
      <w:r w:rsidRPr="00B925AC">
        <w:rPr>
          <w:rFonts w:ascii="Times New Roman" w:hAnsi="Times New Roman"/>
        </w:rPr>
        <w:t xml:space="preserve"> Senator Henry Wilson effectively summarized the </w:t>
      </w:r>
      <w:proofErr w:type="spellStart"/>
      <w:r w:rsidR="00E058D0" w:rsidRPr="00B925AC">
        <w:rPr>
          <w:rFonts w:ascii="Times New Roman" w:hAnsi="Times New Roman"/>
        </w:rPr>
        <w:t>countermajoritarian</w:t>
      </w:r>
      <w:proofErr w:type="spellEnd"/>
      <w:r w:rsidR="00E058D0" w:rsidRPr="00B925AC">
        <w:rPr>
          <w:rFonts w:ascii="Times New Roman" w:hAnsi="Times New Roman"/>
        </w:rPr>
        <w:t xml:space="preserve"> </w:t>
      </w:r>
      <w:r w:rsidRPr="00B925AC">
        <w:rPr>
          <w:rFonts w:ascii="Times New Roman" w:hAnsi="Times New Roman"/>
        </w:rPr>
        <w:t xml:space="preserve">tension. While </w:t>
      </w:r>
      <w:r w:rsidRPr="00B925AC">
        <w:rPr>
          <w:rFonts w:ascii="Times New Roman" w:hAnsi="Times New Roman"/>
        </w:rPr>
        <w:lastRenderedPageBreak/>
        <w:t>Wilson believed that Republican’s support of black voting rights “cost the party . . . a quarter of a million votes” in the 1868 election and was broadly unpopular across the country, he maintained that his “doctrine is, no matter how unpopular it is, no matter what it costs, no matter whether it brings victory or defeat, it is our duty to hope on and struggle on and work until we make the humblest citizen of the United States the peer and the equal in rights and privileges of every other citizen of the United States.”</w:t>
      </w:r>
      <w:r w:rsidRPr="00B925AC">
        <w:rPr>
          <w:rStyle w:val="FootnoteReference"/>
          <w:rFonts w:ascii="Times New Roman" w:hAnsi="Times New Roman"/>
        </w:rPr>
        <w:footnoteReference w:id="200"/>
      </w:r>
    </w:p>
    <w:p w14:paraId="6371E52E" w14:textId="45111544" w:rsidR="00653E86" w:rsidRPr="00B925AC" w:rsidRDefault="009A39A1" w:rsidP="00132BEC">
      <w:pPr>
        <w:rPr>
          <w:rFonts w:ascii="Times New Roman" w:hAnsi="Times New Roman"/>
        </w:rPr>
      </w:pPr>
      <w:r w:rsidRPr="00B925AC">
        <w:rPr>
          <w:rFonts w:ascii="Times New Roman" w:hAnsi="Times New Roman"/>
        </w:rPr>
        <w:t xml:space="preserve">The Second Reconstruction also featured </w:t>
      </w:r>
      <w:r w:rsidR="004F3B3F" w:rsidRPr="00B925AC">
        <w:rPr>
          <w:rFonts w:ascii="Times New Roman" w:hAnsi="Times New Roman"/>
        </w:rPr>
        <w:t xml:space="preserve">intra-party debates over minority rights. </w:t>
      </w:r>
      <w:r w:rsidR="006E6377" w:rsidRPr="00B925AC">
        <w:rPr>
          <w:rFonts w:ascii="Times New Roman" w:hAnsi="Times New Roman"/>
        </w:rPr>
        <w:t xml:space="preserve">After his brother’s death, even as President Johnson called for urgent action on civil rights, Attorney General </w:t>
      </w:r>
      <w:r w:rsidR="008C1ED7" w:rsidRPr="00B925AC">
        <w:rPr>
          <w:rFonts w:ascii="Times New Roman" w:hAnsi="Times New Roman"/>
        </w:rPr>
        <w:t>Robert Kennedy speculated that the Democrats would lose two votes for every one they gained by moving forward.</w:t>
      </w:r>
      <w:r w:rsidR="008C1ED7" w:rsidRPr="00B925AC">
        <w:rPr>
          <w:rStyle w:val="FootnoteReference"/>
          <w:rFonts w:ascii="Times New Roman" w:hAnsi="Times New Roman"/>
        </w:rPr>
        <w:footnoteReference w:id="201"/>
      </w:r>
      <w:r w:rsidR="008C1ED7" w:rsidRPr="00B925AC">
        <w:rPr>
          <w:rFonts w:ascii="Times New Roman" w:hAnsi="Times New Roman"/>
        </w:rPr>
        <w:t xml:space="preserve"> Yet move forward they did.</w:t>
      </w:r>
      <w:r w:rsidR="00146C40" w:rsidRPr="00B925AC">
        <w:rPr>
          <w:rFonts w:ascii="Times New Roman" w:hAnsi="Times New Roman"/>
        </w:rPr>
        <w:t xml:space="preserve"> </w:t>
      </w:r>
      <w:r w:rsidR="00617390" w:rsidRPr="00B925AC">
        <w:rPr>
          <w:rFonts w:ascii="Times New Roman" w:hAnsi="Times New Roman"/>
        </w:rPr>
        <w:t>D</w:t>
      </w:r>
      <w:r w:rsidR="00146C40" w:rsidRPr="00B925AC">
        <w:rPr>
          <w:rFonts w:ascii="Times New Roman" w:hAnsi="Times New Roman"/>
        </w:rPr>
        <w:t xml:space="preserve">evelopments in the 1970s </w:t>
      </w:r>
      <w:r w:rsidR="005A612C" w:rsidRPr="00B925AC">
        <w:rPr>
          <w:rFonts w:ascii="Times New Roman" w:hAnsi="Times New Roman"/>
        </w:rPr>
        <w:t xml:space="preserve">and 1980s </w:t>
      </w:r>
      <w:r w:rsidR="00146C40" w:rsidRPr="00B925AC">
        <w:rPr>
          <w:rFonts w:ascii="Times New Roman" w:hAnsi="Times New Roman"/>
        </w:rPr>
        <w:t>further deepened Democratic disagreement over the electorally wise path on civil rights.</w:t>
      </w:r>
      <w:r w:rsidR="00146C40" w:rsidRPr="00B925AC">
        <w:rPr>
          <w:rStyle w:val="FootnoteReference"/>
          <w:rFonts w:ascii="Times New Roman" w:hAnsi="Times New Roman"/>
        </w:rPr>
        <w:footnoteReference w:id="202"/>
      </w:r>
      <w:r w:rsidR="00617390" w:rsidRPr="00B925AC">
        <w:rPr>
          <w:rFonts w:ascii="Times New Roman" w:hAnsi="Times New Roman"/>
        </w:rPr>
        <w:t xml:space="preserve"> Similarly, after winning over gay and lesbian voters in the 1970s, the </w:t>
      </w:r>
      <w:r w:rsidR="00994B61" w:rsidRPr="00B925AC">
        <w:rPr>
          <w:rFonts w:ascii="Times New Roman" w:hAnsi="Times New Roman"/>
        </w:rPr>
        <w:t>Democratic Party became concerned about Republican claims that Democrats represented only special interests, including identity-based minority groups.</w:t>
      </w:r>
      <w:r w:rsidR="002175F9" w:rsidRPr="00B925AC">
        <w:rPr>
          <w:rStyle w:val="FootnoteReference"/>
          <w:rFonts w:ascii="Times New Roman" w:hAnsi="Times New Roman"/>
        </w:rPr>
        <w:footnoteReference w:id="203"/>
      </w:r>
      <w:r w:rsidR="002175F9" w:rsidRPr="00B925AC">
        <w:rPr>
          <w:rFonts w:ascii="Times New Roman" w:hAnsi="Times New Roman"/>
        </w:rPr>
        <w:t xml:space="preserve"> While the party continued to push for gay and lesbian rights</w:t>
      </w:r>
      <w:r w:rsidR="00527566" w:rsidRPr="00B925AC">
        <w:rPr>
          <w:rFonts w:ascii="Times New Roman" w:hAnsi="Times New Roman"/>
        </w:rPr>
        <w:t xml:space="preserve"> through the 1992 Clinton campaig</w:t>
      </w:r>
      <w:r w:rsidR="00B64F71" w:rsidRPr="00B925AC">
        <w:rPr>
          <w:rFonts w:ascii="Times New Roman" w:hAnsi="Times New Roman"/>
        </w:rPr>
        <w:t xml:space="preserve">n, </w:t>
      </w:r>
      <w:r w:rsidR="00527566" w:rsidRPr="00B925AC">
        <w:rPr>
          <w:rFonts w:ascii="Times New Roman" w:hAnsi="Times New Roman"/>
        </w:rPr>
        <w:t xml:space="preserve">Democrats hotly debated whether this strategy was </w:t>
      </w:r>
      <w:r w:rsidR="00B023A6" w:rsidRPr="00B925AC">
        <w:rPr>
          <w:rFonts w:ascii="Times New Roman" w:hAnsi="Times New Roman"/>
        </w:rPr>
        <w:t>politically advantageous.</w:t>
      </w:r>
      <w:r w:rsidR="00124283" w:rsidRPr="00B925AC">
        <w:rPr>
          <w:rStyle w:val="FootnoteReference"/>
          <w:rFonts w:ascii="Times New Roman" w:hAnsi="Times New Roman"/>
        </w:rPr>
        <w:footnoteReference w:id="204"/>
      </w:r>
    </w:p>
    <w:p w14:paraId="5522C64C" w14:textId="4AD27FF5" w:rsidR="00BE06EE" w:rsidRPr="00B925AC" w:rsidRDefault="000937AD" w:rsidP="00132BEC">
      <w:pPr>
        <w:rPr>
          <w:rFonts w:ascii="Times New Roman" w:hAnsi="Times New Roman"/>
        </w:rPr>
      </w:pPr>
      <w:r w:rsidRPr="00B925AC">
        <w:rPr>
          <w:rFonts w:ascii="Times New Roman" w:hAnsi="Times New Roman"/>
        </w:rPr>
        <w:t xml:space="preserve">Modern </w:t>
      </w:r>
      <w:r w:rsidR="00BE06EE" w:rsidRPr="00B925AC">
        <w:rPr>
          <w:rFonts w:ascii="Times New Roman" w:hAnsi="Times New Roman"/>
        </w:rPr>
        <w:t xml:space="preserve">Republicans have also felt torn between </w:t>
      </w:r>
      <w:r w:rsidR="008557A4" w:rsidRPr="00B925AC">
        <w:rPr>
          <w:rFonts w:ascii="Times New Roman" w:hAnsi="Times New Roman"/>
        </w:rPr>
        <w:t>defending coalition partners and appealing to the median voter.</w:t>
      </w:r>
      <w:r w:rsidR="008557A4" w:rsidRPr="00B925AC">
        <w:rPr>
          <w:rStyle w:val="FootnoteReference"/>
          <w:rFonts w:ascii="Times New Roman" w:hAnsi="Times New Roman"/>
        </w:rPr>
        <w:footnoteReference w:id="205"/>
      </w:r>
      <w:r w:rsidR="00DC7501" w:rsidRPr="00B925AC">
        <w:rPr>
          <w:rFonts w:ascii="Times New Roman" w:hAnsi="Times New Roman"/>
        </w:rPr>
        <w:t xml:space="preserve"> Even as he developed his famous southern strategy to appeal to racially conservative Whites, </w:t>
      </w:r>
      <w:r w:rsidR="00094E87" w:rsidRPr="00B925AC">
        <w:rPr>
          <w:rFonts w:ascii="Times New Roman" w:hAnsi="Times New Roman"/>
        </w:rPr>
        <w:t xml:space="preserve">Richard Nixon worried that an </w:t>
      </w:r>
      <w:r w:rsidR="00094E87" w:rsidRPr="00B925AC">
        <w:rPr>
          <w:rFonts w:ascii="Times New Roman" w:hAnsi="Times New Roman"/>
        </w:rPr>
        <w:lastRenderedPageBreak/>
        <w:t>overtly racist message would put him outside of the mainstream of American political thought.</w:t>
      </w:r>
      <w:r w:rsidR="00237661" w:rsidRPr="00B925AC">
        <w:rPr>
          <w:rStyle w:val="FootnoteReference"/>
          <w:rFonts w:ascii="Times New Roman" w:hAnsi="Times New Roman"/>
        </w:rPr>
        <w:footnoteReference w:id="206"/>
      </w:r>
      <w:r w:rsidR="00237661" w:rsidRPr="00B925AC">
        <w:rPr>
          <w:rFonts w:ascii="Times New Roman" w:hAnsi="Times New Roman"/>
        </w:rPr>
        <w:t xml:space="preserve"> In response, he supported affirmative action policies that were progressive by </w:t>
      </w:r>
      <w:r w:rsidR="00EB69E1" w:rsidRPr="00B925AC">
        <w:rPr>
          <w:rFonts w:ascii="Times New Roman" w:hAnsi="Times New Roman"/>
        </w:rPr>
        <w:t>the standards of his time and ours.</w:t>
      </w:r>
      <w:r w:rsidR="00EB69E1" w:rsidRPr="00B925AC">
        <w:rPr>
          <w:rStyle w:val="FootnoteReference"/>
          <w:rFonts w:ascii="Times New Roman" w:hAnsi="Times New Roman"/>
        </w:rPr>
        <w:footnoteReference w:id="207"/>
      </w:r>
      <w:r w:rsidR="00EB69E1" w:rsidRPr="00B925AC">
        <w:rPr>
          <w:rFonts w:ascii="Times New Roman" w:hAnsi="Times New Roman"/>
        </w:rPr>
        <w:t xml:space="preserve"> Republicans have also grappled with how much to embrace Christian conservatives</w:t>
      </w:r>
      <w:r w:rsidR="00EB69E1" w:rsidRPr="00B925AC">
        <w:rPr>
          <w:rStyle w:val="FootnoteReference"/>
          <w:rFonts w:ascii="Times New Roman" w:hAnsi="Times New Roman"/>
        </w:rPr>
        <w:footnoteReference w:id="208"/>
      </w:r>
      <w:r w:rsidR="00AE152E" w:rsidRPr="00B925AC">
        <w:rPr>
          <w:rFonts w:ascii="Times New Roman" w:hAnsi="Times New Roman"/>
        </w:rPr>
        <w:t xml:space="preserve"> and</w:t>
      </w:r>
      <w:r w:rsidR="00371674" w:rsidRPr="00B925AC">
        <w:rPr>
          <w:rFonts w:ascii="Times New Roman" w:hAnsi="Times New Roman"/>
        </w:rPr>
        <w:t xml:space="preserve"> </w:t>
      </w:r>
      <w:r w:rsidR="00E009F1" w:rsidRPr="00B925AC">
        <w:rPr>
          <w:rFonts w:ascii="Times New Roman" w:hAnsi="Times New Roman"/>
        </w:rPr>
        <w:t>reactionary isolationists</w:t>
      </w:r>
      <w:r w:rsidR="00AE152E" w:rsidRPr="00B925AC">
        <w:rPr>
          <w:rFonts w:ascii="Times New Roman" w:hAnsi="Times New Roman"/>
        </w:rPr>
        <w:t>.</w:t>
      </w:r>
      <w:r w:rsidR="002F3A48" w:rsidRPr="00B925AC">
        <w:rPr>
          <w:rStyle w:val="FootnoteReference"/>
          <w:rFonts w:ascii="Times New Roman" w:hAnsi="Times New Roman"/>
        </w:rPr>
        <w:footnoteReference w:id="209"/>
      </w:r>
      <w:r w:rsidR="00E009F1" w:rsidRPr="00B925AC">
        <w:rPr>
          <w:rFonts w:ascii="Times New Roman" w:hAnsi="Times New Roman"/>
        </w:rPr>
        <w:t xml:space="preserve"> In both cases, the party simultaneously </w:t>
      </w:r>
      <w:r w:rsidR="00F86AAE" w:rsidRPr="00B925AC">
        <w:rPr>
          <w:rFonts w:ascii="Times New Roman" w:hAnsi="Times New Roman"/>
        </w:rPr>
        <w:t>worried about embracing the minority group while continuing to treat it as a coalition partner.</w:t>
      </w:r>
    </w:p>
    <w:p w14:paraId="53C08EA0" w14:textId="5A2901F4" w:rsidR="00F92A4A" w:rsidRPr="00B925AC" w:rsidRDefault="008A26B6" w:rsidP="00F14ADE">
      <w:pPr>
        <w:rPr>
          <w:rFonts w:ascii="Times New Roman" w:hAnsi="Times New Roman"/>
        </w:rPr>
      </w:pPr>
      <w:r w:rsidRPr="00B925AC">
        <w:rPr>
          <w:rFonts w:ascii="Times New Roman" w:hAnsi="Times New Roman"/>
        </w:rPr>
        <w:t xml:space="preserve">This section will consider what politicians will do when faced with such a difficult situation. I argue that, while </w:t>
      </w:r>
      <w:r w:rsidR="00C0270D" w:rsidRPr="00B925AC">
        <w:rPr>
          <w:rFonts w:ascii="Times New Roman" w:hAnsi="Times New Roman"/>
        </w:rPr>
        <w:t xml:space="preserve">many answers are possible, the </w:t>
      </w:r>
      <w:proofErr w:type="spellStart"/>
      <w:r w:rsidR="00AF1158" w:rsidRPr="00B925AC">
        <w:rPr>
          <w:rFonts w:ascii="Times New Roman" w:hAnsi="Times New Roman"/>
        </w:rPr>
        <w:t>countermajoritarian</w:t>
      </w:r>
      <w:proofErr w:type="spellEnd"/>
      <w:r w:rsidR="00AF1158" w:rsidRPr="00B925AC">
        <w:rPr>
          <w:rFonts w:ascii="Times New Roman" w:hAnsi="Times New Roman"/>
        </w:rPr>
        <w:t xml:space="preserve"> </w:t>
      </w:r>
      <w:r w:rsidR="00C0270D" w:rsidRPr="00B925AC">
        <w:rPr>
          <w:rFonts w:ascii="Times New Roman" w:hAnsi="Times New Roman"/>
        </w:rPr>
        <w:t>tension can push politicians in a normatively desirable direction.</w:t>
      </w:r>
      <w:r w:rsidR="004D1CF6" w:rsidRPr="00B925AC">
        <w:rPr>
          <w:rFonts w:ascii="Times New Roman" w:hAnsi="Times New Roman"/>
        </w:rPr>
        <w:t xml:space="preserve"> How and to what degree will depend in part </w:t>
      </w:r>
      <w:r w:rsidR="00323EEA" w:rsidRPr="00B925AC">
        <w:rPr>
          <w:rFonts w:ascii="Times New Roman" w:hAnsi="Times New Roman"/>
        </w:rPr>
        <w:t>on the institutional framework in which they operate.</w:t>
      </w:r>
      <w:r w:rsidR="00F14ADE" w:rsidRPr="00B925AC">
        <w:rPr>
          <w:rFonts w:ascii="Times New Roman" w:hAnsi="Times New Roman"/>
        </w:rPr>
        <w:t xml:space="preserve"> I first </w:t>
      </w:r>
      <w:r w:rsidR="002D48FD" w:rsidRPr="00B925AC">
        <w:rPr>
          <w:rFonts w:ascii="Times New Roman" w:hAnsi="Times New Roman"/>
        </w:rPr>
        <w:t xml:space="preserve">briefly </w:t>
      </w:r>
      <w:r w:rsidR="00F14ADE" w:rsidRPr="00B925AC">
        <w:rPr>
          <w:rFonts w:ascii="Times New Roman" w:hAnsi="Times New Roman"/>
        </w:rPr>
        <w:t xml:space="preserve">consider three </w:t>
      </w:r>
      <w:r w:rsidR="00F92A4A" w:rsidRPr="00B925AC">
        <w:rPr>
          <w:rFonts w:ascii="Times New Roman" w:hAnsi="Times New Roman"/>
        </w:rPr>
        <w:t xml:space="preserve">options that have been discussed by scholars: moderation, leadership, and outsourcing to the courts. I then turn </w:t>
      </w:r>
      <w:r w:rsidR="00FB66FF" w:rsidRPr="00B925AC">
        <w:rPr>
          <w:rFonts w:ascii="Times New Roman" w:hAnsi="Times New Roman"/>
        </w:rPr>
        <w:t>to a new concept</w:t>
      </w:r>
      <w:r w:rsidR="00534D9B" w:rsidRPr="00B925AC">
        <w:rPr>
          <w:rFonts w:ascii="Times New Roman" w:hAnsi="Times New Roman"/>
        </w:rPr>
        <w:t>, which I call constraint shifting.</w:t>
      </w:r>
    </w:p>
    <w:p w14:paraId="402C59E0" w14:textId="408F4917" w:rsidR="00F13C51" w:rsidRPr="00B925AC" w:rsidRDefault="00F13C51" w:rsidP="00F13C51">
      <w:pPr>
        <w:pStyle w:val="Heading3"/>
        <w:rPr>
          <w:rFonts w:ascii="Times New Roman" w:hAnsi="Times New Roman"/>
        </w:rPr>
      </w:pPr>
      <w:r w:rsidRPr="00B925AC">
        <w:rPr>
          <w:rFonts w:ascii="Times New Roman" w:hAnsi="Times New Roman"/>
        </w:rPr>
        <w:t>Moderation</w:t>
      </w:r>
    </w:p>
    <w:p w14:paraId="4D314B60" w14:textId="66E7D6C0" w:rsidR="00F13C51" w:rsidRPr="00B925AC" w:rsidRDefault="00F13C51" w:rsidP="00F13C51">
      <w:pPr>
        <w:rPr>
          <w:rFonts w:ascii="Times New Roman" w:hAnsi="Times New Roman"/>
        </w:rPr>
      </w:pPr>
      <w:r w:rsidRPr="00B925AC">
        <w:rPr>
          <w:rFonts w:ascii="Times New Roman" w:hAnsi="Times New Roman"/>
        </w:rPr>
        <w:t xml:space="preserve">As Paul </w:t>
      </w:r>
      <w:proofErr w:type="spellStart"/>
      <w:r w:rsidRPr="00B925AC">
        <w:rPr>
          <w:rFonts w:ascii="Times New Roman" w:hAnsi="Times New Roman"/>
        </w:rPr>
        <w:t>Frymer</w:t>
      </w:r>
      <w:proofErr w:type="spellEnd"/>
      <w:r w:rsidRPr="00B925AC">
        <w:rPr>
          <w:rFonts w:ascii="Times New Roman" w:hAnsi="Times New Roman"/>
        </w:rPr>
        <w:t xml:space="preserve"> has documented, politicians sometimes choose to </w:t>
      </w:r>
      <w:r w:rsidR="002D48FD" w:rsidRPr="00B925AC">
        <w:rPr>
          <w:rFonts w:ascii="Times New Roman" w:hAnsi="Times New Roman"/>
        </w:rPr>
        <w:t>address tensions within their political coalitions by throwing coalition partners under the bus.</w:t>
      </w:r>
      <w:r w:rsidR="00684E52" w:rsidRPr="00B925AC">
        <w:rPr>
          <w:rStyle w:val="FootnoteReference"/>
          <w:rFonts w:ascii="Times New Roman" w:hAnsi="Times New Roman"/>
        </w:rPr>
        <w:footnoteReference w:id="210"/>
      </w:r>
      <w:r w:rsidR="002D48FD" w:rsidRPr="00B925AC">
        <w:rPr>
          <w:rFonts w:ascii="Times New Roman" w:hAnsi="Times New Roman"/>
        </w:rPr>
        <w:t xml:space="preserve"> </w:t>
      </w:r>
      <w:r w:rsidR="006F7085" w:rsidRPr="00B925AC">
        <w:rPr>
          <w:rFonts w:ascii="Times New Roman" w:hAnsi="Times New Roman"/>
        </w:rPr>
        <w:t>Republicans in the 19</w:t>
      </w:r>
      <w:r w:rsidR="006F7085" w:rsidRPr="00B925AC">
        <w:rPr>
          <w:rFonts w:ascii="Times New Roman" w:hAnsi="Times New Roman"/>
          <w:vertAlign w:val="superscript"/>
        </w:rPr>
        <w:t>th</w:t>
      </w:r>
      <w:r w:rsidR="006F7085" w:rsidRPr="00B925AC">
        <w:rPr>
          <w:rFonts w:ascii="Times New Roman" w:hAnsi="Times New Roman"/>
        </w:rPr>
        <w:t xml:space="preserve"> Century gave up on Reconstruction.</w:t>
      </w:r>
      <w:bookmarkStart w:id="28" w:name="_Ref186198543"/>
      <w:r w:rsidR="00684E52" w:rsidRPr="00B925AC">
        <w:rPr>
          <w:rStyle w:val="FootnoteReference"/>
          <w:rFonts w:ascii="Times New Roman" w:hAnsi="Times New Roman"/>
        </w:rPr>
        <w:footnoteReference w:id="211"/>
      </w:r>
      <w:bookmarkEnd w:id="28"/>
      <w:r w:rsidR="00684E52" w:rsidRPr="00B925AC">
        <w:rPr>
          <w:rFonts w:ascii="Times New Roman" w:hAnsi="Times New Roman"/>
        </w:rPr>
        <w:t xml:space="preserve"> Democrats </w:t>
      </w:r>
      <w:r w:rsidR="00BC6154" w:rsidRPr="00B925AC">
        <w:rPr>
          <w:rFonts w:ascii="Times New Roman" w:hAnsi="Times New Roman"/>
        </w:rPr>
        <w:t>tempered their support for busing and other controversial policies</w:t>
      </w:r>
      <w:r w:rsidR="00706959" w:rsidRPr="00B925AC">
        <w:rPr>
          <w:rFonts w:ascii="Times New Roman" w:hAnsi="Times New Roman"/>
        </w:rPr>
        <w:t xml:space="preserve"> in the 1970s</w:t>
      </w:r>
      <w:r w:rsidR="00BC6154" w:rsidRPr="00B925AC">
        <w:rPr>
          <w:rStyle w:val="FootnoteReference"/>
          <w:rFonts w:ascii="Times New Roman" w:hAnsi="Times New Roman"/>
        </w:rPr>
        <w:footnoteReference w:id="212"/>
      </w:r>
      <w:r w:rsidR="00706959" w:rsidRPr="00B925AC">
        <w:rPr>
          <w:rFonts w:ascii="Times New Roman" w:hAnsi="Times New Roman"/>
        </w:rPr>
        <w:t xml:space="preserve"> and sought to avoid specific discussion of gay and lesbian issues in the 1980s.</w:t>
      </w:r>
      <w:r w:rsidR="00706959" w:rsidRPr="00B925AC">
        <w:rPr>
          <w:rStyle w:val="FootnoteReference"/>
          <w:rFonts w:ascii="Times New Roman" w:hAnsi="Times New Roman"/>
        </w:rPr>
        <w:footnoteReference w:id="213"/>
      </w:r>
      <w:r w:rsidR="006E5513" w:rsidRPr="00B925AC">
        <w:rPr>
          <w:rFonts w:ascii="Times New Roman" w:hAnsi="Times New Roman"/>
        </w:rPr>
        <w:t xml:space="preserve"> Famously, Bill Clinton signaled his </w:t>
      </w:r>
      <w:r w:rsidR="00CB32BC" w:rsidRPr="00B925AC">
        <w:rPr>
          <w:rFonts w:ascii="Times New Roman" w:hAnsi="Times New Roman"/>
        </w:rPr>
        <w:t>independence from the Democratic coalition by attacking an obscure rapper named Sistah Souljah.</w:t>
      </w:r>
      <w:r w:rsidR="00CB32BC" w:rsidRPr="00B925AC">
        <w:rPr>
          <w:rStyle w:val="FootnoteReference"/>
          <w:rFonts w:ascii="Times New Roman" w:hAnsi="Times New Roman"/>
        </w:rPr>
        <w:footnoteReference w:id="214"/>
      </w:r>
      <w:r w:rsidR="001C44D5" w:rsidRPr="00B925AC">
        <w:rPr>
          <w:rFonts w:ascii="Times New Roman" w:hAnsi="Times New Roman"/>
        </w:rPr>
        <w:t xml:space="preserve"> Examples could be multiplied.</w:t>
      </w:r>
    </w:p>
    <w:p w14:paraId="4A1A0AE7" w14:textId="344E2852" w:rsidR="001C44D5" w:rsidRPr="00B925AC" w:rsidRDefault="001C44D5" w:rsidP="00F13C51">
      <w:pPr>
        <w:rPr>
          <w:rFonts w:ascii="Times New Roman" w:hAnsi="Times New Roman"/>
        </w:rPr>
      </w:pPr>
      <w:r w:rsidRPr="00B925AC">
        <w:rPr>
          <w:rFonts w:ascii="Times New Roman" w:hAnsi="Times New Roman"/>
        </w:rPr>
        <w:t xml:space="preserve">As </w:t>
      </w:r>
      <w:proofErr w:type="spellStart"/>
      <w:r w:rsidRPr="00B925AC">
        <w:rPr>
          <w:rFonts w:ascii="Times New Roman" w:hAnsi="Times New Roman"/>
        </w:rPr>
        <w:t>Frymer</w:t>
      </w:r>
      <w:proofErr w:type="spellEnd"/>
      <w:r w:rsidRPr="00B925AC">
        <w:rPr>
          <w:rFonts w:ascii="Times New Roman" w:hAnsi="Times New Roman"/>
        </w:rPr>
        <w:t xml:space="preserve"> puts it, politicians concerned about being punished by the general electorate for backing a minority group – his focus is Black </w:t>
      </w:r>
      <w:r w:rsidR="00C35329" w:rsidRPr="00B925AC">
        <w:rPr>
          <w:rFonts w:ascii="Times New Roman" w:hAnsi="Times New Roman"/>
        </w:rPr>
        <w:t>Americans</w:t>
      </w:r>
      <w:r w:rsidRPr="00B925AC">
        <w:rPr>
          <w:rFonts w:ascii="Times New Roman" w:hAnsi="Times New Roman"/>
        </w:rPr>
        <w:t xml:space="preserve"> </w:t>
      </w:r>
      <w:r w:rsidR="00182169" w:rsidRPr="00B925AC">
        <w:rPr>
          <w:rFonts w:ascii="Times New Roman" w:hAnsi="Times New Roman"/>
        </w:rPr>
        <w:t>–</w:t>
      </w:r>
      <w:r w:rsidRPr="00B925AC">
        <w:rPr>
          <w:rFonts w:ascii="Times New Roman" w:hAnsi="Times New Roman"/>
        </w:rPr>
        <w:t xml:space="preserve"> </w:t>
      </w:r>
      <w:r w:rsidR="00182169" w:rsidRPr="00B925AC">
        <w:rPr>
          <w:rFonts w:ascii="Times New Roman" w:hAnsi="Times New Roman"/>
        </w:rPr>
        <w:t xml:space="preserve">shift the dimension on which partisan combat occurs. Rather than fighting about race, </w:t>
      </w:r>
      <w:r w:rsidR="00182169" w:rsidRPr="00B925AC">
        <w:rPr>
          <w:rFonts w:ascii="Times New Roman" w:hAnsi="Times New Roman"/>
        </w:rPr>
        <w:lastRenderedPageBreak/>
        <w:t>Reconstruction Republicans sought to turn elections into battles over economics</w:t>
      </w:r>
      <w:r w:rsidR="00CB6971" w:rsidRPr="00B925AC">
        <w:rPr>
          <w:rFonts w:ascii="Times New Roman" w:hAnsi="Times New Roman"/>
        </w:rPr>
        <w:t>,</w:t>
      </w:r>
      <w:r w:rsidR="00743B7E" w:rsidRPr="00B925AC">
        <w:rPr>
          <w:rStyle w:val="FootnoteReference"/>
          <w:rFonts w:ascii="Times New Roman" w:hAnsi="Times New Roman"/>
        </w:rPr>
        <w:footnoteReference w:id="215"/>
      </w:r>
      <w:r w:rsidR="00CB6971" w:rsidRPr="00B925AC">
        <w:rPr>
          <w:rFonts w:ascii="Times New Roman" w:hAnsi="Times New Roman"/>
        </w:rPr>
        <w:t xml:space="preserve"> as did New Deal Democrats under FDR.</w:t>
      </w:r>
      <w:r w:rsidR="00A70158" w:rsidRPr="00B925AC">
        <w:rPr>
          <w:rStyle w:val="FootnoteReference"/>
          <w:rFonts w:ascii="Times New Roman" w:hAnsi="Times New Roman"/>
        </w:rPr>
        <w:footnoteReference w:id="216"/>
      </w:r>
      <w:r w:rsidR="00CB6971" w:rsidRPr="00B925AC">
        <w:rPr>
          <w:rFonts w:ascii="Times New Roman" w:hAnsi="Times New Roman"/>
        </w:rPr>
        <w:t xml:space="preserve"> </w:t>
      </w:r>
      <w:r w:rsidR="004F5D64" w:rsidRPr="00B925AC">
        <w:rPr>
          <w:rFonts w:ascii="Times New Roman" w:hAnsi="Times New Roman"/>
        </w:rPr>
        <w:t>Rather than fight about LGBT rights, Democratic leaders sought to convey their views in terms of “thematic”</w:t>
      </w:r>
      <w:r w:rsidR="00EA7B5D" w:rsidRPr="00B925AC">
        <w:rPr>
          <w:rFonts w:ascii="Times New Roman" w:hAnsi="Times New Roman"/>
        </w:rPr>
        <w:t xml:space="preserve"> positions, general statements about fair treatment that failed to call out the unfair treatment experienced by particular groups.</w:t>
      </w:r>
      <w:r w:rsidR="00250C00" w:rsidRPr="00B925AC">
        <w:rPr>
          <w:rStyle w:val="FootnoteReference"/>
          <w:rFonts w:ascii="Times New Roman" w:hAnsi="Times New Roman"/>
        </w:rPr>
        <w:footnoteReference w:id="217"/>
      </w:r>
      <w:r w:rsidR="00EA7B5D" w:rsidRPr="00B925AC">
        <w:rPr>
          <w:rFonts w:ascii="Times New Roman" w:hAnsi="Times New Roman"/>
        </w:rPr>
        <w:t xml:space="preserve"> In our own time, </w:t>
      </w:r>
      <w:r w:rsidR="008D235B" w:rsidRPr="00B925AC">
        <w:rPr>
          <w:rFonts w:ascii="Times New Roman" w:hAnsi="Times New Roman"/>
        </w:rPr>
        <w:t xml:space="preserve">many progressive Democrats have called for emphasizing class over </w:t>
      </w:r>
      <w:r w:rsidR="0050347B" w:rsidRPr="00B925AC">
        <w:rPr>
          <w:rFonts w:ascii="Times New Roman" w:hAnsi="Times New Roman"/>
        </w:rPr>
        <w:t>“identity politics.”</w:t>
      </w:r>
      <w:r w:rsidR="00BE7E46" w:rsidRPr="00B925AC">
        <w:rPr>
          <w:rStyle w:val="FootnoteReference"/>
          <w:rFonts w:ascii="Times New Roman" w:hAnsi="Times New Roman"/>
        </w:rPr>
        <w:footnoteReference w:id="218"/>
      </w:r>
    </w:p>
    <w:p w14:paraId="74D4CA79" w14:textId="77777777" w:rsidR="00C16077" w:rsidRPr="00B925AC" w:rsidRDefault="003C1E99" w:rsidP="00F13C51">
      <w:pPr>
        <w:rPr>
          <w:rFonts w:ascii="Times New Roman" w:hAnsi="Times New Roman"/>
        </w:rPr>
      </w:pPr>
      <w:r w:rsidRPr="00B925AC">
        <w:rPr>
          <w:rFonts w:ascii="Times New Roman" w:hAnsi="Times New Roman"/>
        </w:rPr>
        <w:t xml:space="preserve">It is certainly true, and no surprise, that </w:t>
      </w:r>
      <w:r w:rsidR="00F27CCA" w:rsidRPr="00B925AC">
        <w:rPr>
          <w:rFonts w:ascii="Times New Roman" w:hAnsi="Times New Roman"/>
        </w:rPr>
        <w:t xml:space="preserve">politicians </w:t>
      </w:r>
      <w:r w:rsidR="00116520" w:rsidRPr="00B925AC">
        <w:rPr>
          <w:rFonts w:ascii="Times New Roman" w:hAnsi="Times New Roman"/>
        </w:rPr>
        <w:t xml:space="preserve">moderate their support for </w:t>
      </w:r>
      <w:r w:rsidR="00AA6A50" w:rsidRPr="00B925AC">
        <w:rPr>
          <w:rFonts w:ascii="Times New Roman" w:hAnsi="Times New Roman"/>
        </w:rPr>
        <w:t xml:space="preserve">minority </w:t>
      </w:r>
      <w:r w:rsidR="00082D75" w:rsidRPr="00B925AC">
        <w:rPr>
          <w:rFonts w:ascii="Times New Roman" w:hAnsi="Times New Roman"/>
        </w:rPr>
        <w:t xml:space="preserve">group positions in response to general election incentives. But the situation should not be oversold. </w:t>
      </w:r>
      <w:r w:rsidR="002F48E2" w:rsidRPr="00B925AC">
        <w:rPr>
          <w:rFonts w:ascii="Times New Roman" w:hAnsi="Times New Roman"/>
        </w:rPr>
        <w:t xml:space="preserve">The moderating parties generally remain significantly more supportive of their coalition partners than the other party. </w:t>
      </w:r>
      <w:r w:rsidR="0031217C" w:rsidRPr="00B925AC">
        <w:rPr>
          <w:rFonts w:ascii="Times New Roman" w:hAnsi="Times New Roman"/>
        </w:rPr>
        <w:t xml:space="preserve">Even as Bill Clinton </w:t>
      </w:r>
      <w:r w:rsidR="00146DD7" w:rsidRPr="00B925AC">
        <w:rPr>
          <w:rFonts w:ascii="Times New Roman" w:hAnsi="Times New Roman"/>
        </w:rPr>
        <w:t>criticized Sistah Souljah, he pursued fairly progressive policies</w:t>
      </w:r>
      <w:r w:rsidR="00D0324F" w:rsidRPr="00B925AC">
        <w:rPr>
          <w:rFonts w:ascii="Times New Roman" w:hAnsi="Times New Roman"/>
        </w:rPr>
        <w:t>, at least relative to Republican doctrine.</w:t>
      </w:r>
      <w:r w:rsidR="00E33131" w:rsidRPr="00B925AC">
        <w:rPr>
          <w:rStyle w:val="FootnoteReference"/>
          <w:rFonts w:ascii="Times New Roman" w:hAnsi="Times New Roman"/>
        </w:rPr>
        <w:footnoteReference w:id="219"/>
      </w:r>
      <w:r w:rsidR="00E33131" w:rsidRPr="00B925AC">
        <w:rPr>
          <w:rFonts w:ascii="Times New Roman" w:hAnsi="Times New Roman"/>
        </w:rPr>
        <w:t xml:space="preserve"> </w:t>
      </w:r>
    </w:p>
    <w:p w14:paraId="20CEC54A" w14:textId="7411B92F" w:rsidR="004402E0" w:rsidRPr="00B925AC" w:rsidRDefault="004402E0" w:rsidP="00F13C51">
      <w:pPr>
        <w:rPr>
          <w:rFonts w:ascii="Times New Roman" w:hAnsi="Times New Roman"/>
        </w:rPr>
      </w:pPr>
      <w:r w:rsidRPr="00B925AC">
        <w:rPr>
          <w:rFonts w:ascii="Times New Roman" w:hAnsi="Times New Roman"/>
        </w:rPr>
        <w:t xml:space="preserve">A similar dynamic characterizes almost all of our other examples. Democrats may have </w:t>
      </w:r>
      <w:r w:rsidR="005041B6" w:rsidRPr="00B925AC">
        <w:rPr>
          <w:rFonts w:ascii="Times New Roman" w:hAnsi="Times New Roman"/>
        </w:rPr>
        <w:t xml:space="preserve">preferred to talk about fairness, generally, not LGBT rights, specifically. But their policy proposals were well to the left of those </w:t>
      </w:r>
      <w:r w:rsidR="00FE39D9" w:rsidRPr="00B925AC">
        <w:rPr>
          <w:rFonts w:ascii="Times New Roman" w:hAnsi="Times New Roman"/>
        </w:rPr>
        <w:t>put forward by a Republican Party that often demonized gays and lesbians while ignoring the AIDS crisis.</w:t>
      </w:r>
      <w:r w:rsidR="00FF485E" w:rsidRPr="00B925AC">
        <w:rPr>
          <w:rStyle w:val="FootnoteReference"/>
          <w:rFonts w:ascii="Times New Roman" w:hAnsi="Times New Roman"/>
        </w:rPr>
        <w:footnoteReference w:id="220"/>
      </w:r>
      <w:r w:rsidR="007E21A1" w:rsidRPr="00B925AC">
        <w:rPr>
          <w:rFonts w:ascii="Times New Roman" w:hAnsi="Times New Roman"/>
        </w:rPr>
        <w:t xml:space="preserve"> Nixon may have taken some progressive stands, most notably on affirmative action, but his criticism of busing and his </w:t>
      </w:r>
      <w:r w:rsidR="009A4CE0" w:rsidRPr="00B925AC">
        <w:rPr>
          <w:rFonts w:ascii="Times New Roman" w:hAnsi="Times New Roman"/>
        </w:rPr>
        <w:t>Supreme Court appointments showed his basic fealty to a coalition of Southern and Northern racial conservatives.</w:t>
      </w:r>
      <w:r w:rsidR="00D76D0B" w:rsidRPr="00B925AC">
        <w:rPr>
          <w:rStyle w:val="FootnoteReference"/>
          <w:rFonts w:ascii="Times New Roman" w:hAnsi="Times New Roman"/>
        </w:rPr>
        <w:footnoteReference w:id="221"/>
      </w:r>
    </w:p>
    <w:p w14:paraId="3C33A160" w14:textId="2FA81757" w:rsidR="0038082F" w:rsidRPr="00B925AC" w:rsidRDefault="0038082F" w:rsidP="00F13C51">
      <w:pPr>
        <w:rPr>
          <w:rFonts w:ascii="Times New Roman" w:hAnsi="Times New Roman"/>
        </w:rPr>
      </w:pPr>
      <w:r w:rsidRPr="00B925AC">
        <w:rPr>
          <w:rFonts w:ascii="Times New Roman" w:hAnsi="Times New Roman"/>
        </w:rPr>
        <w:t>The notable exception here is 19</w:t>
      </w:r>
      <w:r w:rsidRPr="00B925AC">
        <w:rPr>
          <w:rFonts w:ascii="Times New Roman" w:hAnsi="Times New Roman"/>
          <w:vertAlign w:val="superscript"/>
        </w:rPr>
        <w:t>th</w:t>
      </w:r>
      <w:r w:rsidRPr="00B925AC">
        <w:rPr>
          <w:rFonts w:ascii="Times New Roman" w:hAnsi="Times New Roman"/>
        </w:rPr>
        <w:t xml:space="preserve"> Century Republicans. </w:t>
      </w:r>
      <w:r w:rsidR="00AD1FDD" w:rsidRPr="00B925AC">
        <w:rPr>
          <w:rFonts w:ascii="Times New Roman" w:hAnsi="Times New Roman"/>
        </w:rPr>
        <w:t>Republicans did not just moderate their approach to Reconstruction; they ran away from the whole project.</w:t>
      </w:r>
      <w:r w:rsidR="00535315" w:rsidRPr="00B925AC">
        <w:rPr>
          <w:rStyle w:val="FootnoteReference"/>
          <w:rFonts w:ascii="Times New Roman" w:hAnsi="Times New Roman"/>
        </w:rPr>
        <w:footnoteReference w:id="222"/>
      </w:r>
      <w:r w:rsidR="00AD1FDD" w:rsidRPr="00B925AC">
        <w:rPr>
          <w:rFonts w:ascii="Times New Roman" w:hAnsi="Times New Roman"/>
        </w:rPr>
        <w:t xml:space="preserve"> </w:t>
      </w:r>
      <w:r w:rsidR="00535315" w:rsidRPr="00B925AC">
        <w:rPr>
          <w:rFonts w:ascii="Times New Roman" w:hAnsi="Times New Roman"/>
        </w:rPr>
        <w:t xml:space="preserve">However, the Reconstruction example is best seen as an exception that proves the rule. </w:t>
      </w:r>
      <w:r w:rsidR="00BF2011" w:rsidRPr="00B925AC">
        <w:rPr>
          <w:rFonts w:ascii="Times New Roman" w:hAnsi="Times New Roman"/>
        </w:rPr>
        <w:t xml:space="preserve">The political dynamic that drives coalitional constitutionalism does not operate when the minority group seeking to have its rights defended cannot vote. </w:t>
      </w:r>
      <w:r w:rsidR="006869A2" w:rsidRPr="00B925AC">
        <w:rPr>
          <w:rFonts w:ascii="Times New Roman" w:hAnsi="Times New Roman"/>
        </w:rPr>
        <w:t xml:space="preserve">Republicans had to commit substantial resources </w:t>
      </w:r>
      <w:r w:rsidR="00136BA4" w:rsidRPr="00B925AC">
        <w:rPr>
          <w:rFonts w:ascii="Times New Roman" w:hAnsi="Times New Roman"/>
        </w:rPr>
        <w:t xml:space="preserve">– in terms of both money and the political capital needed to defend a continued military occupation of the </w:t>
      </w:r>
      <w:r w:rsidR="00136BA4" w:rsidRPr="00B925AC">
        <w:rPr>
          <w:rFonts w:ascii="Times New Roman" w:hAnsi="Times New Roman"/>
        </w:rPr>
        <w:lastRenderedPageBreak/>
        <w:t xml:space="preserve">South – </w:t>
      </w:r>
      <w:r w:rsidR="006869A2" w:rsidRPr="00B925AC">
        <w:rPr>
          <w:rFonts w:ascii="Times New Roman" w:hAnsi="Times New Roman"/>
        </w:rPr>
        <w:t xml:space="preserve">merely to create the politics that would </w:t>
      </w:r>
      <w:r w:rsidR="003E6D6E" w:rsidRPr="00B925AC">
        <w:rPr>
          <w:rFonts w:ascii="Times New Roman" w:hAnsi="Times New Roman"/>
        </w:rPr>
        <w:t xml:space="preserve">defend such a commitment. </w:t>
      </w:r>
      <w:r w:rsidR="0070006E" w:rsidRPr="00B925AC">
        <w:rPr>
          <w:rFonts w:ascii="Times New Roman" w:hAnsi="Times New Roman"/>
        </w:rPr>
        <w:t xml:space="preserve">It is a testament to the power of coalitional incentives that </w:t>
      </w:r>
      <w:r w:rsidR="00415EF8" w:rsidRPr="00B925AC">
        <w:rPr>
          <w:rFonts w:ascii="Times New Roman" w:hAnsi="Times New Roman"/>
        </w:rPr>
        <w:t>Radical Republicans pushed civil rights for as long as they did. As a party built around the issue of slavery, the Republicans were defined by principles</w:t>
      </w:r>
      <w:r w:rsidR="00776CF4" w:rsidRPr="00B925AC">
        <w:rPr>
          <w:rFonts w:ascii="Times New Roman" w:hAnsi="Times New Roman"/>
        </w:rPr>
        <w:t xml:space="preserve"> of equal protection, at least of a limited sort. </w:t>
      </w:r>
      <w:r w:rsidR="00EF3359" w:rsidRPr="00B925AC">
        <w:rPr>
          <w:rFonts w:ascii="Times New Roman" w:hAnsi="Times New Roman"/>
        </w:rPr>
        <w:t xml:space="preserve">But my argument here is not that principle drives politics, but that politics drives principle. </w:t>
      </w:r>
      <w:r w:rsidR="00AC363C" w:rsidRPr="00B925AC">
        <w:rPr>
          <w:rFonts w:ascii="Times New Roman" w:hAnsi="Times New Roman"/>
        </w:rPr>
        <w:t xml:space="preserve">When it became clear that Black Americans could be excluded from politics, </w:t>
      </w:r>
      <w:r w:rsidR="00B51065" w:rsidRPr="00B925AC">
        <w:rPr>
          <w:rFonts w:ascii="Times New Roman" w:hAnsi="Times New Roman"/>
        </w:rPr>
        <w:t>Republican principles had to change to accommodate the new reality.</w:t>
      </w:r>
      <w:r w:rsidR="00007623" w:rsidRPr="00B925AC">
        <w:rPr>
          <w:rFonts w:ascii="Times New Roman" w:hAnsi="Times New Roman"/>
        </w:rPr>
        <w:t xml:space="preserve"> </w:t>
      </w:r>
      <w:r w:rsidR="00206E23" w:rsidRPr="00B925AC">
        <w:rPr>
          <w:rFonts w:ascii="Times New Roman" w:hAnsi="Times New Roman"/>
        </w:rPr>
        <w:t>A unique political situation led to a unique result: a near-total betrayal of a Republican coalition partner.</w:t>
      </w:r>
    </w:p>
    <w:p w14:paraId="1FB08D01" w14:textId="229D11E9" w:rsidR="001D0376" w:rsidRPr="00B925AC" w:rsidRDefault="001D0376" w:rsidP="00660975">
      <w:pPr>
        <w:pStyle w:val="Heading3"/>
        <w:rPr>
          <w:rFonts w:ascii="Times New Roman" w:hAnsi="Times New Roman"/>
        </w:rPr>
      </w:pPr>
      <w:r w:rsidRPr="00B925AC">
        <w:rPr>
          <w:rFonts w:ascii="Times New Roman" w:hAnsi="Times New Roman"/>
        </w:rPr>
        <w:t xml:space="preserve">Outsourcing </w:t>
      </w:r>
      <w:r w:rsidR="00703119" w:rsidRPr="00B925AC">
        <w:rPr>
          <w:rFonts w:ascii="Times New Roman" w:hAnsi="Times New Roman"/>
        </w:rPr>
        <w:t xml:space="preserve">To </w:t>
      </w:r>
      <w:r w:rsidRPr="00B925AC">
        <w:rPr>
          <w:rFonts w:ascii="Times New Roman" w:hAnsi="Times New Roman"/>
        </w:rPr>
        <w:t xml:space="preserve">the </w:t>
      </w:r>
      <w:r w:rsidR="00740EC3" w:rsidRPr="00B925AC">
        <w:rPr>
          <w:rFonts w:ascii="Times New Roman" w:hAnsi="Times New Roman"/>
        </w:rPr>
        <w:t>C</w:t>
      </w:r>
      <w:r w:rsidRPr="00B925AC">
        <w:rPr>
          <w:rFonts w:ascii="Times New Roman" w:hAnsi="Times New Roman"/>
        </w:rPr>
        <w:t>ourts</w:t>
      </w:r>
    </w:p>
    <w:p w14:paraId="0101613A" w14:textId="7F9D231C" w:rsidR="001D0376" w:rsidRPr="00B925AC" w:rsidRDefault="007E1A30" w:rsidP="001D0376">
      <w:pPr>
        <w:rPr>
          <w:rFonts w:ascii="Times New Roman" w:hAnsi="Times New Roman"/>
        </w:rPr>
      </w:pPr>
      <w:r w:rsidRPr="00B925AC">
        <w:rPr>
          <w:rFonts w:ascii="Times New Roman" w:hAnsi="Times New Roman"/>
        </w:rPr>
        <w:t xml:space="preserve">Another way for politicians to dissipate the </w:t>
      </w:r>
      <w:proofErr w:type="spellStart"/>
      <w:r w:rsidR="00A528EB" w:rsidRPr="00B925AC">
        <w:rPr>
          <w:rFonts w:ascii="Times New Roman" w:hAnsi="Times New Roman"/>
        </w:rPr>
        <w:t>countermajoritarian</w:t>
      </w:r>
      <w:proofErr w:type="spellEnd"/>
      <w:r w:rsidR="00A528EB" w:rsidRPr="00B925AC">
        <w:rPr>
          <w:rFonts w:ascii="Times New Roman" w:hAnsi="Times New Roman"/>
        </w:rPr>
        <w:t xml:space="preserve"> </w:t>
      </w:r>
      <w:r w:rsidRPr="00B925AC">
        <w:rPr>
          <w:rFonts w:ascii="Times New Roman" w:hAnsi="Times New Roman"/>
        </w:rPr>
        <w:t xml:space="preserve">tension is </w:t>
      </w:r>
      <w:r w:rsidR="00740EC3" w:rsidRPr="00B925AC">
        <w:rPr>
          <w:rFonts w:ascii="Times New Roman" w:hAnsi="Times New Roman"/>
        </w:rPr>
        <w:t xml:space="preserve">to have judges, not elected officials, make the tough calls. Scholars have long noted that, under certain circumstances, judicial supremacy </w:t>
      </w:r>
      <w:r w:rsidR="00BC75BF" w:rsidRPr="00B925AC">
        <w:rPr>
          <w:rFonts w:ascii="Times New Roman" w:hAnsi="Times New Roman"/>
        </w:rPr>
        <w:t>can benefit politicians.</w:t>
      </w:r>
      <w:bookmarkStart w:id="29" w:name="_Ref186199072"/>
      <w:r w:rsidR="00BC75BF" w:rsidRPr="00B925AC">
        <w:rPr>
          <w:rStyle w:val="FootnoteReference"/>
          <w:rFonts w:ascii="Times New Roman" w:hAnsi="Times New Roman"/>
        </w:rPr>
        <w:footnoteReference w:id="223"/>
      </w:r>
      <w:bookmarkEnd w:id="29"/>
      <w:r w:rsidR="00CE26FE" w:rsidRPr="00B925AC">
        <w:rPr>
          <w:rFonts w:ascii="Times New Roman" w:hAnsi="Times New Roman"/>
        </w:rPr>
        <w:t xml:space="preserve"> In particular, when party coalitions are divided on particular questions, politicians may prefer to let judges answer those questions. </w:t>
      </w:r>
      <w:r w:rsidR="00A82768" w:rsidRPr="00B925AC">
        <w:rPr>
          <w:rFonts w:ascii="Times New Roman" w:hAnsi="Times New Roman"/>
        </w:rPr>
        <w:t>Rather than having divisive debates over</w:t>
      </w:r>
      <w:r w:rsidR="00421BE9" w:rsidRPr="00B925AC">
        <w:rPr>
          <w:rFonts w:ascii="Times New Roman" w:hAnsi="Times New Roman"/>
        </w:rPr>
        <w:t xml:space="preserve"> integration</w:t>
      </w:r>
      <w:r w:rsidR="00A82768" w:rsidRPr="00B925AC">
        <w:rPr>
          <w:rFonts w:ascii="Times New Roman" w:hAnsi="Times New Roman"/>
        </w:rPr>
        <w:t xml:space="preserve">, </w:t>
      </w:r>
      <w:r w:rsidR="00A72EC2" w:rsidRPr="00B925AC">
        <w:rPr>
          <w:rFonts w:ascii="Times New Roman" w:hAnsi="Times New Roman"/>
        </w:rPr>
        <w:t xml:space="preserve">for example, </w:t>
      </w:r>
      <w:r w:rsidR="00A82768" w:rsidRPr="00B925AC">
        <w:rPr>
          <w:rFonts w:ascii="Times New Roman" w:hAnsi="Times New Roman"/>
        </w:rPr>
        <w:t xml:space="preserve">Democrats might prefer to </w:t>
      </w:r>
      <w:r w:rsidR="00421BE9" w:rsidRPr="00B925AC">
        <w:rPr>
          <w:rFonts w:ascii="Times New Roman" w:hAnsi="Times New Roman"/>
        </w:rPr>
        <w:t xml:space="preserve">let the courts implement the policy the judiciary announced in </w:t>
      </w:r>
      <w:r w:rsidR="00421BE9" w:rsidRPr="00B925AC">
        <w:rPr>
          <w:rFonts w:ascii="Times New Roman" w:hAnsi="Times New Roman"/>
          <w:i/>
          <w:iCs/>
        </w:rPr>
        <w:t>Brown</w:t>
      </w:r>
      <w:r w:rsidR="00421BE9" w:rsidRPr="00B925AC">
        <w:rPr>
          <w:rFonts w:ascii="Times New Roman" w:hAnsi="Times New Roman"/>
        </w:rPr>
        <w:t>.</w:t>
      </w:r>
      <w:r w:rsidR="004C58F8" w:rsidRPr="00B925AC">
        <w:rPr>
          <w:rStyle w:val="FootnoteReference"/>
          <w:rFonts w:ascii="Times New Roman" w:hAnsi="Times New Roman"/>
        </w:rPr>
        <w:footnoteReference w:id="224"/>
      </w:r>
      <w:r w:rsidR="00F16EED" w:rsidRPr="00B925AC">
        <w:rPr>
          <w:rFonts w:ascii="Times New Roman" w:hAnsi="Times New Roman"/>
        </w:rPr>
        <w:t xml:space="preserve"> </w:t>
      </w:r>
      <w:r w:rsidR="005D04FC" w:rsidRPr="00B925AC">
        <w:rPr>
          <w:rFonts w:ascii="Times New Roman" w:hAnsi="Times New Roman"/>
        </w:rPr>
        <w:t>Rather than fight within their parties about slavery,</w:t>
      </w:r>
      <w:r w:rsidR="00E97278" w:rsidRPr="00B925AC">
        <w:rPr>
          <w:rStyle w:val="FootnoteReference"/>
          <w:rFonts w:ascii="Times New Roman" w:hAnsi="Times New Roman"/>
        </w:rPr>
        <w:footnoteReference w:id="225"/>
      </w:r>
      <w:r w:rsidR="005D04FC" w:rsidRPr="00B925AC">
        <w:rPr>
          <w:rFonts w:ascii="Times New Roman" w:hAnsi="Times New Roman"/>
        </w:rPr>
        <w:t xml:space="preserve"> </w:t>
      </w:r>
      <w:r w:rsidR="00E97278" w:rsidRPr="00B925AC">
        <w:rPr>
          <w:rFonts w:ascii="Times New Roman" w:hAnsi="Times New Roman"/>
        </w:rPr>
        <w:t>abortion,</w:t>
      </w:r>
      <w:r w:rsidR="00E97278" w:rsidRPr="00B925AC">
        <w:rPr>
          <w:rStyle w:val="FootnoteReference"/>
          <w:rFonts w:ascii="Times New Roman" w:hAnsi="Times New Roman"/>
        </w:rPr>
        <w:footnoteReference w:id="226"/>
      </w:r>
      <w:r w:rsidR="00435E3E" w:rsidRPr="00B925AC">
        <w:rPr>
          <w:rFonts w:ascii="Times New Roman" w:hAnsi="Times New Roman"/>
        </w:rPr>
        <w:t xml:space="preserve"> or even antitrust,</w:t>
      </w:r>
      <w:r w:rsidR="00435E3E" w:rsidRPr="00B925AC">
        <w:rPr>
          <w:rStyle w:val="FootnoteReference"/>
          <w:rFonts w:ascii="Times New Roman" w:hAnsi="Times New Roman"/>
        </w:rPr>
        <w:footnoteReference w:id="227"/>
      </w:r>
      <w:r w:rsidR="00435E3E" w:rsidRPr="00B925AC">
        <w:rPr>
          <w:rFonts w:ascii="Times New Roman" w:hAnsi="Times New Roman"/>
        </w:rPr>
        <w:t xml:space="preserve"> </w:t>
      </w:r>
      <w:r w:rsidR="005D04FC" w:rsidRPr="00B925AC">
        <w:rPr>
          <w:rFonts w:ascii="Times New Roman" w:hAnsi="Times New Roman"/>
        </w:rPr>
        <w:t xml:space="preserve">they may prefer </w:t>
      </w:r>
      <w:r w:rsidR="004A0814" w:rsidRPr="00B925AC">
        <w:rPr>
          <w:rFonts w:ascii="Times New Roman" w:hAnsi="Times New Roman"/>
        </w:rPr>
        <w:t xml:space="preserve">to kick the major questions to the </w:t>
      </w:r>
      <w:r w:rsidR="00061243" w:rsidRPr="00B925AC">
        <w:rPr>
          <w:rFonts w:ascii="Times New Roman" w:hAnsi="Times New Roman"/>
        </w:rPr>
        <w:t>courts</w:t>
      </w:r>
      <w:r w:rsidR="00D66042" w:rsidRPr="00B925AC">
        <w:rPr>
          <w:rFonts w:ascii="Times New Roman" w:hAnsi="Times New Roman"/>
        </w:rPr>
        <w:t>.</w:t>
      </w:r>
    </w:p>
    <w:p w14:paraId="0B909D6A" w14:textId="64640966" w:rsidR="00A72EC2" w:rsidRPr="00B925AC" w:rsidRDefault="00A72EC2" w:rsidP="001D0376">
      <w:pPr>
        <w:rPr>
          <w:rFonts w:ascii="Times New Roman" w:hAnsi="Times New Roman"/>
        </w:rPr>
      </w:pPr>
      <w:r w:rsidRPr="00B925AC">
        <w:rPr>
          <w:rFonts w:ascii="Times New Roman" w:hAnsi="Times New Roman"/>
        </w:rPr>
        <w:t xml:space="preserve">Just as </w:t>
      </w:r>
      <w:r w:rsidR="00CC5DC7" w:rsidRPr="00B925AC">
        <w:rPr>
          <w:rFonts w:ascii="Times New Roman" w:hAnsi="Times New Roman"/>
        </w:rPr>
        <w:t>judicial supremacy can liberate</w:t>
      </w:r>
      <w:r w:rsidR="00801E4D" w:rsidRPr="00B925AC">
        <w:rPr>
          <w:rFonts w:ascii="Times New Roman" w:hAnsi="Times New Roman"/>
        </w:rPr>
        <w:t xml:space="preserve"> governing regimes</w:t>
      </w:r>
      <w:r w:rsidR="00CC5DC7" w:rsidRPr="00B925AC">
        <w:rPr>
          <w:rFonts w:ascii="Times New Roman" w:hAnsi="Times New Roman"/>
        </w:rPr>
        <w:t xml:space="preserve"> </w:t>
      </w:r>
      <w:r w:rsidR="005B2B7C" w:rsidRPr="00B925AC">
        <w:rPr>
          <w:rFonts w:ascii="Times New Roman" w:hAnsi="Times New Roman"/>
        </w:rPr>
        <w:t xml:space="preserve">that </w:t>
      </w:r>
      <w:r w:rsidR="00CC5DC7" w:rsidRPr="00B925AC">
        <w:rPr>
          <w:rFonts w:ascii="Times New Roman" w:hAnsi="Times New Roman"/>
        </w:rPr>
        <w:t xml:space="preserve">are divided on policy – say, between integrationists and segregationists – it can liberate </w:t>
      </w:r>
      <w:r w:rsidR="005B2B7C" w:rsidRPr="00B925AC">
        <w:rPr>
          <w:rFonts w:ascii="Times New Roman" w:hAnsi="Times New Roman"/>
        </w:rPr>
        <w:t xml:space="preserve">regimes that are divided over how aggressively to pursue particular policies. </w:t>
      </w:r>
      <w:r w:rsidR="00EE249F" w:rsidRPr="00B925AC">
        <w:rPr>
          <w:rFonts w:ascii="Times New Roman" w:hAnsi="Times New Roman"/>
        </w:rPr>
        <w:t xml:space="preserve">By letting the courts lead on integration, Democrats </w:t>
      </w:r>
      <w:r w:rsidR="00CB65C4" w:rsidRPr="00B925AC">
        <w:rPr>
          <w:rFonts w:ascii="Times New Roman" w:hAnsi="Times New Roman"/>
        </w:rPr>
        <w:t>made judges the front line in a difficult fight</w:t>
      </w:r>
      <w:r w:rsidR="00324B04" w:rsidRPr="00B925AC">
        <w:rPr>
          <w:rFonts w:ascii="Times New Roman" w:hAnsi="Times New Roman"/>
        </w:rPr>
        <w:t>, letting them absorb the first blows. T</w:t>
      </w:r>
      <w:r w:rsidR="00222DEB" w:rsidRPr="00B925AC">
        <w:rPr>
          <w:rFonts w:ascii="Times New Roman" w:hAnsi="Times New Roman"/>
        </w:rPr>
        <w:t xml:space="preserve">o the degree to which voters blamed judges and not elected officials for unpopular integration policies, the Democrats could support a coalition partner without paying a general election cost. </w:t>
      </w:r>
      <w:r w:rsidR="00D71E99" w:rsidRPr="00B925AC">
        <w:rPr>
          <w:rFonts w:ascii="Times New Roman" w:hAnsi="Times New Roman"/>
        </w:rPr>
        <w:t xml:space="preserve">Even if voters blamed politicians for the actions of </w:t>
      </w:r>
      <w:r w:rsidR="00B61CAE" w:rsidRPr="00B925AC">
        <w:rPr>
          <w:rFonts w:ascii="Times New Roman" w:hAnsi="Times New Roman"/>
        </w:rPr>
        <w:t xml:space="preserve">judges – as surely some did – Democratic leaders could stop fighting over the appropriate scope and pace of change. </w:t>
      </w:r>
      <w:r w:rsidR="00256F39" w:rsidRPr="00B925AC">
        <w:rPr>
          <w:rFonts w:ascii="Times New Roman" w:hAnsi="Times New Roman"/>
        </w:rPr>
        <w:t xml:space="preserve">For a </w:t>
      </w:r>
      <w:r w:rsidR="00256F39" w:rsidRPr="00B925AC">
        <w:rPr>
          <w:rFonts w:ascii="Times New Roman" w:hAnsi="Times New Roman"/>
        </w:rPr>
        <w:lastRenderedPageBreak/>
        <w:t>party torn between coalitional and general election incentives, the best</w:t>
      </w:r>
      <w:r w:rsidR="00604FFF" w:rsidRPr="00B925AC">
        <w:rPr>
          <w:rFonts w:ascii="Times New Roman" w:hAnsi="Times New Roman"/>
        </w:rPr>
        <w:t xml:space="preserve"> way to decide which difficult path to take may be to let somebody else make the decision.</w:t>
      </w:r>
      <w:r w:rsidR="007E2BA6" w:rsidRPr="00B925AC">
        <w:rPr>
          <w:rFonts w:ascii="Times New Roman" w:hAnsi="Times New Roman"/>
        </w:rPr>
        <w:t xml:space="preserve"> At least </w:t>
      </w:r>
      <w:r w:rsidR="00CC6313" w:rsidRPr="00B925AC">
        <w:rPr>
          <w:rFonts w:ascii="Times New Roman" w:hAnsi="Times New Roman"/>
        </w:rPr>
        <w:t>the party can stop fighting over what to do.</w:t>
      </w:r>
    </w:p>
    <w:p w14:paraId="127B8410" w14:textId="57ABDA8B" w:rsidR="00D71E99" w:rsidRPr="00B925AC" w:rsidRDefault="00E66164" w:rsidP="00B55EEB">
      <w:pPr>
        <w:rPr>
          <w:rFonts w:ascii="Times New Roman" w:hAnsi="Times New Roman"/>
        </w:rPr>
      </w:pPr>
      <w:r w:rsidRPr="00B925AC">
        <w:rPr>
          <w:rFonts w:ascii="Times New Roman" w:hAnsi="Times New Roman"/>
        </w:rPr>
        <w:t xml:space="preserve">Outsourcing to the judiciary is clearly part of how politicians </w:t>
      </w:r>
      <w:r w:rsidR="00C122A2" w:rsidRPr="00B925AC">
        <w:rPr>
          <w:rFonts w:ascii="Times New Roman" w:hAnsi="Times New Roman"/>
        </w:rPr>
        <w:t xml:space="preserve">respond to the </w:t>
      </w:r>
      <w:proofErr w:type="spellStart"/>
      <w:r w:rsidR="00BE29BE" w:rsidRPr="00B925AC">
        <w:rPr>
          <w:rFonts w:ascii="Times New Roman" w:hAnsi="Times New Roman"/>
        </w:rPr>
        <w:t>countermajoritarian</w:t>
      </w:r>
      <w:proofErr w:type="spellEnd"/>
      <w:r w:rsidR="00C122A2" w:rsidRPr="00B925AC">
        <w:rPr>
          <w:rFonts w:ascii="Times New Roman" w:hAnsi="Times New Roman"/>
        </w:rPr>
        <w:t xml:space="preserve"> tension. </w:t>
      </w:r>
      <w:r w:rsidR="009C6D45" w:rsidRPr="00B925AC">
        <w:rPr>
          <w:rFonts w:ascii="Times New Roman" w:hAnsi="Times New Roman"/>
        </w:rPr>
        <w:t xml:space="preserve">But the concept is broad and vague. </w:t>
      </w:r>
      <w:r w:rsidR="00AA5D57" w:rsidRPr="00B925AC">
        <w:rPr>
          <w:rFonts w:ascii="Times New Roman" w:hAnsi="Times New Roman"/>
        </w:rPr>
        <w:t xml:space="preserve">In a sense, politicians outsource to the judiciary every time they pass a law. Judges, not politicians, will decide how to interpret the </w:t>
      </w:r>
      <w:r w:rsidR="00C61438" w:rsidRPr="00B925AC">
        <w:rPr>
          <w:rFonts w:ascii="Times New Roman" w:hAnsi="Times New Roman"/>
        </w:rPr>
        <w:t>often-broad</w:t>
      </w:r>
      <w:r w:rsidR="00AA5D57" w:rsidRPr="00B925AC">
        <w:rPr>
          <w:rFonts w:ascii="Times New Roman" w:hAnsi="Times New Roman"/>
        </w:rPr>
        <w:t xml:space="preserve"> language Congress enacts. </w:t>
      </w:r>
      <w:r w:rsidR="00904ACF" w:rsidRPr="00B925AC">
        <w:rPr>
          <w:rFonts w:ascii="Times New Roman" w:hAnsi="Times New Roman"/>
        </w:rPr>
        <w:t>The question</w:t>
      </w:r>
      <w:r w:rsidR="00706067" w:rsidRPr="00B925AC">
        <w:rPr>
          <w:rFonts w:ascii="Times New Roman" w:hAnsi="Times New Roman"/>
        </w:rPr>
        <w:t>, in other words,</w:t>
      </w:r>
      <w:r w:rsidR="00904ACF" w:rsidRPr="00B925AC">
        <w:rPr>
          <w:rFonts w:ascii="Times New Roman" w:hAnsi="Times New Roman"/>
        </w:rPr>
        <w:t xml:space="preserve"> is not whether Congress will outsource to the judiciary, but how. I consider that question below.</w:t>
      </w:r>
    </w:p>
    <w:p w14:paraId="6FE46451" w14:textId="0417CA17" w:rsidR="00660975" w:rsidRPr="00B925AC" w:rsidRDefault="0009275E" w:rsidP="00660975">
      <w:pPr>
        <w:pStyle w:val="Heading3"/>
        <w:rPr>
          <w:rFonts w:ascii="Times New Roman" w:hAnsi="Times New Roman"/>
        </w:rPr>
      </w:pPr>
      <w:r w:rsidRPr="00B925AC">
        <w:rPr>
          <w:rFonts w:ascii="Times New Roman" w:hAnsi="Times New Roman"/>
        </w:rPr>
        <w:t>Leadership</w:t>
      </w:r>
    </w:p>
    <w:p w14:paraId="5B7B1E7B" w14:textId="2E419997" w:rsidR="0009275E" w:rsidRPr="00B925AC" w:rsidRDefault="0009275E" w:rsidP="0009275E">
      <w:pPr>
        <w:rPr>
          <w:rFonts w:ascii="Times New Roman" w:hAnsi="Times New Roman"/>
        </w:rPr>
      </w:pPr>
      <w:proofErr w:type="spellStart"/>
      <w:r w:rsidRPr="00B925AC">
        <w:rPr>
          <w:rFonts w:ascii="Times New Roman" w:hAnsi="Times New Roman"/>
        </w:rPr>
        <w:t>Frymer</w:t>
      </w:r>
      <w:proofErr w:type="spellEnd"/>
      <w:r w:rsidRPr="00B925AC">
        <w:rPr>
          <w:rFonts w:ascii="Times New Roman" w:hAnsi="Times New Roman"/>
        </w:rPr>
        <w:t xml:space="preserve"> also suggests </w:t>
      </w:r>
      <w:r w:rsidR="00C97CF9" w:rsidRPr="00B925AC">
        <w:rPr>
          <w:rFonts w:ascii="Times New Roman" w:hAnsi="Times New Roman"/>
        </w:rPr>
        <w:t xml:space="preserve">that politicians can defy the </w:t>
      </w:r>
      <w:r w:rsidR="004E1082" w:rsidRPr="00B925AC">
        <w:rPr>
          <w:rFonts w:ascii="Times New Roman" w:hAnsi="Times New Roman"/>
        </w:rPr>
        <w:t>general election</w:t>
      </w:r>
      <w:r w:rsidR="00C97CF9" w:rsidRPr="00B925AC">
        <w:rPr>
          <w:rFonts w:ascii="Times New Roman" w:hAnsi="Times New Roman"/>
        </w:rPr>
        <w:t xml:space="preserve"> incentives against minority rights protection by seeking to </w:t>
      </w:r>
      <w:r w:rsidR="003600A8" w:rsidRPr="00B925AC">
        <w:rPr>
          <w:rFonts w:ascii="Times New Roman" w:hAnsi="Times New Roman"/>
        </w:rPr>
        <w:t xml:space="preserve">alter the public opinion that drives those incentives. </w:t>
      </w:r>
      <w:r w:rsidR="00FC7D09" w:rsidRPr="00B925AC">
        <w:rPr>
          <w:rFonts w:ascii="Times New Roman" w:hAnsi="Times New Roman"/>
        </w:rPr>
        <w:t>He gives as an example Democrats’ response to proposition 18</w:t>
      </w:r>
      <w:r w:rsidR="005D4BD1" w:rsidRPr="00B925AC">
        <w:rPr>
          <w:rFonts w:ascii="Times New Roman" w:hAnsi="Times New Roman"/>
        </w:rPr>
        <w:t>7</w:t>
      </w:r>
      <w:r w:rsidR="00FC7D09" w:rsidRPr="00B925AC">
        <w:rPr>
          <w:rFonts w:ascii="Times New Roman" w:hAnsi="Times New Roman"/>
        </w:rPr>
        <w:t xml:space="preserve"> in California, which sought to deny immigrants access to government services.</w:t>
      </w:r>
      <w:r w:rsidR="00D62663" w:rsidRPr="00B925AC">
        <w:rPr>
          <w:rStyle w:val="FootnoteReference"/>
          <w:rFonts w:ascii="Times New Roman" w:hAnsi="Times New Roman"/>
        </w:rPr>
        <w:footnoteReference w:id="228"/>
      </w:r>
      <w:r w:rsidR="00FC7D09" w:rsidRPr="00B925AC">
        <w:rPr>
          <w:rFonts w:ascii="Times New Roman" w:hAnsi="Times New Roman"/>
        </w:rPr>
        <w:t xml:space="preserve"> </w:t>
      </w:r>
      <w:proofErr w:type="spellStart"/>
      <w:r w:rsidR="004C0E4D" w:rsidRPr="00B925AC">
        <w:rPr>
          <w:rFonts w:ascii="Times New Roman" w:hAnsi="Times New Roman"/>
        </w:rPr>
        <w:t>Frymer</w:t>
      </w:r>
      <w:proofErr w:type="spellEnd"/>
      <w:r w:rsidR="004C0E4D" w:rsidRPr="00B925AC">
        <w:rPr>
          <w:rFonts w:ascii="Times New Roman" w:hAnsi="Times New Roman"/>
        </w:rPr>
        <w:t xml:space="preserve"> argues compellingly that </w:t>
      </w:r>
      <w:r w:rsidR="003F1261" w:rsidRPr="00B925AC">
        <w:rPr>
          <w:rFonts w:ascii="Times New Roman" w:hAnsi="Times New Roman"/>
        </w:rPr>
        <w:t>while proposition 18</w:t>
      </w:r>
      <w:r w:rsidR="00417626" w:rsidRPr="00B925AC">
        <w:rPr>
          <w:rFonts w:ascii="Times New Roman" w:hAnsi="Times New Roman"/>
        </w:rPr>
        <w:t>7</w:t>
      </w:r>
      <w:r w:rsidR="003F1261" w:rsidRPr="00B925AC">
        <w:rPr>
          <w:rFonts w:ascii="Times New Roman" w:hAnsi="Times New Roman"/>
        </w:rPr>
        <w:t xml:space="preserve"> ultimately passed, </w:t>
      </w:r>
      <w:r w:rsidR="008A0F47" w:rsidRPr="00B925AC">
        <w:rPr>
          <w:rFonts w:ascii="Times New Roman" w:hAnsi="Times New Roman"/>
        </w:rPr>
        <w:t>the efforts of Democratic elites dramatically reduced its popularity, at least among Democrats.</w:t>
      </w:r>
      <w:r w:rsidR="00417626" w:rsidRPr="00B925AC">
        <w:rPr>
          <w:rStyle w:val="FootnoteReference"/>
          <w:rFonts w:ascii="Times New Roman" w:hAnsi="Times New Roman"/>
        </w:rPr>
        <w:footnoteReference w:id="229"/>
      </w:r>
      <w:r w:rsidR="008A0F47" w:rsidRPr="00B925AC">
        <w:rPr>
          <w:rFonts w:ascii="Times New Roman" w:hAnsi="Times New Roman"/>
        </w:rPr>
        <w:t xml:space="preserve"> Democrats could have simply accepted the popularity of this essentially </w:t>
      </w:r>
      <w:r w:rsidR="00C345F9" w:rsidRPr="00B925AC">
        <w:rPr>
          <w:rFonts w:ascii="Times New Roman" w:hAnsi="Times New Roman"/>
        </w:rPr>
        <w:t xml:space="preserve">nativist proposal, but they chose a different path, with some success. When we fight, </w:t>
      </w:r>
      <w:r w:rsidR="00065BC5" w:rsidRPr="00B925AC">
        <w:rPr>
          <w:rFonts w:ascii="Times New Roman" w:hAnsi="Times New Roman"/>
        </w:rPr>
        <w:t>perhaps, we win.</w:t>
      </w:r>
    </w:p>
    <w:p w14:paraId="0066D576" w14:textId="49AE6EDC" w:rsidR="001D0376" w:rsidRPr="00B925AC" w:rsidRDefault="00111EE1" w:rsidP="0009275E">
      <w:pPr>
        <w:rPr>
          <w:rFonts w:ascii="Times New Roman" w:hAnsi="Times New Roman"/>
        </w:rPr>
      </w:pPr>
      <w:r w:rsidRPr="00B925AC">
        <w:rPr>
          <w:rFonts w:ascii="Times New Roman" w:hAnsi="Times New Roman"/>
        </w:rPr>
        <w:t xml:space="preserve">Ultimately, </w:t>
      </w:r>
      <w:proofErr w:type="spellStart"/>
      <w:r w:rsidRPr="00B925AC">
        <w:rPr>
          <w:rFonts w:ascii="Times New Roman" w:hAnsi="Times New Roman"/>
        </w:rPr>
        <w:t>Frymer’s</w:t>
      </w:r>
      <w:proofErr w:type="spellEnd"/>
      <w:r w:rsidRPr="00B925AC">
        <w:rPr>
          <w:rFonts w:ascii="Times New Roman" w:hAnsi="Times New Roman"/>
        </w:rPr>
        <w:t xml:space="preserve"> message is both descriptively compelling and normatively appealing. </w:t>
      </w:r>
      <w:r w:rsidR="00321BF1" w:rsidRPr="00B925AC">
        <w:rPr>
          <w:rFonts w:ascii="Times New Roman" w:hAnsi="Times New Roman"/>
        </w:rPr>
        <w:t xml:space="preserve">Descriptively, we should expect politicians to seek ways to </w:t>
      </w:r>
      <w:r w:rsidR="00A0720C" w:rsidRPr="00B925AC">
        <w:rPr>
          <w:rFonts w:ascii="Times New Roman" w:hAnsi="Times New Roman"/>
        </w:rPr>
        <w:t xml:space="preserve">mitigate the </w:t>
      </w:r>
      <w:proofErr w:type="spellStart"/>
      <w:r w:rsidR="00677D3B" w:rsidRPr="00B925AC">
        <w:rPr>
          <w:rFonts w:ascii="Times New Roman" w:hAnsi="Times New Roman"/>
        </w:rPr>
        <w:t>countermajoritarian</w:t>
      </w:r>
      <w:proofErr w:type="spellEnd"/>
      <w:r w:rsidR="00677D3B" w:rsidRPr="00B925AC">
        <w:rPr>
          <w:rFonts w:ascii="Times New Roman" w:hAnsi="Times New Roman"/>
        </w:rPr>
        <w:t xml:space="preserve"> </w:t>
      </w:r>
      <w:r w:rsidR="00A0720C" w:rsidRPr="00B925AC">
        <w:rPr>
          <w:rFonts w:ascii="Times New Roman" w:hAnsi="Times New Roman"/>
        </w:rPr>
        <w:t xml:space="preserve">tension by reducing the gap between majority preferences and minority rights. </w:t>
      </w:r>
      <w:r w:rsidR="007536BE" w:rsidRPr="00B925AC">
        <w:rPr>
          <w:rFonts w:ascii="Times New Roman" w:hAnsi="Times New Roman"/>
        </w:rPr>
        <w:t xml:space="preserve">Normatively, the situation is more complicated, if only because not all rights are created equal. </w:t>
      </w:r>
      <w:r w:rsidR="00E110F3" w:rsidRPr="00B925AC">
        <w:rPr>
          <w:rFonts w:ascii="Times New Roman" w:hAnsi="Times New Roman"/>
        </w:rPr>
        <w:t xml:space="preserve">Readers may welcome efforts to lead the public away from bigotry against Black people or immigrants. </w:t>
      </w:r>
      <w:r w:rsidR="00476AC8" w:rsidRPr="00B925AC">
        <w:rPr>
          <w:rFonts w:ascii="Times New Roman" w:hAnsi="Times New Roman"/>
        </w:rPr>
        <w:t xml:space="preserve">They may feel differently if the goal is to increase public sympathy for gun owners or </w:t>
      </w:r>
      <w:r w:rsidR="00DC558F" w:rsidRPr="00B925AC">
        <w:rPr>
          <w:rFonts w:ascii="Times New Roman" w:hAnsi="Times New Roman"/>
        </w:rPr>
        <w:t>religious people asserting the right to discriminate.</w:t>
      </w:r>
      <w:r w:rsidR="00DA2D7C" w:rsidRPr="00B925AC">
        <w:rPr>
          <w:rFonts w:ascii="Times New Roman" w:hAnsi="Times New Roman"/>
        </w:rPr>
        <w:t xml:space="preserve"> Nonetheless, if political incentives drive politicians to show leadership on rights questions, we have the outline of</w:t>
      </w:r>
      <w:r w:rsidR="00CD3332" w:rsidRPr="00B925AC">
        <w:rPr>
          <w:rFonts w:ascii="Times New Roman" w:hAnsi="Times New Roman"/>
        </w:rPr>
        <w:t xml:space="preserve"> what Mark </w:t>
      </w:r>
      <w:proofErr w:type="spellStart"/>
      <w:r w:rsidR="00CD3332" w:rsidRPr="00B925AC">
        <w:rPr>
          <w:rFonts w:ascii="Times New Roman" w:hAnsi="Times New Roman"/>
        </w:rPr>
        <w:t>Tushnet</w:t>
      </w:r>
      <w:proofErr w:type="spellEnd"/>
      <w:r w:rsidR="00CD3332" w:rsidRPr="00B925AC">
        <w:rPr>
          <w:rFonts w:ascii="Times New Roman" w:hAnsi="Times New Roman"/>
        </w:rPr>
        <w:t xml:space="preserve"> has called an “incentive compatible Constitution” – a democratic system that drives electorally motivated politicians to </w:t>
      </w:r>
      <w:r w:rsidR="008A772A" w:rsidRPr="00B925AC">
        <w:rPr>
          <w:rFonts w:ascii="Times New Roman" w:hAnsi="Times New Roman"/>
        </w:rPr>
        <w:t xml:space="preserve">defend </w:t>
      </w:r>
      <w:r w:rsidR="00070AAA" w:rsidRPr="00B925AC">
        <w:rPr>
          <w:rFonts w:ascii="Times New Roman" w:hAnsi="Times New Roman"/>
        </w:rPr>
        <w:t>minority rights.</w:t>
      </w:r>
      <w:r w:rsidR="009B25DC" w:rsidRPr="00B925AC">
        <w:rPr>
          <w:rStyle w:val="FootnoteReference"/>
          <w:rFonts w:ascii="Times New Roman" w:hAnsi="Times New Roman"/>
        </w:rPr>
        <w:footnoteReference w:id="230"/>
      </w:r>
      <w:r w:rsidR="003D2465" w:rsidRPr="00B925AC">
        <w:rPr>
          <w:rFonts w:ascii="Times New Roman" w:hAnsi="Times New Roman"/>
        </w:rPr>
        <w:t xml:space="preserve"> </w:t>
      </w:r>
      <w:r w:rsidR="00C036B4" w:rsidRPr="00B925AC">
        <w:rPr>
          <w:rFonts w:ascii="Times New Roman" w:hAnsi="Times New Roman"/>
        </w:rPr>
        <w:t>I now turn to how that system works.</w:t>
      </w:r>
    </w:p>
    <w:p w14:paraId="33B26F0D" w14:textId="03E40149" w:rsidR="00C036B4" w:rsidRPr="00B925AC" w:rsidRDefault="00C036B4" w:rsidP="00C036B4">
      <w:pPr>
        <w:pStyle w:val="Heading3"/>
        <w:rPr>
          <w:rFonts w:ascii="Times New Roman" w:hAnsi="Times New Roman"/>
        </w:rPr>
      </w:pPr>
      <w:r w:rsidRPr="00B925AC">
        <w:rPr>
          <w:rFonts w:ascii="Times New Roman" w:hAnsi="Times New Roman"/>
        </w:rPr>
        <w:lastRenderedPageBreak/>
        <w:t>Constraint Shifting</w:t>
      </w:r>
    </w:p>
    <w:p w14:paraId="153EB983" w14:textId="781CAE1E" w:rsidR="00C036B4" w:rsidRPr="00B925AC" w:rsidRDefault="00F32A17" w:rsidP="00C036B4">
      <w:pPr>
        <w:rPr>
          <w:rFonts w:ascii="Times New Roman" w:hAnsi="Times New Roman"/>
        </w:rPr>
      </w:pPr>
      <w:r w:rsidRPr="00B925AC">
        <w:rPr>
          <w:rFonts w:ascii="Times New Roman" w:hAnsi="Times New Roman"/>
        </w:rPr>
        <w:t>The Supreme Court’s decision in</w:t>
      </w:r>
      <w:r w:rsidR="00D652C2" w:rsidRPr="00B925AC">
        <w:rPr>
          <w:rFonts w:ascii="Times New Roman" w:hAnsi="Times New Roman"/>
        </w:rPr>
        <w:t xml:space="preserve"> </w:t>
      </w:r>
      <w:r w:rsidR="00D652C2" w:rsidRPr="00B925AC">
        <w:rPr>
          <w:rFonts w:ascii="Times New Roman" w:hAnsi="Times New Roman"/>
          <w:i/>
          <w:iCs/>
        </w:rPr>
        <w:t>Employment Division v. Smith</w:t>
      </w:r>
      <w:r w:rsidR="00E90400" w:rsidRPr="00B925AC">
        <w:rPr>
          <w:rStyle w:val="FootnoteReference"/>
          <w:rFonts w:ascii="Times New Roman" w:hAnsi="Times New Roman"/>
          <w:i/>
          <w:iCs/>
        </w:rPr>
        <w:footnoteReference w:id="231"/>
      </w:r>
      <w:r w:rsidRPr="00B925AC">
        <w:rPr>
          <w:rFonts w:ascii="Times New Roman" w:hAnsi="Times New Roman"/>
          <w:i/>
          <w:iCs/>
        </w:rPr>
        <w:t xml:space="preserve"> </w:t>
      </w:r>
      <w:r w:rsidR="00E90400" w:rsidRPr="00B925AC">
        <w:rPr>
          <w:rFonts w:ascii="Times New Roman" w:hAnsi="Times New Roman"/>
        </w:rPr>
        <w:t xml:space="preserve">hit the political system </w:t>
      </w:r>
      <w:r w:rsidR="002D3C55" w:rsidRPr="00B925AC">
        <w:rPr>
          <w:rFonts w:ascii="Times New Roman" w:hAnsi="Times New Roman"/>
        </w:rPr>
        <w:t xml:space="preserve">like a </w:t>
      </w:r>
      <w:r w:rsidR="00EB19F4" w:rsidRPr="00B925AC">
        <w:rPr>
          <w:rFonts w:ascii="Times New Roman" w:hAnsi="Times New Roman"/>
        </w:rPr>
        <w:t xml:space="preserve">ton of bricks. </w:t>
      </w:r>
      <w:r w:rsidR="004E1401" w:rsidRPr="00B925AC">
        <w:rPr>
          <w:rFonts w:ascii="Times New Roman" w:hAnsi="Times New Roman"/>
        </w:rPr>
        <w:t xml:space="preserve">For years, the Court had grappled with what to do when government limits the </w:t>
      </w:r>
      <w:r w:rsidR="00183099" w:rsidRPr="00B925AC">
        <w:rPr>
          <w:rFonts w:ascii="Times New Roman" w:hAnsi="Times New Roman"/>
        </w:rPr>
        <w:t xml:space="preserve">right of Americans to practice their religion. An explicit ban on an unpopular faith would be easy to address. But what happens when ostensibly neutral </w:t>
      </w:r>
      <w:r w:rsidR="00356682" w:rsidRPr="00B925AC">
        <w:rPr>
          <w:rFonts w:ascii="Times New Roman" w:hAnsi="Times New Roman"/>
        </w:rPr>
        <w:t>laws burden free exercise</w:t>
      </w:r>
      <w:r w:rsidR="0061683B" w:rsidRPr="00B925AC">
        <w:rPr>
          <w:rFonts w:ascii="Times New Roman" w:hAnsi="Times New Roman"/>
        </w:rPr>
        <w:t>?</w:t>
      </w:r>
      <w:r w:rsidR="00356682" w:rsidRPr="00B925AC">
        <w:rPr>
          <w:rFonts w:ascii="Times New Roman" w:hAnsi="Times New Roman"/>
        </w:rPr>
        <w:t xml:space="preserve"> </w:t>
      </w:r>
      <w:r w:rsidR="003C52D6" w:rsidRPr="00B925AC">
        <w:rPr>
          <w:rFonts w:ascii="Times New Roman" w:hAnsi="Times New Roman"/>
        </w:rPr>
        <w:t>W</w:t>
      </w:r>
      <w:r w:rsidR="00C36DCF" w:rsidRPr="00B925AC">
        <w:rPr>
          <w:rFonts w:ascii="Times New Roman" w:hAnsi="Times New Roman"/>
        </w:rPr>
        <w:t xml:space="preserve">hen </w:t>
      </w:r>
      <w:r w:rsidR="002B7A06" w:rsidRPr="00B925AC">
        <w:rPr>
          <w:rFonts w:ascii="Times New Roman" w:hAnsi="Times New Roman"/>
        </w:rPr>
        <w:t xml:space="preserve">a claimant was denied unemployment benefits because she had been fired after refusing, on religious grounds, to work Saturdays, the Court held that </w:t>
      </w:r>
      <w:r w:rsidR="00BE370B" w:rsidRPr="00B925AC">
        <w:rPr>
          <w:rFonts w:ascii="Times New Roman" w:hAnsi="Times New Roman"/>
        </w:rPr>
        <w:t>the refusal could stand only if the government could show it was narrowly tailored to advance a compelling interest, a high bar.</w:t>
      </w:r>
      <w:r w:rsidR="0031789C" w:rsidRPr="00B925AC">
        <w:rPr>
          <w:rStyle w:val="FootnoteReference"/>
          <w:rFonts w:ascii="Times New Roman" w:hAnsi="Times New Roman"/>
        </w:rPr>
        <w:footnoteReference w:id="232"/>
      </w:r>
    </w:p>
    <w:p w14:paraId="43ED1036" w14:textId="4143D53E" w:rsidR="0003335D" w:rsidRPr="00B925AC" w:rsidRDefault="00686EC7" w:rsidP="00F14ADE">
      <w:pPr>
        <w:rPr>
          <w:rFonts w:ascii="Times New Roman" w:hAnsi="Times New Roman"/>
        </w:rPr>
      </w:pPr>
      <w:r w:rsidRPr="00B925AC">
        <w:rPr>
          <w:rFonts w:ascii="Times New Roman" w:hAnsi="Times New Roman"/>
        </w:rPr>
        <w:t xml:space="preserve">Then, in </w:t>
      </w:r>
      <w:r w:rsidRPr="00B925AC">
        <w:rPr>
          <w:rFonts w:ascii="Times New Roman" w:hAnsi="Times New Roman"/>
          <w:i/>
          <w:iCs/>
        </w:rPr>
        <w:t>Smith</w:t>
      </w:r>
      <w:r w:rsidRPr="00B925AC">
        <w:rPr>
          <w:rFonts w:ascii="Times New Roman" w:hAnsi="Times New Roman"/>
        </w:rPr>
        <w:t xml:space="preserve">, the Court reversed course. Going forward, government could </w:t>
      </w:r>
      <w:r w:rsidR="00B638CA" w:rsidRPr="00B925AC">
        <w:rPr>
          <w:rFonts w:ascii="Times New Roman" w:hAnsi="Times New Roman"/>
        </w:rPr>
        <w:t>enforce</w:t>
      </w:r>
      <w:r w:rsidRPr="00B925AC">
        <w:rPr>
          <w:rFonts w:ascii="Times New Roman" w:hAnsi="Times New Roman"/>
        </w:rPr>
        <w:t xml:space="preserve"> neutral laws even when they </w:t>
      </w:r>
      <w:r w:rsidR="00D56E50" w:rsidRPr="00B925AC">
        <w:rPr>
          <w:rFonts w:ascii="Times New Roman" w:hAnsi="Times New Roman"/>
        </w:rPr>
        <w:t>prevented religious believers from following their faiths</w:t>
      </w:r>
      <w:r w:rsidR="00064F3D" w:rsidRPr="00B925AC">
        <w:rPr>
          <w:rFonts w:ascii="Times New Roman" w:hAnsi="Times New Roman"/>
        </w:rPr>
        <w:t>, provided they had a rational basis.</w:t>
      </w:r>
      <w:r w:rsidR="0087374F" w:rsidRPr="00B925AC">
        <w:rPr>
          <w:rStyle w:val="FootnoteReference"/>
          <w:rFonts w:ascii="Times New Roman" w:hAnsi="Times New Roman"/>
        </w:rPr>
        <w:footnoteReference w:id="233"/>
      </w:r>
      <w:r w:rsidR="00D56E50" w:rsidRPr="00B925AC">
        <w:rPr>
          <w:rFonts w:ascii="Times New Roman" w:hAnsi="Times New Roman"/>
        </w:rPr>
        <w:t xml:space="preserve"> </w:t>
      </w:r>
      <w:r w:rsidR="009C69A9" w:rsidRPr="00B925AC">
        <w:rPr>
          <w:rFonts w:ascii="Times New Roman" w:hAnsi="Times New Roman"/>
        </w:rPr>
        <w:t>The decision had implications for both major party coalitions. Democrats</w:t>
      </w:r>
      <w:r w:rsidR="00C26B6B" w:rsidRPr="00B925AC">
        <w:rPr>
          <w:rFonts w:ascii="Times New Roman" w:hAnsi="Times New Roman"/>
        </w:rPr>
        <w:t xml:space="preserve">, the traditional choice of Jewish voters, </w:t>
      </w:r>
      <w:r w:rsidR="00D51A2F" w:rsidRPr="00B925AC">
        <w:rPr>
          <w:rFonts w:ascii="Times New Roman" w:hAnsi="Times New Roman"/>
        </w:rPr>
        <w:t>may</w:t>
      </w:r>
      <w:r w:rsidR="00C26B6B" w:rsidRPr="00B925AC">
        <w:rPr>
          <w:rFonts w:ascii="Times New Roman" w:hAnsi="Times New Roman"/>
        </w:rPr>
        <w:t xml:space="preserve"> have been the more obvious </w:t>
      </w:r>
      <w:r w:rsidR="00D51A2F" w:rsidRPr="00B925AC">
        <w:rPr>
          <w:rFonts w:ascii="Times New Roman" w:hAnsi="Times New Roman"/>
        </w:rPr>
        <w:t xml:space="preserve">party to defend the rights of those religious minorities most likely to </w:t>
      </w:r>
      <w:r w:rsidR="00855A91" w:rsidRPr="00B925AC">
        <w:rPr>
          <w:rFonts w:ascii="Times New Roman" w:hAnsi="Times New Roman"/>
        </w:rPr>
        <w:t>have their faiths ignored when legislatures draft general statutes.</w:t>
      </w:r>
      <w:r w:rsidR="00162F4E" w:rsidRPr="00B925AC">
        <w:rPr>
          <w:rStyle w:val="FootnoteReference"/>
          <w:rFonts w:ascii="Times New Roman" w:hAnsi="Times New Roman"/>
        </w:rPr>
        <w:footnoteReference w:id="234"/>
      </w:r>
      <w:r w:rsidR="00855A91" w:rsidRPr="00B925AC">
        <w:rPr>
          <w:rFonts w:ascii="Times New Roman" w:hAnsi="Times New Roman"/>
        </w:rPr>
        <w:t xml:space="preserve"> </w:t>
      </w:r>
      <w:r w:rsidR="00855A91" w:rsidRPr="00B925AC">
        <w:rPr>
          <w:rFonts w:ascii="Times New Roman" w:hAnsi="Times New Roman"/>
          <w:i/>
          <w:iCs/>
        </w:rPr>
        <w:t>Smith</w:t>
      </w:r>
      <w:r w:rsidR="00855A91" w:rsidRPr="00B925AC">
        <w:rPr>
          <w:rFonts w:ascii="Times New Roman" w:hAnsi="Times New Roman"/>
        </w:rPr>
        <w:t xml:space="preserve"> involved a racial minority (Native Americans) </w:t>
      </w:r>
      <w:r w:rsidR="0090539F" w:rsidRPr="00B925AC">
        <w:rPr>
          <w:rFonts w:ascii="Times New Roman" w:hAnsi="Times New Roman"/>
        </w:rPr>
        <w:t xml:space="preserve">ingesting illegal drugs, </w:t>
      </w:r>
      <w:r w:rsidR="00DF5A30" w:rsidRPr="00B925AC">
        <w:rPr>
          <w:rFonts w:ascii="Times New Roman" w:hAnsi="Times New Roman"/>
        </w:rPr>
        <w:t xml:space="preserve">conduct more likely to seem acceptable to </w:t>
      </w:r>
      <w:r w:rsidR="005E02CC" w:rsidRPr="00B925AC">
        <w:rPr>
          <w:rFonts w:ascii="Times New Roman" w:hAnsi="Times New Roman"/>
        </w:rPr>
        <w:t>social progressives</w:t>
      </w:r>
      <w:r w:rsidR="00C31FF5" w:rsidRPr="00B925AC">
        <w:rPr>
          <w:rFonts w:ascii="Times New Roman" w:hAnsi="Times New Roman"/>
        </w:rPr>
        <w:t xml:space="preserve">, and the opinion had been joined by the Court’s </w:t>
      </w:r>
      <w:r w:rsidR="00F647D3" w:rsidRPr="00B925AC">
        <w:rPr>
          <w:rFonts w:ascii="Times New Roman" w:hAnsi="Times New Roman"/>
        </w:rPr>
        <w:t xml:space="preserve">conservatives and opposed by the </w:t>
      </w:r>
      <w:r w:rsidR="0003335D" w:rsidRPr="00B925AC">
        <w:rPr>
          <w:rFonts w:ascii="Times New Roman" w:hAnsi="Times New Roman"/>
        </w:rPr>
        <w:t>Court’s liberals</w:t>
      </w:r>
      <w:r w:rsidR="007D3878" w:rsidRPr="00B925AC">
        <w:rPr>
          <w:rFonts w:ascii="Times New Roman" w:hAnsi="Times New Roman"/>
        </w:rPr>
        <w:t>.</w:t>
      </w:r>
    </w:p>
    <w:p w14:paraId="18605B53" w14:textId="5360CEDF" w:rsidR="00F64AAA" w:rsidRPr="00B925AC" w:rsidRDefault="00A936F7" w:rsidP="00F14ADE">
      <w:pPr>
        <w:rPr>
          <w:rFonts w:ascii="Times New Roman" w:hAnsi="Times New Roman"/>
        </w:rPr>
      </w:pPr>
      <w:r w:rsidRPr="00B925AC">
        <w:rPr>
          <w:rFonts w:ascii="Times New Roman" w:hAnsi="Times New Roman"/>
        </w:rPr>
        <w:t xml:space="preserve">On the other hand, by 1990 Christan conservatives </w:t>
      </w:r>
      <w:r w:rsidR="00751AA1" w:rsidRPr="00B925AC">
        <w:rPr>
          <w:rFonts w:ascii="Times New Roman" w:hAnsi="Times New Roman"/>
        </w:rPr>
        <w:t>had become an important part of the Republican coalition.</w:t>
      </w:r>
      <w:r w:rsidR="00751AA1" w:rsidRPr="00B925AC">
        <w:rPr>
          <w:rStyle w:val="FootnoteReference"/>
          <w:rFonts w:ascii="Times New Roman" w:hAnsi="Times New Roman"/>
        </w:rPr>
        <w:footnoteReference w:id="235"/>
      </w:r>
      <w:r w:rsidR="00E13AFB" w:rsidRPr="00B925AC">
        <w:rPr>
          <w:rFonts w:ascii="Times New Roman" w:hAnsi="Times New Roman"/>
        </w:rPr>
        <w:t xml:space="preserve"> While mainstream Christians are unlikely to be ignored when general legislation is written, Christians with </w:t>
      </w:r>
      <w:r w:rsidR="00A556F8" w:rsidRPr="00B925AC">
        <w:rPr>
          <w:rFonts w:ascii="Times New Roman" w:hAnsi="Times New Roman"/>
        </w:rPr>
        <w:t xml:space="preserve">extreme or otherwise unusual views might be expected to worry about a decision like </w:t>
      </w:r>
      <w:r w:rsidR="00A556F8" w:rsidRPr="00B925AC">
        <w:rPr>
          <w:rFonts w:ascii="Times New Roman" w:hAnsi="Times New Roman"/>
          <w:i/>
          <w:iCs/>
        </w:rPr>
        <w:t>Smith</w:t>
      </w:r>
      <w:r w:rsidR="00A556F8" w:rsidRPr="00B925AC">
        <w:rPr>
          <w:rFonts w:ascii="Times New Roman" w:hAnsi="Times New Roman"/>
        </w:rPr>
        <w:t xml:space="preserve">. </w:t>
      </w:r>
      <w:r w:rsidR="007F2C58" w:rsidRPr="00B925AC">
        <w:rPr>
          <w:rFonts w:ascii="Times New Roman" w:hAnsi="Times New Roman"/>
        </w:rPr>
        <w:t xml:space="preserve">Even if not, they might be expected to defend </w:t>
      </w:r>
      <w:r w:rsidR="00590252" w:rsidRPr="00B925AC">
        <w:rPr>
          <w:rFonts w:ascii="Times New Roman" w:hAnsi="Times New Roman"/>
        </w:rPr>
        <w:t xml:space="preserve">– and demand their coalition partners defend – the principle that religious </w:t>
      </w:r>
      <w:r w:rsidR="00F938F7" w:rsidRPr="00B925AC">
        <w:rPr>
          <w:rFonts w:ascii="Times New Roman" w:hAnsi="Times New Roman"/>
        </w:rPr>
        <w:t>rights</w:t>
      </w:r>
      <w:r w:rsidR="00590252" w:rsidRPr="00B925AC">
        <w:rPr>
          <w:rFonts w:ascii="Times New Roman" w:hAnsi="Times New Roman"/>
        </w:rPr>
        <w:t xml:space="preserve"> are sacrosanct.</w:t>
      </w:r>
    </w:p>
    <w:p w14:paraId="420952C8" w14:textId="767720D9" w:rsidR="00F938F7" w:rsidRPr="00B925AC" w:rsidRDefault="00F938F7" w:rsidP="00F14ADE">
      <w:pPr>
        <w:rPr>
          <w:rFonts w:ascii="Times New Roman" w:hAnsi="Times New Roman"/>
        </w:rPr>
      </w:pPr>
      <w:r w:rsidRPr="00B925AC">
        <w:rPr>
          <w:rFonts w:ascii="Times New Roman" w:hAnsi="Times New Roman"/>
        </w:rPr>
        <w:t xml:space="preserve">As it turned out, </w:t>
      </w:r>
      <w:r w:rsidR="00C31FF5" w:rsidRPr="00B925AC">
        <w:rPr>
          <w:rFonts w:ascii="Times New Roman" w:hAnsi="Times New Roman"/>
        </w:rPr>
        <w:t xml:space="preserve">both liberals and </w:t>
      </w:r>
      <w:r w:rsidR="00C81115" w:rsidRPr="00B925AC">
        <w:rPr>
          <w:rFonts w:ascii="Times New Roman" w:hAnsi="Times New Roman"/>
        </w:rPr>
        <w:t xml:space="preserve">conservatives found something to hate in </w:t>
      </w:r>
      <w:r w:rsidR="00C81115" w:rsidRPr="00B925AC">
        <w:rPr>
          <w:rFonts w:ascii="Times New Roman" w:hAnsi="Times New Roman"/>
          <w:i/>
          <w:iCs/>
        </w:rPr>
        <w:lastRenderedPageBreak/>
        <w:t>Smith</w:t>
      </w:r>
      <w:r w:rsidR="00C81115" w:rsidRPr="00B925AC">
        <w:rPr>
          <w:rFonts w:ascii="Times New Roman" w:hAnsi="Times New Roman"/>
        </w:rPr>
        <w:t xml:space="preserve">. </w:t>
      </w:r>
      <w:r w:rsidR="00B30147" w:rsidRPr="00B925AC">
        <w:rPr>
          <w:rFonts w:ascii="Times New Roman" w:hAnsi="Times New Roman"/>
        </w:rPr>
        <w:t xml:space="preserve">Organizers quickly built a bipartisan, trans-ideological coalition to overturn the opinion by </w:t>
      </w:r>
      <w:r w:rsidR="007A6D00" w:rsidRPr="00B925AC">
        <w:rPr>
          <w:rFonts w:ascii="Times New Roman" w:hAnsi="Times New Roman"/>
        </w:rPr>
        <w:t>codifying the pre-</w:t>
      </w:r>
      <w:r w:rsidR="007A6D00" w:rsidRPr="00B925AC">
        <w:rPr>
          <w:rFonts w:ascii="Times New Roman" w:hAnsi="Times New Roman"/>
          <w:i/>
          <w:iCs/>
        </w:rPr>
        <w:t>Smith</w:t>
      </w:r>
      <w:r w:rsidR="007A6D00" w:rsidRPr="00B925AC">
        <w:rPr>
          <w:rFonts w:ascii="Times New Roman" w:hAnsi="Times New Roman"/>
        </w:rPr>
        <w:t xml:space="preserve"> regime for protecting religious rights.</w:t>
      </w:r>
      <w:bookmarkStart w:id="30" w:name="_Ref186203845"/>
      <w:r w:rsidR="00D409C2" w:rsidRPr="00B925AC">
        <w:rPr>
          <w:rStyle w:val="FootnoteReference"/>
          <w:rFonts w:ascii="Times New Roman" w:hAnsi="Times New Roman"/>
        </w:rPr>
        <w:footnoteReference w:id="236"/>
      </w:r>
      <w:bookmarkEnd w:id="30"/>
      <w:r w:rsidR="002304EC" w:rsidRPr="00B925AC">
        <w:rPr>
          <w:rFonts w:ascii="Times New Roman" w:hAnsi="Times New Roman"/>
        </w:rPr>
        <w:t xml:space="preserve"> The Religious Freedom Restoration Act</w:t>
      </w:r>
      <w:r w:rsidR="00656D0B" w:rsidRPr="00B925AC">
        <w:rPr>
          <w:rFonts w:ascii="Times New Roman" w:hAnsi="Times New Roman"/>
        </w:rPr>
        <w:t xml:space="preserve"> (RFRA)</w:t>
      </w:r>
      <w:r w:rsidR="002304EC" w:rsidRPr="00B925AC">
        <w:rPr>
          <w:rFonts w:ascii="Times New Roman" w:hAnsi="Times New Roman"/>
        </w:rPr>
        <w:t xml:space="preserve">, as this </w:t>
      </w:r>
      <w:r w:rsidR="005F75A3" w:rsidRPr="00B925AC">
        <w:rPr>
          <w:rFonts w:ascii="Times New Roman" w:hAnsi="Times New Roman"/>
        </w:rPr>
        <w:t xml:space="preserve">codification </w:t>
      </w:r>
      <w:r w:rsidR="0097282A" w:rsidRPr="00B925AC">
        <w:rPr>
          <w:rFonts w:ascii="Times New Roman" w:hAnsi="Times New Roman"/>
        </w:rPr>
        <w:t xml:space="preserve">would be known, demanded that government </w:t>
      </w:r>
      <w:r w:rsidR="005F75A3" w:rsidRPr="00B925AC">
        <w:rPr>
          <w:rFonts w:ascii="Times New Roman" w:hAnsi="Times New Roman"/>
        </w:rPr>
        <w:t>demonstrate a</w:t>
      </w:r>
      <w:r w:rsidR="00807677" w:rsidRPr="00B925AC">
        <w:rPr>
          <w:rFonts w:ascii="Times New Roman" w:hAnsi="Times New Roman"/>
        </w:rPr>
        <w:t xml:space="preserve">ny statute proscribing conduct </w:t>
      </w:r>
      <w:r w:rsidR="00632748" w:rsidRPr="00B925AC">
        <w:rPr>
          <w:rFonts w:ascii="Times New Roman" w:hAnsi="Times New Roman"/>
        </w:rPr>
        <w:t>required by an individual’s religious views be narrowly tailored to advance a compelling state interest.</w:t>
      </w:r>
      <w:r w:rsidR="00632748" w:rsidRPr="00B925AC">
        <w:rPr>
          <w:rStyle w:val="FootnoteReference"/>
          <w:rFonts w:ascii="Times New Roman" w:hAnsi="Times New Roman"/>
        </w:rPr>
        <w:footnoteReference w:id="237"/>
      </w:r>
      <w:r w:rsidR="00EF4826" w:rsidRPr="00B925AC">
        <w:rPr>
          <w:rFonts w:ascii="Times New Roman" w:hAnsi="Times New Roman"/>
        </w:rPr>
        <w:t xml:space="preserve"> The proposal faced two significant challenges – from pro-life</w:t>
      </w:r>
      <w:r w:rsidR="00E20828" w:rsidRPr="00B925AC">
        <w:rPr>
          <w:rFonts w:ascii="Times New Roman" w:hAnsi="Times New Roman"/>
        </w:rPr>
        <w:t xml:space="preserve"> advocates concerned it would create a religious right to abortion, and from prison officials and their allies, concerned about disruptions to carceral procedures – but after </w:t>
      </w:r>
      <w:r w:rsidR="00A11E57" w:rsidRPr="00B925AC">
        <w:rPr>
          <w:rFonts w:ascii="Times New Roman" w:hAnsi="Times New Roman"/>
        </w:rPr>
        <w:t>compromises were reached it passed overwhelmingly in both houses.</w:t>
      </w:r>
      <w:r w:rsidR="00A11E57" w:rsidRPr="00B925AC">
        <w:rPr>
          <w:rStyle w:val="FootnoteReference"/>
          <w:rFonts w:ascii="Times New Roman" w:hAnsi="Times New Roman"/>
        </w:rPr>
        <w:footnoteReference w:id="238"/>
      </w:r>
    </w:p>
    <w:p w14:paraId="27F39978" w14:textId="780455AC" w:rsidR="002553F1" w:rsidRPr="00B925AC" w:rsidRDefault="002553F1" w:rsidP="00F14ADE">
      <w:pPr>
        <w:rPr>
          <w:rFonts w:ascii="Times New Roman" w:hAnsi="Times New Roman"/>
        </w:rPr>
      </w:pPr>
      <w:r w:rsidRPr="00B925AC">
        <w:rPr>
          <w:rFonts w:ascii="Times New Roman" w:hAnsi="Times New Roman"/>
        </w:rPr>
        <w:t xml:space="preserve">The RFRA example highlights several limitations in thinking about </w:t>
      </w:r>
      <w:r w:rsidR="00522FEF" w:rsidRPr="00B925AC">
        <w:rPr>
          <w:rFonts w:ascii="Times New Roman" w:hAnsi="Times New Roman"/>
        </w:rPr>
        <w:t xml:space="preserve">political action in terms of moderation, leadership, and outsourcing to the courts. </w:t>
      </w:r>
      <w:r w:rsidR="00E815BE" w:rsidRPr="00B925AC">
        <w:rPr>
          <w:rFonts w:ascii="Times New Roman" w:hAnsi="Times New Roman"/>
        </w:rPr>
        <w:t xml:space="preserve">On one level, RFRA could be seen as an effort by both parties to moderate their claims in support of coalition partners. </w:t>
      </w:r>
      <w:r w:rsidR="000D762A" w:rsidRPr="00B925AC">
        <w:rPr>
          <w:rFonts w:ascii="Times New Roman" w:hAnsi="Times New Roman"/>
        </w:rPr>
        <w:t>Liberals allied with believers in minority (and sometimes unpopular) religions</w:t>
      </w:r>
      <w:r w:rsidR="009A01D7" w:rsidRPr="00B925AC">
        <w:rPr>
          <w:rFonts w:ascii="Times New Roman" w:hAnsi="Times New Roman"/>
        </w:rPr>
        <w:t xml:space="preserve"> made no effort to specifically recognize and ameliorate </w:t>
      </w:r>
      <w:r w:rsidR="0008722A" w:rsidRPr="00B925AC">
        <w:rPr>
          <w:rFonts w:ascii="Times New Roman" w:hAnsi="Times New Roman"/>
        </w:rPr>
        <w:t>prejudice against minority religions.</w:t>
      </w:r>
      <w:r w:rsidR="000A5E84" w:rsidRPr="00B925AC">
        <w:rPr>
          <w:rFonts w:ascii="Times New Roman" w:hAnsi="Times New Roman"/>
        </w:rPr>
        <w:t xml:space="preserve"> It would have been </w:t>
      </w:r>
      <w:r w:rsidR="001628A2" w:rsidRPr="00B925AC">
        <w:rPr>
          <w:rFonts w:ascii="Times New Roman" w:hAnsi="Times New Roman"/>
        </w:rPr>
        <w:t xml:space="preserve">technically </w:t>
      </w:r>
      <w:r w:rsidR="000A5E84" w:rsidRPr="00B925AC">
        <w:rPr>
          <w:rFonts w:ascii="Times New Roman" w:hAnsi="Times New Roman"/>
        </w:rPr>
        <w:t xml:space="preserve">possible, and reasonable, to construct a regime that imposed strict scrutiny only on religious restrictions that apply to minority groups unable to defend their prerogatives in the political marketplace. But </w:t>
      </w:r>
      <w:r w:rsidR="00FE7682" w:rsidRPr="00B925AC">
        <w:rPr>
          <w:rFonts w:ascii="Times New Roman" w:hAnsi="Times New Roman"/>
        </w:rPr>
        <w:t>the liberals who led the RFRA effort opted instead for a universalistic approach that protected all believers</w:t>
      </w:r>
      <w:r w:rsidR="00914C47" w:rsidRPr="00B925AC">
        <w:rPr>
          <w:rFonts w:ascii="Times New Roman" w:hAnsi="Times New Roman"/>
        </w:rPr>
        <w:t xml:space="preserve"> equally.</w:t>
      </w:r>
      <w:r w:rsidR="00C56BCF" w:rsidRPr="00B925AC">
        <w:rPr>
          <w:rFonts w:ascii="Times New Roman" w:hAnsi="Times New Roman"/>
        </w:rPr>
        <w:t xml:space="preserve"> To paraphrase a modern example of the same strategy, they chose to assert that “all religions matter</w:t>
      </w:r>
      <w:r w:rsidR="009429CD" w:rsidRPr="00B925AC">
        <w:rPr>
          <w:rFonts w:ascii="Times New Roman" w:hAnsi="Times New Roman"/>
        </w:rPr>
        <w:t>,” not that “minority religions matter.”</w:t>
      </w:r>
    </w:p>
    <w:p w14:paraId="2BBB668C" w14:textId="190EB8B1" w:rsidR="00B05D3F" w:rsidRPr="00B925AC" w:rsidRDefault="00B05D3F" w:rsidP="00720C0A">
      <w:pPr>
        <w:rPr>
          <w:rFonts w:ascii="Times New Roman" w:hAnsi="Times New Roman"/>
        </w:rPr>
      </w:pPr>
      <w:r w:rsidRPr="00B925AC">
        <w:rPr>
          <w:rFonts w:ascii="Times New Roman" w:hAnsi="Times New Roman"/>
        </w:rPr>
        <w:t xml:space="preserve">On the other hand, liberals’ decision to focus on </w:t>
      </w:r>
      <w:r w:rsidR="00434F69" w:rsidRPr="00B925AC">
        <w:rPr>
          <w:rFonts w:ascii="Times New Roman" w:hAnsi="Times New Roman"/>
        </w:rPr>
        <w:t xml:space="preserve">broad religious rights did not obviously harm minority religions. </w:t>
      </w:r>
      <w:r w:rsidR="00402857" w:rsidRPr="00B925AC">
        <w:rPr>
          <w:rFonts w:ascii="Times New Roman" w:hAnsi="Times New Roman"/>
        </w:rPr>
        <w:t>The p</w:t>
      </w:r>
      <w:r w:rsidR="00434F69" w:rsidRPr="00B925AC">
        <w:rPr>
          <w:rFonts w:ascii="Times New Roman" w:hAnsi="Times New Roman"/>
        </w:rPr>
        <w:t>re-</w:t>
      </w:r>
      <w:r w:rsidR="00434F69" w:rsidRPr="00B925AC">
        <w:rPr>
          <w:rFonts w:ascii="Times New Roman" w:hAnsi="Times New Roman"/>
          <w:i/>
          <w:iCs/>
        </w:rPr>
        <w:t>Smith</w:t>
      </w:r>
      <w:r w:rsidR="00434F69" w:rsidRPr="00B925AC">
        <w:rPr>
          <w:rFonts w:ascii="Times New Roman" w:hAnsi="Times New Roman"/>
        </w:rPr>
        <w:t xml:space="preserve"> </w:t>
      </w:r>
      <w:r w:rsidR="00402857" w:rsidRPr="00B925AC">
        <w:rPr>
          <w:rFonts w:ascii="Times New Roman" w:hAnsi="Times New Roman"/>
          <w:i/>
          <w:iCs/>
        </w:rPr>
        <w:t xml:space="preserve">Sherbert </w:t>
      </w:r>
      <w:r w:rsidR="00402857" w:rsidRPr="00B925AC">
        <w:rPr>
          <w:rFonts w:ascii="Times New Roman" w:hAnsi="Times New Roman"/>
        </w:rPr>
        <w:t xml:space="preserve">test was intended by its author to protect </w:t>
      </w:r>
      <w:r w:rsidR="00720C0A" w:rsidRPr="00B925AC">
        <w:rPr>
          <w:rFonts w:ascii="Times New Roman" w:hAnsi="Times New Roman"/>
        </w:rPr>
        <w:t>religious minorities</w:t>
      </w:r>
      <w:r w:rsidR="00AA3A3E" w:rsidRPr="00B925AC">
        <w:rPr>
          <w:rFonts w:ascii="Times New Roman" w:hAnsi="Times New Roman"/>
        </w:rPr>
        <w:t>.</w:t>
      </w:r>
      <w:r w:rsidR="00940E14" w:rsidRPr="00B925AC">
        <w:rPr>
          <w:rStyle w:val="FootnoteReference"/>
          <w:rFonts w:ascii="Times New Roman" w:hAnsi="Times New Roman"/>
        </w:rPr>
        <w:footnoteReference w:id="239"/>
      </w:r>
      <w:r w:rsidR="00910CFD" w:rsidRPr="00B925AC">
        <w:rPr>
          <w:rFonts w:ascii="Times New Roman" w:hAnsi="Times New Roman"/>
        </w:rPr>
        <w:t xml:space="preserve"> </w:t>
      </w:r>
      <w:r w:rsidR="00AA3A3E" w:rsidRPr="00B925AC">
        <w:rPr>
          <w:rFonts w:ascii="Times New Roman" w:hAnsi="Times New Roman"/>
        </w:rPr>
        <w:t xml:space="preserve">And </w:t>
      </w:r>
      <w:r w:rsidR="00910CFD" w:rsidRPr="00B925AC">
        <w:rPr>
          <w:rFonts w:ascii="Times New Roman" w:hAnsi="Times New Roman"/>
        </w:rPr>
        <w:t>judicial protection would arguably be most helpful to groups unlikely to succeed through majoritarian politics.</w:t>
      </w:r>
    </w:p>
    <w:p w14:paraId="2A6A6956" w14:textId="41038314" w:rsidR="002C107E" w:rsidRPr="00B925AC" w:rsidRDefault="0033535A" w:rsidP="00F14ADE">
      <w:pPr>
        <w:rPr>
          <w:rFonts w:ascii="Times New Roman" w:hAnsi="Times New Roman"/>
        </w:rPr>
      </w:pPr>
      <w:r w:rsidRPr="00B925AC">
        <w:rPr>
          <w:rFonts w:ascii="Times New Roman" w:hAnsi="Times New Roman"/>
        </w:rPr>
        <w:t>In short, the liberals who led</w:t>
      </w:r>
      <w:r w:rsidR="000C35D5" w:rsidRPr="00B925AC">
        <w:rPr>
          <w:rFonts w:ascii="Times New Roman" w:hAnsi="Times New Roman"/>
        </w:rPr>
        <w:t xml:space="preserve"> the</w:t>
      </w:r>
      <w:r w:rsidRPr="00B925AC">
        <w:rPr>
          <w:rFonts w:ascii="Times New Roman" w:hAnsi="Times New Roman"/>
        </w:rPr>
        <w:t xml:space="preserve"> RFRA fight are certainly guilty</w:t>
      </w:r>
      <w:r w:rsidR="00956609" w:rsidRPr="00B925AC">
        <w:rPr>
          <w:rFonts w:ascii="Times New Roman" w:hAnsi="Times New Roman"/>
        </w:rPr>
        <w:t xml:space="preserve"> </w:t>
      </w:r>
      <w:r w:rsidRPr="00B925AC">
        <w:rPr>
          <w:rFonts w:ascii="Times New Roman" w:hAnsi="Times New Roman"/>
        </w:rPr>
        <w:t xml:space="preserve">of seeking to </w:t>
      </w:r>
      <w:r w:rsidR="00B315B6" w:rsidRPr="00B925AC">
        <w:rPr>
          <w:rFonts w:ascii="Times New Roman" w:hAnsi="Times New Roman"/>
        </w:rPr>
        <w:t xml:space="preserve">deemphasize a minority-majority political axis in favor of a more universalistic </w:t>
      </w:r>
      <w:r w:rsidR="00B315B6" w:rsidRPr="00B925AC">
        <w:rPr>
          <w:rFonts w:ascii="Times New Roman" w:hAnsi="Times New Roman"/>
        </w:rPr>
        <w:lastRenderedPageBreak/>
        <w:t>claim focused on the rights of all believers.</w:t>
      </w:r>
      <w:r w:rsidR="00B315B6" w:rsidRPr="00B925AC">
        <w:rPr>
          <w:rStyle w:val="FootnoteReference"/>
          <w:rFonts w:ascii="Times New Roman" w:hAnsi="Times New Roman"/>
        </w:rPr>
        <w:footnoteReference w:id="240"/>
      </w:r>
      <w:r w:rsidR="008610AA" w:rsidRPr="00B925AC">
        <w:rPr>
          <w:rFonts w:ascii="Times New Roman" w:hAnsi="Times New Roman"/>
        </w:rPr>
        <w:t xml:space="preserve"> In Andrew</w:t>
      </w:r>
      <w:r w:rsidR="00956609" w:rsidRPr="00B925AC">
        <w:rPr>
          <w:rFonts w:ascii="Times New Roman" w:hAnsi="Times New Roman"/>
        </w:rPr>
        <w:t xml:space="preserve"> Proctor</w:t>
      </w:r>
      <w:r w:rsidR="008610AA" w:rsidRPr="00B925AC">
        <w:rPr>
          <w:rFonts w:ascii="Times New Roman" w:hAnsi="Times New Roman"/>
        </w:rPr>
        <w:t xml:space="preserve">’s terms, they sought a “thematic” approach that did not recognize the specific claims of any persecuted group. But </w:t>
      </w:r>
      <w:r w:rsidR="00580536" w:rsidRPr="00B925AC">
        <w:rPr>
          <w:rFonts w:ascii="Times New Roman" w:hAnsi="Times New Roman"/>
        </w:rPr>
        <w:t xml:space="preserve">it is hard to simply chalk up the RFRA fight as an example of liberal sail trimming. The RFRA drafters proposed a sweeping change in case law, in the face of </w:t>
      </w:r>
      <w:r w:rsidR="00507498" w:rsidRPr="00B925AC">
        <w:rPr>
          <w:rFonts w:ascii="Times New Roman" w:hAnsi="Times New Roman"/>
        </w:rPr>
        <w:t xml:space="preserve">contrary Supreme Court precedent, and </w:t>
      </w:r>
      <w:r w:rsidR="00D44CEC" w:rsidRPr="00B925AC">
        <w:rPr>
          <w:rFonts w:ascii="Times New Roman" w:hAnsi="Times New Roman"/>
        </w:rPr>
        <w:t>without accepting much in the way of compromise.</w:t>
      </w:r>
    </w:p>
    <w:p w14:paraId="641624FF" w14:textId="6CD8DE84" w:rsidR="007D3CBE" w:rsidRPr="00B925AC" w:rsidRDefault="00564A9B" w:rsidP="00F14ADE">
      <w:pPr>
        <w:rPr>
          <w:rFonts w:ascii="Times New Roman" w:hAnsi="Times New Roman"/>
        </w:rPr>
      </w:pPr>
      <w:r w:rsidRPr="00B925AC">
        <w:rPr>
          <w:rFonts w:ascii="Times New Roman" w:hAnsi="Times New Roman"/>
        </w:rPr>
        <w:t xml:space="preserve">Conversely, conservatives apparently made little effort to </w:t>
      </w:r>
      <w:r w:rsidR="00FD055A" w:rsidRPr="00B925AC">
        <w:rPr>
          <w:rFonts w:ascii="Times New Roman" w:hAnsi="Times New Roman"/>
        </w:rPr>
        <w:t xml:space="preserve">focus in on the interests of </w:t>
      </w:r>
      <w:r w:rsidR="00C5533E" w:rsidRPr="00B925AC">
        <w:rPr>
          <w:rFonts w:ascii="Times New Roman" w:hAnsi="Times New Roman"/>
        </w:rPr>
        <w:t>the Christian Right.</w:t>
      </w:r>
      <w:r w:rsidR="0058070C" w:rsidRPr="00B925AC">
        <w:rPr>
          <w:rFonts w:ascii="Times New Roman" w:hAnsi="Times New Roman"/>
        </w:rPr>
        <w:t xml:space="preserve"> </w:t>
      </w:r>
      <w:r w:rsidR="00A36E0B" w:rsidRPr="00B925AC">
        <w:rPr>
          <w:rFonts w:ascii="Times New Roman" w:hAnsi="Times New Roman"/>
        </w:rPr>
        <w:t>From the beginning, RFRA was seen as a left-wing initiative</w:t>
      </w:r>
      <w:r w:rsidR="00FC4266" w:rsidRPr="00B925AC">
        <w:rPr>
          <w:rFonts w:ascii="Times New Roman" w:hAnsi="Times New Roman"/>
        </w:rPr>
        <w:t>.</w:t>
      </w:r>
      <w:r w:rsidR="0045302E" w:rsidRPr="00B925AC">
        <w:rPr>
          <w:rStyle w:val="FootnoteReference"/>
          <w:rFonts w:ascii="Times New Roman" w:hAnsi="Times New Roman"/>
        </w:rPr>
        <w:footnoteReference w:id="241"/>
      </w:r>
      <w:r w:rsidR="00FC4266" w:rsidRPr="00B925AC">
        <w:rPr>
          <w:rFonts w:ascii="Times New Roman" w:hAnsi="Times New Roman"/>
        </w:rPr>
        <w:t xml:space="preserve"> Conservative Christian organizations were less involved in pushing for </w:t>
      </w:r>
      <w:r w:rsidR="005069BF" w:rsidRPr="00B925AC">
        <w:rPr>
          <w:rFonts w:ascii="Times New Roman" w:hAnsi="Times New Roman"/>
        </w:rPr>
        <w:t>it and more involved in the push-back, largely over concerns about abortion.</w:t>
      </w:r>
      <w:r w:rsidR="007B006D" w:rsidRPr="00B925AC">
        <w:rPr>
          <w:rStyle w:val="FootnoteReference"/>
          <w:rFonts w:ascii="Times New Roman" w:hAnsi="Times New Roman"/>
        </w:rPr>
        <w:footnoteReference w:id="242"/>
      </w:r>
      <w:r w:rsidR="005069BF" w:rsidRPr="00B925AC">
        <w:rPr>
          <w:rFonts w:ascii="Times New Roman" w:hAnsi="Times New Roman"/>
        </w:rPr>
        <w:t xml:space="preserve"> Ultimately, </w:t>
      </w:r>
      <w:r w:rsidR="007A0FC5" w:rsidRPr="00B925AC">
        <w:rPr>
          <w:rFonts w:ascii="Times New Roman" w:hAnsi="Times New Roman"/>
        </w:rPr>
        <w:t xml:space="preserve">their allies compromised first in backing RFRA and then in negotiating an abortion compromise far less explicit than </w:t>
      </w:r>
      <w:r w:rsidR="00A47CE4" w:rsidRPr="00B925AC">
        <w:rPr>
          <w:rFonts w:ascii="Times New Roman" w:hAnsi="Times New Roman"/>
        </w:rPr>
        <w:t xml:space="preserve">the one </w:t>
      </w:r>
      <w:r w:rsidR="007D3CBE" w:rsidRPr="00B925AC">
        <w:rPr>
          <w:rFonts w:ascii="Times New Roman" w:hAnsi="Times New Roman"/>
        </w:rPr>
        <w:t>demanded by pro-lifers,</w:t>
      </w:r>
      <w:r w:rsidR="00F44AE1" w:rsidRPr="00B925AC">
        <w:rPr>
          <w:rStyle w:val="FootnoteReference"/>
          <w:rFonts w:ascii="Times New Roman" w:hAnsi="Times New Roman"/>
        </w:rPr>
        <w:footnoteReference w:id="243"/>
      </w:r>
      <w:r w:rsidR="007D3CBE" w:rsidRPr="00B925AC">
        <w:rPr>
          <w:rFonts w:ascii="Times New Roman" w:hAnsi="Times New Roman"/>
        </w:rPr>
        <w:t xml:space="preserve"> a group that overlapped heavily with conservative Christians.</w:t>
      </w:r>
    </w:p>
    <w:p w14:paraId="51D05D9A" w14:textId="299BEA85" w:rsidR="00564A9B" w:rsidRPr="00B925AC" w:rsidRDefault="003E5409" w:rsidP="00F14ADE">
      <w:pPr>
        <w:rPr>
          <w:rFonts w:ascii="Times New Roman" w:hAnsi="Times New Roman"/>
        </w:rPr>
      </w:pPr>
      <w:r w:rsidRPr="00B925AC">
        <w:rPr>
          <w:rFonts w:ascii="Times New Roman" w:hAnsi="Times New Roman"/>
        </w:rPr>
        <w:t>Yet, particularly given the subsequent history of RFRA,</w:t>
      </w:r>
      <w:r w:rsidR="00DC5CB5" w:rsidRPr="00B925AC">
        <w:rPr>
          <w:rStyle w:val="FootnoteReference"/>
          <w:rFonts w:ascii="Times New Roman" w:hAnsi="Times New Roman"/>
        </w:rPr>
        <w:footnoteReference w:id="244"/>
      </w:r>
      <w:r w:rsidRPr="00B925AC">
        <w:rPr>
          <w:rFonts w:ascii="Times New Roman" w:hAnsi="Times New Roman"/>
        </w:rPr>
        <w:t xml:space="preserve"> it is hard to argue that Republicans abandoned the Christian Right in the RFRA debate. </w:t>
      </w:r>
      <w:r w:rsidR="007D45E1" w:rsidRPr="00B925AC">
        <w:rPr>
          <w:rFonts w:ascii="Times New Roman" w:hAnsi="Times New Roman"/>
        </w:rPr>
        <w:t xml:space="preserve">To be sure, they accepted a compromise that downplayed the </w:t>
      </w:r>
      <w:r w:rsidR="0070039F" w:rsidRPr="00B925AC">
        <w:rPr>
          <w:rFonts w:ascii="Times New Roman" w:hAnsi="Times New Roman"/>
        </w:rPr>
        <w:t xml:space="preserve">Christian Right’s key areas of focus. </w:t>
      </w:r>
      <w:r w:rsidR="00DC5CB5" w:rsidRPr="00B925AC">
        <w:rPr>
          <w:rFonts w:ascii="Times New Roman" w:hAnsi="Times New Roman"/>
        </w:rPr>
        <w:t>But they succeeded in legislati</w:t>
      </w:r>
      <w:r w:rsidR="00A14F8C" w:rsidRPr="00B925AC">
        <w:rPr>
          <w:rFonts w:ascii="Times New Roman" w:hAnsi="Times New Roman"/>
        </w:rPr>
        <w:t>ng special protections for people of faith, hardly a small achievement for the nation’s largest</w:t>
      </w:r>
      <w:r w:rsidR="003B0107" w:rsidRPr="00B925AC">
        <w:rPr>
          <w:rFonts w:ascii="Times New Roman" w:hAnsi="Times New Roman"/>
        </w:rPr>
        <w:t xml:space="preserve"> faith-based political movement.</w:t>
      </w:r>
    </w:p>
    <w:p w14:paraId="6B091D5F" w14:textId="19084FD9" w:rsidR="00E40AF1" w:rsidRPr="00B925AC" w:rsidRDefault="00CF3E9F" w:rsidP="00F14ADE">
      <w:pPr>
        <w:rPr>
          <w:rFonts w:ascii="Times New Roman" w:hAnsi="Times New Roman"/>
        </w:rPr>
      </w:pPr>
      <w:r w:rsidRPr="00B925AC">
        <w:rPr>
          <w:rFonts w:ascii="Times New Roman" w:hAnsi="Times New Roman"/>
        </w:rPr>
        <w:t xml:space="preserve">The </w:t>
      </w:r>
      <w:r w:rsidR="00B47A86" w:rsidRPr="00B925AC">
        <w:rPr>
          <w:rFonts w:ascii="Times New Roman" w:hAnsi="Times New Roman"/>
        </w:rPr>
        <w:t xml:space="preserve">question of whether RFRA’s proponents showed leadership is, in a sense, the mirror image of the question about moderation. </w:t>
      </w:r>
      <w:r w:rsidR="00CE7C8A" w:rsidRPr="00B925AC">
        <w:rPr>
          <w:rFonts w:ascii="Times New Roman" w:hAnsi="Times New Roman"/>
        </w:rPr>
        <w:t xml:space="preserve">By neglecting to defend their coalition partners explicitly – RFRA was not designed to valorize any particular religious group – they </w:t>
      </w:r>
      <w:r w:rsidR="000D1548" w:rsidRPr="00B925AC">
        <w:rPr>
          <w:rFonts w:ascii="Times New Roman" w:hAnsi="Times New Roman"/>
        </w:rPr>
        <w:t xml:space="preserve">failed to show the kind of leadership </w:t>
      </w:r>
      <w:proofErr w:type="spellStart"/>
      <w:r w:rsidR="000D1548" w:rsidRPr="00B925AC">
        <w:rPr>
          <w:rFonts w:ascii="Times New Roman" w:hAnsi="Times New Roman"/>
        </w:rPr>
        <w:t>Frymer</w:t>
      </w:r>
      <w:proofErr w:type="spellEnd"/>
      <w:r w:rsidR="000D1548" w:rsidRPr="00B925AC">
        <w:rPr>
          <w:rFonts w:ascii="Times New Roman" w:hAnsi="Times New Roman"/>
        </w:rPr>
        <w:t xml:space="preserve"> advocates. However, by assembling a </w:t>
      </w:r>
      <w:r w:rsidR="006E5536" w:rsidRPr="00B925AC">
        <w:rPr>
          <w:rFonts w:ascii="Times New Roman" w:hAnsi="Times New Roman"/>
        </w:rPr>
        <w:t>coalition that cuts across religious boundaries, they arguably showed exactly the kind of leadership that leads to change.</w:t>
      </w:r>
    </w:p>
    <w:p w14:paraId="6F16002F" w14:textId="62CBA662" w:rsidR="002A47E6" w:rsidRPr="00B925AC" w:rsidRDefault="002A47E6" w:rsidP="00F14ADE">
      <w:pPr>
        <w:rPr>
          <w:rFonts w:ascii="Times New Roman" w:hAnsi="Times New Roman"/>
        </w:rPr>
      </w:pPr>
      <w:r w:rsidRPr="00B925AC">
        <w:rPr>
          <w:rFonts w:ascii="Times New Roman" w:hAnsi="Times New Roman"/>
        </w:rPr>
        <w:t xml:space="preserve">Finally, </w:t>
      </w:r>
      <w:r w:rsidR="00DB6EBE" w:rsidRPr="00B925AC">
        <w:rPr>
          <w:rFonts w:ascii="Times New Roman" w:hAnsi="Times New Roman"/>
        </w:rPr>
        <w:t xml:space="preserve">it is difficult to evaluate RFRA in terms of whether leaders outsourced policy to the courts. On the one hand, </w:t>
      </w:r>
      <w:r w:rsidR="00A20502" w:rsidRPr="00B925AC">
        <w:rPr>
          <w:rFonts w:ascii="Times New Roman" w:hAnsi="Times New Roman"/>
        </w:rPr>
        <w:t xml:space="preserve">Congress stepped in when the courts refused to act. In doing so, they </w:t>
      </w:r>
      <w:r w:rsidR="0077141C" w:rsidRPr="00B925AC">
        <w:rPr>
          <w:rFonts w:ascii="Times New Roman" w:hAnsi="Times New Roman"/>
        </w:rPr>
        <w:t xml:space="preserve">took responsibility for protecting religious rights, rather </w:t>
      </w:r>
      <w:r w:rsidR="0077141C" w:rsidRPr="00B925AC">
        <w:rPr>
          <w:rFonts w:ascii="Times New Roman" w:hAnsi="Times New Roman"/>
        </w:rPr>
        <w:lastRenderedPageBreak/>
        <w:t xml:space="preserve">than leaving judges to accept the responsibility and pay the political costs. </w:t>
      </w:r>
      <w:r w:rsidR="00422DAC" w:rsidRPr="00B925AC">
        <w:rPr>
          <w:rFonts w:ascii="Times New Roman" w:hAnsi="Times New Roman"/>
        </w:rPr>
        <w:t xml:space="preserve">More generally, they also highlighted Congress’s role in rights protection. RFRA can be seen as standing for the general </w:t>
      </w:r>
      <w:r w:rsidR="00C57765" w:rsidRPr="00B925AC">
        <w:rPr>
          <w:rFonts w:ascii="Times New Roman" w:hAnsi="Times New Roman"/>
        </w:rPr>
        <w:t xml:space="preserve">proposition that Congress retains the </w:t>
      </w:r>
      <w:r w:rsidR="00963EA4" w:rsidRPr="00B925AC">
        <w:rPr>
          <w:rFonts w:ascii="Times New Roman" w:hAnsi="Times New Roman"/>
        </w:rPr>
        <w:t>authority</w:t>
      </w:r>
      <w:r w:rsidR="00C57765" w:rsidRPr="00B925AC">
        <w:rPr>
          <w:rFonts w:ascii="Times New Roman" w:hAnsi="Times New Roman"/>
        </w:rPr>
        <w:t xml:space="preserve"> to protect those rights that the Court neglects. </w:t>
      </w:r>
      <w:r w:rsidR="003D3EDB" w:rsidRPr="00B925AC">
        <w:rPr>
          <w:rFonts w:ascii="Times New Roman" w:hAnsi="Times New Roman"/>
        </w:rPr>
        <w:t>Congress’s specific reliance on Section 5 of the 14</w:t>
      </w:r>
      <w:r w:rsidR="003D3EDB" w:rsidRPr="00B925AC">
        <w:rPr>
          <w:rFonts w:ascii="Times New Roman" w:hAnsi="Times New Roman"/>
          <w:vertAlign w:val="superscript"/>
        </w:rPr>
        <w:t>th</w:t>
      </w:r>
      <w:r w:rsidR="003D3EDB" w:rsidRPr="00B925AC">
        <w:rPr>
          <w:rFonts w:ascii="Times New Roman" w:hAnsi="Times New Roman"/>
        </w:rPr>
        <w:t xml:space="preserve"> Amendment as the authority for its action highlights the degree to which Congress was asserting </w:t>
      </w:r>
      <w:r w:rsidR="00B214E3" w:rsidRPr="00B925AC">
        <w:rPr>
          <w:rFonts w:ascii="Times New Roman" w:hAnsi="Times New Roman"/>
        </w:rPr>
        <w:t xml:space="preserve">power to </w:t>
      </w:r>
      <w:r w:rsidR="007F1100" w:rsidRPr="00B925AC">
        <w:rPr>
          <w:rFonts w:ascii="Times New Roman" w:hAnsi="Times New Roman"/>
        </w:rPr>
        <w:t xml:space="preserve">reject the Court’s interpretation of </w:t>
      </w:r>
      <w:r w:rsidR="00064EA1" w:rsidRPr="00B925AC">
        <w:rPr>
          <w:rFonts w:ascii="Times New Roman" w:hAnsi="Times New Roman"/>
        </w:rPr>
        <w:t xml:space="preserve">constitutional </w:t>
      </w:r>
      <w:r w:rsidR="007F1100" w:rsidRPr="00B925AC">
        <w:rPr>
          <w:rFonts w:ascii="Times New Roman" w:hAnsi="Times New Roman"/>
        </w:rPr>
        <w:t>rights</w:t>
      </w:r>
      <w:r w:rsidR="00B214E3" w:rsidRPr="00B925AC">
        <w:rPr>
          <w:rFonts w:ascii="Times New Roman" w:hAnsi="Times New Roman"/>
        </w:rPr>
        <w:t>.</w:t>
      </w:r>
    </w:p>
    <w:p w14:paraId="3A4FCC10" w14:textId="1434515C" w:rsidR="00E20F60" w:rsidRPr="00B925AC" w:rsidRDefault="00E20F60" w:rsidP="00F14ADE">
      <w:pPr>
        <w:rPr>
          <w:rFonts w:ascii="Times New Roman" w:hAnsi="Times New Roman"/>
        </w:rPr>
      </w:pPr>
      <w:r w:rsidRPr="00B925AC">
        <w:rPr>
          <w:rFonts w:ascii="Times New Roman" w:hAnsi="Times New Roman"/>
        </w:rPr>
        <w:t xml:space="preserve">On the other hand, </w:t>
      </w:r>
      <w:r w:rsidR="00B111F9" w:rsidRPr="00B925AC">
        <w:rPr>
          <w:rFonts w:ascii="Times New Roman" w:hAnsi="Times New Roman"/>
        </w:rPr>
        <w:t xml:space="preserve">RFRA can be seen as the ultimate punt to the judiciary. </w:t>
      </w:r>
      <w:r w:rsidR="00727847" w:rsidRPr="00B925AC">
        <w:rPr>
          <w:rFonts w:ascii="Times New Roman" w:hAnsi="Times New Roman"/>
        </w:rPr>
        <w:t xml:space="preserve">Congress said little about how courts should </w:t>
      </w:r>
      <w:r w:rsidR="003214D7" w:rsidRPr="00B925AC">
        <w:rPr>
          <w:rFonts w:ascii="Times New Roman" w:hAnsi="Times New Roman"/>
        </w:rPr>
        <w:t xml:space="preserve">separate valid from invalid claims under the statute. Moreover, the </w:t>
      </w:r>
      <w:r w:rsidR="004005B3" w:rsidRPr="00B925AC">
        <w:rPr>
          <w:rFonts w:ascii="Times New Roman" w:hAnsi="Times New Roman"/>
        </w:rPr>
        <w:t xml:space="preserve">specifications it did provide were borrowed from judicial case law. </w:t>
      </w:r>
      <w:r w:rsidR="008D58F2" w:rsidRPr="00B925AC">
        <w:rPr>
          <w:rFonts w:ascii="Times New Roman" w:hAnsi="Times New Roman"/>
        </w:rPr>
        <w:t xml:space="preserve">In effect, Congress told the courts that they had been doing fine without congressional guidance before </w:t>
      </w:r>
      <w:r w:rsidR="008D58F2" w:rsidRPr="00B925AC">
        <w:rPr>
          <w:rFonts w:ascii="Times New Roman" w:hAnsi="Times New Roman"/>
          <w:i/>
          <w:iCs/>
        </w:rPr>
        <w:t>Smith</w:t>
      </w:r>
      <w:r w:rsidR="008D58F2" w:rsidRPr="00B925AC">
        <w:rPr>
          <w:rFonts w:ascii="Times New Roman" w:hAnsi="Times New Roman"/>
        </w:rPr>
        <w:t xml:space="preserve"> and should simply go back to an older judicial model.</w:t>
      </w:r>
    </w:p>
    <w:p w14:paraId="6843FEEF" w14:textId="7938C74A" w:rsidR="00A615BB" w:rsidRPr="00B925AC" w:rsidRDefault="00182929" w:rsidP="00F14ADE">
      <w:pPr>
        <w:rPr>
          <w:rFonts w:ascii="Times New Roman" w:hAnsi="Times New Roman"/>
        </w:rPr>
      </w:pPr>
      <w:r w:rsidRPr="00B925AC">
        <w:rPr>
          <w:rFonts w:ascii="Times New Roman" w:hAnsi="Times New Roman"/>
        </w:rPr>
        <w:t xml:space="preserve">What Congress sought to do in RFRA can </w:t>
      </w:r>
      <w:r w:rsidR="00C054B0" w:rsidRPr="00B925AC">
        <w:rPr>
          <w:rFonts w:ascii="Times New Roman" w:hAnsi="Times New Roman"/>
        </w:rPr>
        <w:t xml:space="preserve">best </w:t>
      </w:r>
      <w:r w:rsidRPr="00B925AC">
        <w:rPr>
          <w:rFonts w:ascii="Times New Roman" w:hAnsi="Times New Roman"/>
        </w:rPr>
        <w:t>be described as shifting the ideological constraint</w:t>
      </w:r>
      <w:r w:rsidR="008B6C9E" w:rsidRPr="00B925AC">
        <w:rPr>
          <w:rFonts w:ascii="Times New Roman" w:hAnsi="Times New Roman"/>
        </w:rPr>
        <w:t xml:space="preserve">. In </w:t>
      </w:r>
      <w:r w:rsidR="00A71D7E" w:rsidRPr="00B925AC">
        <w:rPr>
          <w:rFonts w:ascii="Times New Roman" w:hAnsi="Times New Roman"/>
        </w:rPr>
        <w:t>short</w:t>
      </w:r>
      <w:r w:rsidR="008B6C9E" w:rsidRPr="00B925AC">
        <w:rPr>
          <w:rFonts w:ascii="Times New Roman" w:hAnsi="Times New Roman"/>
        </w:rPr>
        <w:t>, Congress sought to shift the country’s sense of “what goes with what.”</w:t>
      </w:r>
      <w:r w:rsidR="008903D7" w:rsidRPr="00B925AC">
        <w:rPr>
          <w:rStyle w:val="FootnoteReference"/>
          <w:rFonts w:ascii="Times New Roman" w:hAnsi="Times New Roman"/>
        </w:rPr>
        <w:footnoteReference w:id="245"/>
      </w:r>
    </w:p>
    <w:p w14:paraId="726FB54B" w14:textId="739F5743" w:rsidR="001E0176" w:rsidRPr="00B925AC" w:rsidRDefault="00EB67B3" w:rsidP="00F14ADE">
      <w:pPr>
        <w:rPr>
          <w:rFonts w:ascii="Times New Roman" w:hAnsi="Times New Roman"/>
        </w:rPr>
      </w:pPr>
      <w:r w:rsidRPr="00B925AC">
        <w:rPr>
          <w:rFonts w:ascii="Times New Roman" w:hAnsi="Times New Roman"/>
        </w:rPr>
        <w:t xml:space="preserve">In one vision of politics, </w:t>
      </w:r>
      <w:r w:rsidR="00EC1B69" w:rsidRPr="00B925AC">
        <w:rPr>
          <w:rFonts w:ascii="Times New Roman" w:hAnsi="Times New Roman"/>
        </w:rPr>
        <w:t xml:space="preserve">support for the Christian Right naturally goes with opposition to the rights of religious minorities. </w:t>
      </w:r>
      <w:r w:rsidR="00C86699" w:rsidRPr="00B925AC">
        <w:rPr>
          <w:rFonts w:ascii="Times New Roman" w:hAnsi="Times New Roman"/>
        </w:rPr>
        <w:t>Conservative Christians tend to vote for a different party than observant Jews and Muslims.</w:t>
      </w:r>
      <w:r w:rsidR="00435B7F" w:rsidRPr="00B925AC">
        <w:rPr>
          <w:rFonts w:ascii="Times New Roman" w:hAnsi="Times New Roman"/>
        </w:rPr>
        <w:t xml:space="preserve"> In another, support</w:t>
      </w:r>
      <w:r w:rsidR="002050F7" w:rsidRPr="00B925AC">
        <w:rPr>
          <w:rFonts w:ascii="Times New Roman" w:hAnsi="Times New Roman"/>
        </w:rPr>
        <w:t>ers</w:t>
      </w:r>
      <w:r w:rsidR="00435B7F" w:rsidRPr="00B925AC">
        <w:rPr>
          <w:rFonts w:ascii="Times New Roman" w:hAnsi="Times New Roman"/>
        </w:rPr>
        <w:t xml:space="preserve"> </w:t>
      </w:r>
      <w:r w:rsidR="002050F7" w:rsidRPr="00B925AC">
        <w:rPr>
          <w:rFonts w:ascii="Times New Roman" w:hAnsi="Times New Roman"/>
        </w:rPr>
        <w:t xml:space="preserve">of </w:t>
      </w:r>
      <w:r w:rsidR="00435B7F" w:rsidRPr="00B925AC">
        <w:rPr>
          <w:rFonts w:ascii="Times New Roman" w:hAnsi="Times New Roman"/>
        </w:rPr>
        <w:t>religion</w:t>
      </w:r>
      <w:r w:rsidR="002050F7" w:rsidRPr="00B925AC">
        <w:rPr>
          <w:rFonts w:ascii="Times New Roman" w:hAnsi="Times New Roman"/>
        </w:rPr>
        <w:t>,</w:t>
      </w:r>
      <w:r w:rsidR="00435B7F" w:rsidRPr="00B925AC">
        <w:rPr>
          <w:rFonts w:ascii="Times New Roman" w:hAnsi="Times New Roman"/>
        </w:rPr>
        <w:t xml:space="preserve"> generally</w:t>
      </w:r>
      <w:r w:rsidR="002050F7" w:rsidRPr="00B925AC">
        <w:rPr>
          <w:rFonts w:ascii="Times New Roman" w:hAnsi="Times New Roman"/>
        </w:rPr>
        <w:t>,</w:t>
      </w:r>
      <w:r w:rsidR="00435B7F" w:rsidRPr="00B925AC">
        <w:rPr>
          <w:rFonts w:ascii="Times New Roman" w:hAnsi="Times New Roman"/>
        </w:rPr>
        <w:t xml:space="preserve"> </w:t>
      </w:r>
      <w:r w:rsidR="002050F7" w:rsidRPr="00B925AC">
        <w:rPr>
          <w:rFonts w:ascii="Times New Roman" w:hAnsi="Times New Roman"/>
        </w:rPr>
        <w:t xml:space="preserve">should be pitted against those who would limit religion’s </w:t>
      </w:r>
      <w:r w:rsidR="004F6A44" w:rsidRPr="00B925AC">
        <w:rPr>
          <w:rFonts w:ascii="Times New Roman" w:hAnsi="Times New Roman"/>
        </w:rPr>
        <w:t>influence.</w:t>
      </w:r>
      <w:r w:rsidR="008D2FCF" w:rsidRPr="00B925AC">
        <w:rPr>
          <w:rStyle w:val="FootnoteReference"/>
          <w:rFonts w:ascii="Times New Roman" w:hAnsi="Times New Roman"/>
        </w:rPr>
        <w:footnoteReference w:id="246"/>
      </w:r>
      <w:r w:rsidR="00220D9B" w:rsidRPr="00B925AC">
        <w:rPr>
          <w:rFonts w:ascii="Times New Roman" w:hAnsi="Times New Roman"/>
        </w:rPr>
        <w:t xml:space="preserve"> In a third,</w:t>
      </w:r>
      <w:r w:rsidR="00667F6F" w:rsidRPr="00B925AC">
        <w:rPr>
          <w:rFonts w:ascii="Times New Roman" w:hAnsi="Times New Roman"/>
        </w:rPr>
        <w:t xml:space="preserve"> the divide should be between those who would limit some religious practices, </w:t>
      </w:r>
      <w:r w:rsidR="001B4E40" w:rsidRPr="00B925AC">
        <w:rPr>
          <w:rFonts w:ascii="Times New Roman" w:hAnsi="Times New Roman"/>
        </w:rPr>
        <w:t xml:space="preserve">in the name </w:t>
      </w:r>
      <w:r w:rsidR="00845ECD" w:rsidRPr="00B925AC">
        <w:rPr>
          <w:rFonts w:ascii="Times New Roman" w:hAnsi="Times New Roman"/>
        </w:rPr>
        <w:t xml:space="preserve">either </w:t>
      </w:r>
      <w:r w:rsidR="001B4E40" w:rsidRPr="00B925AC">
        <w:rPr>
          <w:rFonts w:ascii="Times New Roman" w:hAnsi="Times New Roman"/>
        </w:rPr>
        <w:t xml:space="preserve">of another faith or </w:t>
      </w:r>
      <w:r w:rsidR="00845ECD" w:rsidRPr="00B925AC">
        <w:rPr>
          <w:rFonts w:ascii="Times New Roman" w:hAnsi="Times New Roman"/>
        </w:rPr>
        <w:t>of secular values</w:t>
      </w:r>
      <w:r w:rsidR="00862EAF" w:rsidRPr="00B925AC">
        <w:rPr>
          <w:rFonts w:ascii="Times New Roman" w:hAnsi="Times New Roman"/>
        </w:rPr>
        <w:t>, and those who believe religious observance belongs to a private sphere that should be free from public regulation</w:t>
      </w:r>
      <w:r w:rsidR="002752C5" w:rsidRPr="00B925AC">
        <w:rPr>
          <w:rFonts w:ascii="Times New Roman" w:hAnsi="Times New Roman"/>
        </w:rPr>
        <w:t xml:space="preserve">. Whatever else they did, RFRA’s advocates sought to impose this third schema on </w:t>
      </w:r>
      <w:r w:rsidR="00D527C9" w:rsidRPr="00B925AC">
        <w:rPr>
          <w:rFonts w:ascii="Times New Roman" w:hAnsi="Times New Roman"/>
        </w:rPr>
        <w:t>politics.</w:t>
      </w:r>
      <w:bookmarkStart w:id="31" w:name="_Ref186275548"/>
      <w:r w:rsidR="007800B6" w:rsidRPr="00B925AC">
        <w:rPr>
          <w:rStyle w:val="FootnoteReference"/>
          <w:rFonts w:ascii="Times New Roman" w:hAnsi="Times New Roman"/>
        </w:rPr>
        <w:footnoteReference w:id="247"/>
      </w:r>
      <w:bookmarkEnd w:id="31"/>
    </w:p>
    <w:p w14:paraId="716E52C7" w14:textId="1F565AFB" w:rsidR="00C120C7" w:rsidRPr="00B925AC" w:rsidRDefault="006732C4" w:rsidP="002F0DCB">
      <w:pPr>
        <w:rPr>
          <w:rFonts w:ascii="Times New Roman" w:hAnsi="Times New Roman"/>
        </w:rPr>
      </w:pPr>
      <w:r w:rsidRPr="00B925AC">
        <w:rPr>
          <w:rFonts w:ascii="Times New Roman" w:hAnsi="Times New Roman"/>
        </w:rPr>
        <w:t xml:space="preserve">Changing the ideological constraint means </w:t>
      </w:r>
      <w:r w:rsidR="00B623A9" w:rsidRPr="00B925AC">
        <w:rPr>
          <w:rFonts w:ascii="Times New Roman" w:hAnsi="Times New Roman"/>
        </w:rPr>
        <w:t xml:space="preserve">drawing </w:t>
      </w:r>
      <w:r w:rsidRPr="00B925AC">
        <w:rPr>
          <w:rFonts w:ascii="Times New Roman" w:hAnsi="Times New Roman"/>
        </w:rPr>
        <w:t xml:space="preserve">some dividing lines while </w:t>
      </w:r>
      <w:r w:rsidR="00B623A9" w:rsidRPr="00B925AC">
        <w:rPr>
          <w:rFonts w:ascii="Times New Roman" w:hAnsi="Times New Roman"/>
        </w:rPr>
        <w:t xml:space="preserve">erasing </w:t>
      </w:r>
      <w:r w:rsidRPr="00B925AC">
        <w:rPr>
          <w:rFonts w:ascii="Times New Roman" w:hAnsi="Times New Roman"/>
        </w:rPr>
        <w:t>other</w:t>
      </w:r>
      <w:r w:rsidR="00B623A9" w:rsidRPr="00B925AC">
        <w:rPr>
          <w:rFonts w:ascii="Times New Roman" w:hAnsi="Times New Roman"/>
        </w:rPr>
        <w:t>s</w:t>
      </w:r>
      <w:r w:rsidRPr="00B925AC">
        <w:rPr>
          <w:rFonts w:ascii="Times New Roman" w:hAnsi="Times New Roman"/>
        </w:rPr>
        <w:t xml:space="preserve">. </w:t>
      </w:r>
      <w:r w:rsidR="00B623A9" w:rsidRPr="00B925AC">
        <w:rPr>
          <w:rFonts w:ascii="Times New Roman" w:hAnsi="Times New Roman"/>
        </w:rPr>
        <w:t xml:space="preserve">The RFRA coalition sought to </w:t>
      </w:r>
      <w:r w:rsidR="00457DD4" w:rsidRPr="00B925AC">
        <w:rPr>
          <w:rFonts w:ascii="Times New Roman" w:hAnsi="Times New Roman"/>
        </w:rPr>
        <w:t>erase a dividing line between observers of different faiths.</w:t>
      </w:r>
      <w:r w:rsidR="00360921" w:rsidRPr="00B925AC">
        <w:rPr>
          <w:rFonts w:ascii="Times New Roman" w:hAnsi="Times New Roman"/>
        </w:rPr>
        <w:t xml:space="preserve"> In doing so, they hoped to </w:t>
      </w:r>
      <w:r w:rsidR="00DE40A4" w:rsidRPr="00B925AC">
        <w:rPr>
          <w:rFonts w:ascii="Times New Roman" w:hAnsi="Times New Roman"/>
        </w:rPr>
        <w:t xml:space="preserve">define the relevant political cleavage as one between </w:t>
      </w:r>
      <w:r w:rsidR="00462F0E" w:rsidRPr="00B925AC">
        <w:rPr>
          <w:rFonts w:ascii="Times New Roman" w:hAnsi="Times New Roman"/>
        </w:rPr>
        <w:t>tolerance</w:t>
      </w:r>
      <w:r w:rsidR="00DE40A4" w:rsidRPr="00B925AC">
        <w:rPr>
          <w:rFonts w:ascii="Times New Roman" w:hAnsi="Times New Roman"/>
        </w:rPr>
        <w:t xml:space="preserve"> and intolerance, with people of all faiths </w:t>
      </w:r>
      <w:r w:rsidR="00DE40A4" w:rsidRPr="00B925AC">
        <w:rPr>
          <w:rFonts w:ascii="Times New Roman" w:hAnsi="Times New Roman"/>
        </w:rPr>
        <w:lastRenderedPageBreak/>
        <w:t xml:space="preserve">asserting the </w:t>
      </w:r>
      <w:r w:rsidR="00C120C7" w:rsidRPr="00B925AC">
        <w:rPr>
          <w:rFonts w:ascii="Times New Roman" w:hAnsi="Times New Roman"/>
        </w:rPr>
        <w:t>principle of toleration for faith, as faith.</w:t>
      </w:r>
      <w:r w:rsidR="002F0DCB" w:rsidRPr="00B925AC">
        <w:rPr>
          <w:rFonts w:ascii="Times New Roman" w:hAnsi="Times New Roman"/>
        </w:rPr>
        <w:t xml:space="preserve"> The</w:t>
      </w:r>
      <w:r w:rsidR="00D1488F" w:rsidRPr="00B925AC">
        <w:rPr>
          <w:rFonts w:ascii="Times New Roman" w:hAnsi="Times New Roman"/>
        </w:rPr>
        <w:t>y</w:t>
      </w:r>
      <w:r w:rsidR="002F0DCB" w:rsidRPr="00B925AC">
        <w:rPr>
          <w:rFonts w:ascii="Times New Roman" w:hAnsi="Times New Roman"/>
        </w:rPr>
        <w:t xml:space="preserve"> asserted that toleration for doctrinaire Christianity “goes with” toleration for </w:t>
      </w:r>
      <w:r w:rsidR="004837B2" w:rsidRPr="00B925AC">
        <w:rPr>
          <w:rFonts w:ascii="Times New Roman" w:hAnsi="Times New Roman"/>
        </w:rPr>
        <w:t>doctrinaire observance of other religious faiths, while intolerance of minority religions “goes with” intolerance of Christians.</w:t>
      </w:r>
    </w:p>
    <w:p w14:paraId="0D2DB052" w14:textId="4E33B98C" w:rsidR="00D1488F" w:rsidRPr="00B925AC" w:rsidRDefault="007F522F" w:rsidP="002F0DCB">
      <w:pPr>
        <w:rPr>
          <w:rFonts w:ascii="Times New Roman" w:hAnsi="Times New Roman"/>
        </w:rPr>
      </w:pPr>
      <w:r w:rsidRPr="00B925AC">
        <w:rPr>
          <w:rFonts w:ascii="Times New Roman" w:hAnsi="Times New Roman"/>
        </w:rPr>
        <w:t>But</w:t>
      </w:r>
      <w:r w:rsidR="00845CEF" w:rsidRPr="00B925AC">
        <w:rPr>
          <w:rFonts w:ascii="Times New Roman" w:hAnsi="Times New Roman"/>
        </w:rPr>
        <w:t xml:space="preserve"> while the RFRA coalition’s line-drawing and line-erasing effort was </w:t>
      </w:r>
      <w:r w:rsidR="00CC6987" w:rsidRPr="00B925AC">
        <w:rPr>
          <w:rFonts w:ascii="Times New Roman" w:hAnsi="Times New Roman"/>
        </w:rPr>
        <w:t xml:space="preserve">every bit as reasonable as any other, political actors cannot obviate the need to draw those lines that they themselves would rather ignore. </w:t>
      </w:r>
      <w:r w:rsidR="00385DD6" w:rsidRPr="00B925AC">
        <w:rPr>
          <w:rFonts w:ascii="Times New Roman" w:hAnsi="Times New Roman"/>
        </w:rPr>
        <w:t xml:space="preserve">Somebody has to decide whether a particular claimant will prevail. </w:t>
      </w:r>
      <w:r w:rsidR="00FF286B" w:rsidRPr="00B925AC">
        <w:rPr>
          <w:rFonts w:ascii="Times New Roman" w:hAnsi="Times New Roman"/>
        </w:rPr>
        <w:t xml:space="preserve">Under RFRA, this would involve an analysis of which beliefs </w:t>
      </w:r>
      <w:r w:rsidR="004D6D22" w:rsidRPr="00B925AC">
        <w:rPr>
          <w:rFonts w:ascii="Times New Roman" w:hAnsi="Times New Roman"/>
        </w:rPr>
        <w:t xml:space="preserve">should be considered religious, which </w:t>
      </w:r>
      <w:r w:rsidR="00FF286B" w:rsidRPr="00B925AC">
        <w:rPr>
          <w:rFonts w:ascii="Times New Roman" w:hAnsi="Times New Roman"/>
        </w:rPr>
        <w:t xml:space="preserve">are held in good faith, </w:t>
      </w:r>
      <w:r w:rsidR="00B77BF9" w:rsidRPr="00B925AC">
        <w:rPr>
          <w:rFonts w:ascii="Times New Roman" w:hAnsi="Times New Roman"/>
        </w:rPr>
        <w:t xml:space="preserve">and </w:t>
      </w:r>
      <w:r w:rsidR="00917C7B" w:rsidRPr="00B925AC">
        <w:rPr>
          <w:rFonts w:ascii="Times New Roman" w:hAnsi="Times New Roman"/>
        </w:rPr>
        <w:t>which run contrary to a compelling state interest.</w:t>
      </w:r>
      <w:r w:rsidR="00717118" w:rsidRPr="00B925AC">
        <w:rPr>
          <w:rStyle w:val="FootnoteReference"/>
          <w:rFonts w:ascii="Times New Roman" w:hAnsi="Times New Roman"/>
        </w:rPr>
        <w:footnoteReference w:id="248"/>
      </w:r>
      <w:r w:rsidR="00917C7B" w:rsidRPr="00B925AC">
        <w:rPr>
          <w:rFonts w:ascii="Times New Roman" w:hAnsi="Times New Roman"/>
        </w:rPr>
        <w:t xml:space="preserve"> </w:t>
      </w:r>
      <w:r w:rsidR="00FA5E6F" w:rsidRPr="00B925AC">
        <w:rPr>
          <w:rFonts w:ascii="Times New Roman" w:hAnsi="Times New Roman"/>
        </w:rPr>
        <w:t xml:space="preserve">RFRA contemplated that the courts would continue to </w:t>
      </w:r>
      <w:r w:rsidR="002507B4" w:rsidRPr="00B925AC">
        <w:rPr>
          <w:rFonts w:ascii="Times New Roman" w:hAnsi="Times New Roman"/>
        </w:rPr>
        <w:t>separate winners from losers.</w:t>
      </w:r>
    </w:p>
    <w:p w14:paraId="2D8142D9" w14:textId="0DF1383D" w:rsidR="00B55E3A" w:rsidRPr="00B925AC" w:rsidRDefault="00B55E3A" w:rsidP="002F0DCB">
      <w:pPr>
        <w:rPr>
          <w:rFonts w:ascii="Times New Roman" w:hAnsi="Times New Roman"/>
        </w:rPr>
      </w:pPr>
      <w:r w:rsidRPr="00B925AC">
        <w:rPr>
          <w:rFonts w:ascii="Times New Roman" w:hAnsi="Times New Roman"/>
        </w:rPr>
        <w:t xml:space="preserve">What RFRA’s proponents sought to achieve, then, was a </w:t>
      </w:r>
      <w:r w:rsidR="00287176" w:rsidRPr="00B925AC">
        <w:rPr>
          <w:rFonts w:ascii="Times New Roman" w:hAnsi="Times New Roman"/>
        </w:rPr>
        <w:t xml:space="preserve">shift in which dividing lines are politically salient and which are judicially salient. </w:t>
      </w:r>
      <w:r w:rsidR="003503C7" w:rsidRPr="00B925AC">
        <w:rPr>
          <w:rFonts w:ascii="Times New Roman" w:hAnsi="Times New Roman"/>
        </w:rPr>
        <w:t xml:space="preserve">They sought to unite the interests of people of faith, so that politicians would not be forced to choose between different </w:t>
      </w:r>
      <w:r w:rsidR="00BC25EF" w:rsidRPr="00B925AC">
        <w:rPr>
          <w:rFonts w:ascii="Times New Roman" w:hAnsi="Times New Roman"/>
        </w:rPr>
        <w:t>religious belief</w:t>
      </w:r>
      <w:r w:rsidR="00051DD6" w:rsidRPr="00B925AC">
        <w:rPr>
          <w:rFonts w:ascii="Times New Roman" w:hAnsi="Times New Roman"/>
        </w:rPr>
        <w:t>s. At the same time, they outsourced those decisions to the courts.</w:t>
      </w:r>
    </w:p>
    <w:p w14:paraId="0F71C005" w14:textId="74500199" w:rsidR="00083119" w:rsidRPr="00B925AC" w:rsidRDefault="0032584F" w:rsidP="002F0DCB">
      <w:pPr>
        <w:rPr>
          <w:rFonts w:ascii="Times New Roman" w:hAnsi="Times New Roman"/>
        </w:rPr>
      </w:pPr>
      <w:r w:rsidRPr="00B925AC">
        <w:rPr>
          <w:rFonts w:ascii="Times New Roman" w:hAnsi="Times New Roman"/>
        </w:rPr>
        <w:t xml:space="preserve">A full normative analysis of this kind of move is beyond the scope of this paper, but a few </w:t>
      </w:r>
      <w:r w:rsidR="00235ED6" w:rsidRPr="00B925AC">
        <w:rPr>
          <w:rFonts w:ascii="Times New Roman" w:hAnsi="Times New Roman"/>
        </w:rPr>
        <w:t xml:space="preserve">preliminary thoughts are in order. </w:t>
      </w:r>
      <w:r w:rsidR="00483A35" w:rsidRPr="00B925AC">
        <w:rPr>
          <w:rFonts w:ascii="Times New Roman" w:hAnsi="Times New Roman"/>
        </w:rPr>
        <w:t xml:space="preserve">I do not mean to point to RFRA as a perfect example of how politicians </w:t>
      </w:r>
      <w:r w:rsidR="00D631F4" w:rsidRPr="00B925AC">
        <w:rPr>
          <w:rFonts w:ascii="Times New Roman" w:hAnsi="Times New Roman"/>
        </w:rPr>
        <w:t xml:space="preserve">resolve the </w:t>
      </w:r>
      <w:proofErr w:type="spellStart"/>
      <w:r w:rsidR="00D67569" w:rsidRPr="00B925AC">
        <w:rPr>
          <w:rFonts w:ascii="Times New Roman" w:hAnsi="Times New Roman"/>
        </w:rPr>
        <w:t>countermajoritarian</w:t>
      </w:r>
      <w:proofErr w:type="spellEnd"/>
      <w:r w:rsidR="00D631F4" w:rsidRPr="00B925AC">
        <w:rPr>
          <w:rFonts w:ascii="Times New Roman" w:hAnsi="Times New Roman"/>
        </w:rPr>
        <w:t xml:space="preserve"> tension. </w:t>
      </w:r>
      <w:r w:rsidR="00124776" w:rsidRPr="00B925AC">
        <w:rPr>
          <w:rFonts w:ascii="Times New Roman" w:hAnsi="Times New Roman"/>
        </w:rPr>
        <w:t xml:space="preserve">I am troubled by </w:t>
      </w:r>
      <w:r w:rsidR="00F54EA7" w:rsidRPr="00B925AC">
        <w:rPr>
          <w:rFonts w:ascii="Times New Roman" w:hAnsi="Times New Roman"/>
        </w:rPr>
        <w:t xml:space="preserve">how RFRA has been used since its passage, and I acknowledge that any effort to redraw political lines to unify some groups can have the effect of leaving others </w:t>
      </w:r>
      <w:r w:rsidR="00C00DBF" w:rsidRPr="00B925AC">
        <w:rPr>
          <w:rFonts w:ascii="Times New Roman" w:hAnsi="Times New Roman"/>
        </w:rPr>
        <w:t>even more isolated.</w:t>
      </w:r>
      <w:r w:rsidR="00F54EA7" w:rsidRPr="00B925AC">
        <w:rPr>
          <w:rFonts w:ascii="Times New Roman" w:hAnsi="Times New Roman"/>
        </w:rPr>
        <w:t xml:space="preserve"> </w:t>
      </w:r>
    </w:p>
    <w:p w14:paraId="2EE173C7" w14:textId="5439CE30" w:rsidR="007B4188" w:rsidRPr="00B925AC" w:rsidRDefault="00BC22BE" w:rsidP="006C35D9">
      <w:pPr>
        <w:rPr>
          <w:rFonts w:ascii="Times New Roman" w:hAnsi="Times New Roman"/>
        </w:rPr>
      </w:pPr>
      <w:r w:rsidRPr="00B925AC">
        <w:rPr>
          <w:rFonts w:ascii="Times New Roman" w:hAnsi="Times New Roman"/>
        </w:rPr>
        <w:t xml:space="preserve">But </w:t>
      </w:r>
      <w:r w:rsidR="0084742C" w:rsidRPr="00B925AC">
        <w:rPr>
          <w:rFonts w:ascii="Times New Roman" w:hAnsi="Times New Roman"/>
        </w:rPr>
        <w:t>RFRA</w:t>
      </w:r>
      <w:r w:rsidRPr="00B925AC">
        <w:rPr>
          <w:rFonts w:ascii="Times New Roman" w:hAnsi="Times New Roman"/>
        </w:rPr>
        <w:t xml:space="preserve"> does suggest how </w:t>
      </w:r>
      <w:r w:rsidR="009D64E9" w:rsidRPr="00B925AC">
        <w:rPr>
          <w:rFonts w:ascii="Times New Roman" w:hAnsi="Times New Roman"/>
        </w:rPr>
        <w:t xml:space="preserve">the </w:t>
      </w:r>
      <w:proofErr w:type="spellStart"/>
      <w:r w:rsidR="00820303" w:rsidRPr="00B925AC">
        <w:rPr>
          <w:rFonts w:ascii="Times New Roman" w:hAnsi="Times New Roman"/>
        </w:rPr>
        <w:t>countermajoritarian</w:t>
      </w:r>
      <w:proofErr w:type="spellEnd"/>
      <w:r w:rsidR="00820303" w:rsidRPr="00B925AC">
        <w:rPr>
          <w:rFonts w:ascii="Times New Roman" w:hAnsi="Times New Roman"/>
        </w:rPr>
        <w:t xml:space="preserve"> </w:t>
      </w:r>
      <w:r w:rsidRPr="00B925AC">
        <w:rPr>
          <w:rFonts w:ascii="Times New Roman" w:hAnsi="Times New Roman"/>
        </w:rPr>
        <w:t xml:space="preserve">tension can operate in a way that pushes America towards greater inclusion. </w:t>
      </w:r>
      <w:r w:rsidR="00B45E82" w:rsidRPr="00B925AC">
        <w:rPr>
          <w:rFonts w:ascii="Times New Roman" w:hAnsi="Times New Roman"/>
        </w:rPr>
        <w:t xml:space="preserve">One way to dissipate the tension is to reduce the political salience of the lines that divide the ins from the outs. </w:t>
      </w:r>
      <w:r w:rsidR="000557CB" w:rsidRPr="00B925AC">
        <w:rPr>
          <w:rFonts w:ascii="Times New Roman" w:hAnsi="Times New Roman"/>
        </w:rPr>
        <w:t xml:space="preserve">Rational politicians will seek to </w:t>
      </w:r>
      <w:r w:rsidR="00FE4979" w:rsidRPr="00B925AC">
        <w:rPr>
          <w:rFonts w:ascii="Times New Roman" w:hAnsi="Times New Roman"/>
        </w:rPr>
        <w:t xml:space="preserve">alter Americans’ sense of “what goes with what” such that </w:t>
      </w:r>
      <w:r w:rsidR="00935AAA" w:rsidRPr="00B925AC">
        <w:rPr>
          <w:rFonts w:ascii="Times New Roman" w:hAnsi="Times New Roman"/>
        </w:rPr>
        <w:t>previously excluded groups are included in “us” rather than derided as “them.”</w:t>
      </w:r>
      <w:r w:rsidR="002D3D82" w:rsidRPr="00B925AC">
        <w:rPr>
          <w:rFonts w:ascii="Times New Roman" w:hAnsi="Times New Roman"/>
        </w:rPr>
        <w:t xml:space="preserve"> Under many circumstances, there will be politicians who oppose this effort, seeking to </w:t>
      </w:r>
      <w:r w:rsidR="00924B79" w:rsidRPr="00B925AC">
        <w:rPr>
          <w:rFonts w:ascii="Times New Roman" w:hAnsi="Times New Roman"/>
        </w:rPr>
        <w:t xml:space="preserve">use their political opponents’ loyalties to unpopular minorities as a wedge to divide them from the general public. </w:t>
      </w:r>
      <w:r w:rsidR="001E634E" w:rsidRPr="00B925AC">
        <w:rPr>
          <w:rFonts w:ascii="Times New Roman" w:hAnsi="Times New Roman"/>
        </w:rPr>
        <w:t xml:space="preserve">But rational politicians, following the incentives described in this paper, should be looking for paths to greater unity. </w:t>
      </w:r>
      <w:r w:rsidR="00E21D38" w:rsidRPr="00B925AC">
        <w:rPr>
          <w:rFonts w:ascii="Times New Roman" w:hAnsi="Times New Roman"/>
        </w:rPr>
        <w:t>RFRA suggests that such paths can be found.</w:t>
      </w:r>
    </w:p>
    <w:p w14:paraId="0B477709" w14:textId="58250487" w:rsidR="00AC31C6" w:rsidRPr="00B925AC" w:rsidRDefault="00AC31C6" w:rsidP="00AC31C6">
      <w:pPr>
        <w:pStyle w:val="Heading1"/>
        <w:rPr>
          <w:rFonts w:ascii="Times New Roman" w:hAnsi="Times New Roman"/>
        </w:rPr>
      </w:pPr>
      <w:r w:rsidRPr="00B925AC">
        <w:rPr>
          <w:rFonts w:ascii="Times New Roman" w:hAnsi="Times New Roman"/>
        </w:rPr>
        <w:t xml:space="preserve">IV.  </w:t>
      </w:r>
      <w:r w:rsidR="00543765" w:rsidRPr="00B925AC">
        <w:rPr>
          <w:rFonts w:ascii="Times New Roman" w:hAnsi="Times New Roman"/>
        </w:rPr>
        <w:t>Applicability</w:t>
      </w:r>
    </w:p>
    <w:p w14:paraId="6662AD36" w14:textId="7B8BBCEC" w:rsidR="003E7854" w:rsidRPr="00B925AC" w:rsidRDefault="00543765" w:rsidP="004A6715">
      <w:pPr>
        <w:rPr>
          <w:rFonts w:ascii="Times New Roman" w:hAnsi="Times New Roman"/>
        </w:rPr>
      </w:pPr>
      <w:r w:rsidRPr="00B925AC">
        <w:rPr>
          <w:rFonts w:ascii="Times New Roman" w:hAnsi="Times New Roman"/>
        </w:rPr>
        <w:t xml:space="preserve">Thus far, I have argued for a particular model of “small-c constitutionalism” as it operates in Congress specifically and among political actors more generally. In </w:t>
      </w:r>
      <w:r w:rsidRPr="00B925AC">
        <w:rPr>
          <w:rFonts w:ascii="Times New Roman" w:hAnsi="Times New Roman"/>
        </w:rPr>
        <w:lastRenderedPageBreak/>
        <w:t xml:space="preserve">this section, I address two lingering questions. First, to what degree should we expect small-c constitutionalism – the process by which political actors </w:t>
      </w:r>
      <w:r w:rsidR="0066720C" w:rsidRPr="00B925AC">
        <w:rPr>
          <w:rFonts w:ascii="Times New Roman" w:hAnsi="Times New Roman"/>
        </w:rPr>
        <w:t>develop rules regarding the policies they will and will not accept – to incorporate large-C Constitutionalism – a process of deriving constitutional rules from the U.S. Constitution</w:t>
      </w:r>
      <w:r w:rsidR="00AF692D" w:rsidRPr="00B925AC">
        <w:rPr>
          <w:rFonts w:ascii="Times New Roman" w:hAnsi="Times New Roman"/>
        </w:rPr>
        <w:t>? And second, when should we expect this process of political constitutionalism to produce rules that bind participants? I address each question in turn.</w:t>
      </w:r>
    </w:p>
    <w:p w14:paraId="3C7294F6" w14:textId="4E55891B" w:rsidR="00C00937" w:rsidRPr="00B925AC" w:rsidRDefault="00500837" w:rsidP="00C00937">
      <w:pPr>
        <w:pStyle w:val="Heading2"/>
        <w:rPr>
          <w:rFonts w:ascii="Times New Roman" w:hAnsi="Times New Roman"/>
        </w:rPr>
      </w:pPr>
      <w:r w:rsidRPr="00B925AC">
        <w:rPr>
          <w:rFonts w:ascii="Times New Roman" w:hAnsi="Times New Roman"/>
        </w:rPr>
        <w:t>Small-c and Large-C Constitutionalism</w:t>
      </w:r>
    </w:p>
    <w:p w14:paraId="30901049" w14:textId="79CB8DFB" w:rsidR="00EA077D" w:rsidRPr="00B925AC" w:rsidRDefault="00500837" w:rsidP="00EA077D">
      <w:pPr>
        <w:rPr>
          <w:rFonts w:ascii="Times New Roman" w:hAnsi="Times New Roman"/>
        </w:rPr>
      </w:pPr>
      <w:r w:rsidRPr="00B925AC">
        <w:rPr>
          <w:rFonts w:ascii="Times New Roman" w:hAnsi="Times New Roman"/>
        </w:rPr>
        <w:t xml:space="preserve">To this point, </w:t>
      </w:r>
      <w:r w:rsidR="00EC118C" w:rsidRPr="00B925AC">
        <w:rPr>
          <w:rFonts w:ascii="Times New Roman" w:hAnsi="Times New Roman"/>
        </w:rPr>
        <w:t xml:space="preserve">I have sought to show that Congress adopts and follows principles and that such principles </w:t>
      </w:r>
      <w:r w:rsidR="0081655A" w:rsidRPr="00B925AC">
        <w:rPr>
          <w:rFonts w:ascii="Times New Roman" w:hAnsi="Times New Roman"/>
        </w:rPr>
        <w:t>can protect minority rights against majority preferences.</w:t>
      </w:r>
      <w:r w:rsidR="000442F1" w:rsidRPr="00B925AC">
        <w:rPr>
          <w:rFonts w:ascii="Times New Roman" w:hAnsi="Times New Roman"/>
        </w:rPr>
        <w:t xml:space="preserve"> In other words, Congress has a small-c constitution that imposes important constraints on policymaking.</w:t>
      </w:r>
      <w:r w:rsidR="00EA077D" w:rsidRPr="00B925AC">
        <w:rPr>
          <w:rFonts w:ascii="Times New Roman" w:hAnsi="Times New Roman"/>
        </w:rPr>
        <w:t xml:space="preserve"> This is the key point of this paper.</w:t>
      </w:r>
    </w:p>
    <w:p w14:paraId="1C0A9674" w14:textId="6F8191DC" w:rsidR="00EA077D" w:rsidRPr="00B925AC" w:rsidRDefault="00EA077D" w:rsidP="00EA077D">
      <w:pPr>
        <w:rPr>
          <w:rFonts w:ascii="Times New Roman" w:hAnsi="Times New Roman"/>
        </w:rPr>
      </w:pPr>
      <w:r w:rsidRPr="00B925AC">
        <w:rPr>
          <w:rFonts w:ascii="Times New Roman" w:hAnsi="Times New Roman"/>
        </w:rPr>
        <w:t xml:space="preserve">Nonetheless, I want to briefly consider the degree to which Congress’s small-c constitution should be expected to include </w:t>
      </w:r>
      <w:r w:rsidR="00AA389B" w:rsidRPr="00B925AC">
        <w:rPr>
          <w:rFonts w:ascii="Times New Roman" w:hAnsi="Times New Roman"/>
        </w:rPr>
        <w:t xml:space="preserve">those provisions associated with the large-C Constitution. </w:t>
      </w:r>
      <w:r w:rsidR="00D21628" w:rsidRPr="00B925AC">
        <w:rPr>
          <w:rFonts w:ascii="Times New Roman" w:hAnsi="Times New Roman"/>
        </w:rPr>
        <w:t xml:space="preserve">Can we expect large-C Constitutional limitations like the First </w:t>
      </w:r>
      <w:r w:rsidR="00A6293F" w:rsidRPr="00B925AC">
        <w:rPr>
          <w:rFonts w:ascii="Times New Roman" w:hAnsi="Times New Roman"/>
        </w:rPr>
        <w:t>and Tenth amendments to be incorporated into Congress’s small-c constitution, as I have described it.</w:t>
      </w:r>
      <w:r w:rsidR="00E84A45" w:rsidRPr="00B925AC">
        <w:rPr>
          <w:rStyle w:val="FootnoteReference"/>
          <w:rFonts w:ascii="Times New Roman" w:hAnsi="Times New Roman"/>
        </w:rPr>
        <w:footnoteReference w:id="249"/>
      </w:r>
      <w:r w:rsidR="00A6293F" w:rsidRPr="00B925AC">
        <w:rPr>
          <w:rFonts w:ascii="Times New Roman" w:hAnsi="Times New Roman"/>
        </w:rPr>
        <w:t xml:space="preserve"> </w:t>
      </w:r>
      <w:r w:rsidR="00D4214A" w:rsidRPr="00B925AC">
        <w:rPr>
          <w:rFonts w:ascii="Times New Roman" w:hAnsi="Times New Roman"/>
        </w:rPr>
        <w:t>Armed with the model laid out in this paper, we can get some purchase on this question.</w:t>
      </w:r>
    </w:p>
    <w:p w14:paraId="733A4783" w14:textId="70698AEC" w:rsidR="00324CE8" w:rsidRPr="00B925AC" w:rsidRDefault="00324CE8" w:rsidP="00EA077D">
      <w:pPr>
        <w:rPr>
          <w:rFonts w:ascii="Times New Roman" w:hAnsi="Times New Roman"/>
        </w:rPr>
      </w:pPr>
      <w:r w:rsidRPr="00B925AC">
        <w:rPr>
          <w:rFonts w:ascii="Times New Roman" w:hAnsi="Times New Roman"/>
        </w:rPr>
        <w:t>The key conceptual move here is to think about the large-C Constitution as a set of tools, not a set of rules.</w:t>
      </w:r>
      <w:r w:rsidR="00B439C3" w:rsidRPr="00B925AC">
        <w:rPr>
          <w:rStyle w:val="FootnoteReference"/>
          <w:rFonts w:ascii="Times New Roman" w:hAnsi="Times New Roman"/>
        </w:rPr>
        <w:footnoteReference w:id="250"/>
      </w:r>
      <w:r w:rsidRPr="00B925AC">
        <w:rPr>
          <w:rFonts w:ascii="Times New Roman" w:hAnsi="Times New Roman"/>
        </w:rPr>
        <w:t xml:space="preserve"> </w:t>
      </w:r>
      <w:r w:rsidR="00635CD5" w:rsidRPr="00B925AC">
        <w:rPr>
          <w:rFonts w:ascii="Times New Roman" w:hAnsi="Times New Roman"/>
        </w:rPr>
        <w:t xml:space="preserve">The rules-based approach </w:t>
      </w:r>
      <w:r w:rsidR="00217F49" w:rsidRPr="00B925AC">
        <w:rPr>
          <w:rFonts w:ascii="Times New Roman" w:hAnsi="Times New Roman"/>
        </w:rPr>
        <w:t xml:space="preserve">imagines that the Constitution </w:t>
      </w:r>
      <w:r w:rsidR="00933350" w:rsidRPr="00B925AC">
        <w:rPr>
          <w:rFonts w:ascii="Times New Roman" w:hAnsi="Times New Roman"/>
        </w:rPr>
        <w:t xml:space="preserve">requires and prohibits certain actions, </w:t>
      </w:r>
      <w:r w:rsidR="00925559" w:rsidRPr="00B925AC">
        <w:rPr>
          <w:rFonts w:ascii="Times New Roman" w:hAnsi="Times New Roman"/>
        </w:rPr>
        <w:t>and constitutionalism can be measured by the degree to which these rules are respected.</w:t>
      </w:r>
      <w:r w:rsidR="00CD570D" w:rsidRPr="00B925AC">
        <w:rPr>
          <w:rFonts w:ascii="Times New Roman" w:hAnsi="Times New Roman"/>
        </w:rPr>
        <w:t xml:space="preserve"> </w:t>
      </w:r>
      <w:r w:rsidR="00D6413B" w:rsidRPr="00B925AC">
        <w:rPr>
          <w:rFonts w:ascii="Times New Roman" w:hAnsi="Times New Roman"/>
        </w:rPr>
        <w:t xml:space="preserve">A </w:t>
      </w:r>
      <w:r w:rsidR="00206A96" w:rsidRPr="00B925AC">
        <w:rPr>
          <w:rFonts w:ascii="Times New Roman" w:hAnsi="Times New Roman"/>
        </w:rPr>
        <w:t xml:space="preserve">rules-based approach </w:t>
      </w:r>
      <w:r w:rsidR="00006176" w:rsidRPr="00B925AC">
        <w:rPr>
          <w:rFonts w:ascii="Times New Roman" w:hAnsi="Times New Roman"/>
        </w:rPr>
        <w:t xml:space="preserve">sees constraint as something external to the ordinary process of decision-making. We can tell that somebody is following the rules only if they want to do X but nonetheless </w:t>
      </w:r>
      <w:r w:rsidR="00E866A5" w:rsidRPr="00B925AC">
        <w:rPr>
          <w:rFonts w:ascii="Times New Roman" w:hAnsi="Times New Roman"/>
        </w:rPr>
        <w:t xml:space="preserve">follow </w:t>
      </w:r>
      <w:r w:rsidR="00006176" w:rsidRPr="00B925AC">
        <w:rPr>
          <w:rFonts w:ascii="Times New Roman" w:hAnsi="Times New Roman"/>
        </w:rPr>
        <w:t xml:space="preserve">a rule </w:t>
      </w:r>
      <w:r w:rsidR="005922D5" w:rsidRPr="00B925AC">
        <w:rPr>
          <w:rFonts w:ascii="Times New Roman" w:hAnsi="Times New Roman"/>
        </w:rPr>
        <w:t>that dictates</w:t>
      </w:r>
      <w:r w:rsidR="00006176" w:rsidRPr="00B925AC">
        <w:rPr>
          <w:rFonts w:ascii="Times New Roman" w:hAnsi="Times New Roman"/>
        </w:rPr>
        <w:t xml:space="preserve"> not-X.</w:t>
      </w:r>
      <w:r w:rsidR="00A2557C" w:rsidRPr="00B925AC">
        <w:rPr>
          <w:rFonts w:ascii="Times New Roman" w:hAnsi="Times New Roman"/>
        </w:rPr>
        <w:t xml:space="preserve"> Hence legal scholars’ </w:t>
      </w:r>
      <w:r w:rsidR="004A0765" w:rsidRPr="00B925AC">
        <w:rPr>
          <w:rFonts w:ascii="Times New Roman" w:hAnsi="Times New Roman"/>
        </w:rPr>
        <w:t>interest in</w:t>
      </w:r>
      <w:r w:rsidR="00E95B1C" w:rsidRPr="00B925AC">
        <w:rPr>
          <w:rFonts w:ascii="Times New Roman" w:hAnsi="Times New Roman"/>
        </w:rPr>
        <w:t xml:space="preserve"> </w:t>
      </w:r>
      <w:r w:rsidR="00A2557C" w:rsidRPr="00B925AC">
        <w:rPr>
          <w:rFonts w:ascii="Times New Roman" w:hAnsi="Times New Roman"/>
        </w:rPr>
        <w:lastRenderedPageBreak/>
        <w:t xml:space="preserve">finding situations in which MCs </w:t>
      </w:r>
      <w:r w:rsidR="001E76DB" w:rsidRPr="00B925AC">
        <w:rPr>
          <w:rFonts w:ascii="Times New Roman" w:hAnsi="Times New Roman"/>
        </w:rPr>
        <w:t xml:space="preserve">clearly </w:t>
      </w:r>
      <w:r w:rsidR="00724026" w:rsidRPr="00B925AC">
        <w:rPr>
          <w:rFonts w:ascii="Times New Roman" w:hAnsi="Times New Roman"/>
        </w:rPr>
        <w:t>want to enact a policy but conclude that the policy is unconstitutional.</w:t>
      </w:r>
      <w:r w:rsidR="002A03C6" w:rsidRPr="00B925AC">
        <w:rPr>
          <w:rStyle w:val="FootnoteReference"/>
          <w:rFonts w:ascii="Times New Roman" w:hAnsi="Times New Roman"/>
        </w:rPr>
        <w:footnoteReference w:id="251"/>
      </w:r>
      <w:r w:rsidR="00724026" w:rsidRPr="00B925AC">
        <w:rPr>
          <w:rFonts w:ascii="Times New Roman" w:hAnsi="Times New Roman"/>
        </w:rPr>
        <w:t xml:space="preserve"> </w:t>
      </w:r>
    </w:p>
    <w:p w14:paraId="3E676C95" w14:textId="51B7659F" w:rsidR="00E4195B" w:rsidRPr="00B925AC" w:rsidRDefault="00CB79DB" w:rsidP="00B10D78">
      <w:pPr>
        <w:rPr>
          <w:rFonts w:ascii="Times New Roman" w:hAnsi="Times New Roman"/>
        </w:rPr>
      </w:pPr>
      <w:r w:rsidRPr="00B925AC">
        <w:rPr>
          <w:rFonts w:ascii="Times New Roman" w:hAnsi="Times New Roman"/>
        </w:rPr>
        <w:t xml:space="preserve">If the Constitution is a tool, however, </w:t>
      </w:r>
      <w:r w:rsidR="00271D8F" w:rsidRPr="00B925AC">
        <w:rPr>
          <w:rFonts w:ascii="Times New Roman" w:hAnsi="Times New Roman"/>
        </w:rPr>
        <w:t xml:space="preserve">we must take a different approach to describing and evaluating a constitutional system. </w:t>
      </w:r>
      <w:r w:rsidR="009633E4" w:rsidRPr="00B925AC">
        <w:rPr>
          <w:rFonts w:ascii="Times New Roman" w:hAnsi="Times New Roman"/>
        </w:rPr>
        <w:t xml:space="preserve">First, we can accept the Legal Realist insight that legal rules constrain, if at all, in a very limited </w:t>
      </w:r>
      <w:r w:rsidR="001C6AEF" w:rsidRPr="00B925AC">
        <w:rPr>
          <w:rFonts w:ascii="Times New Roman" w:hAnsi="Times New Roman"/>
        </w:rPr>
        <w:t xml:space="preserve">fashion. However, </w:t>
      </w:r>
      <w:r w:rsidR="007C758C" w:rsidRPr="00B925AC">
        <w:rPr>
          <w:rFonts w:ascii="Times New Roman" w:hAnsi="Times New Roman"/>
        </w:rPr>
        <w:t xml:space="preserve">that does not mean they are irrelevant. </w:t>
      </w:r>
      <w:r w:rsidR="00BC7F9B" w:rsidRPr="00B925AC">
        <w:rPr>
          <w:rFonts w:ascii="Times New Roman" w:hAnsi="Times New Roman"/>
        </w:rPr>
        <w:t xml:space="preserve">Just as a hammer is useful for driving in a nail but not for polishing a </w:t>
      </w:r>
      <w:r w:rsidR="00B4710D" w:rsidRPr="00B925AC">
        <w:rPr>
          <w:rFonts w:ascii="Times New Roman" w:hAnsi="Times New Roman"/>
        </w:rPr>
        <w:t>windowpane</w:t>
      </w:r>
      <w:r w:rsidR="00BC7F9B" w:rsidRPr="00B925AC">
        <w:rPr>
          <w:rFonts w:ascii="Times New Roman" w:hAnsi="Times New Roman"/>
        </w:rPr>
        <w:t xml:space="preserve">, the Constitution </w:t>
      </w:r>
      <w:r w:rsidR="00D16063" w:rsidRPr="00B925AC">
        <w:rPr>
          <w:rFonts w:ascii="Times New Roman" w:hAnsi="Times New Roman"/>
        </w:rPr>
        <w:t>is useful for some purposes but not others.</w:t>
      </w:r>
      <w:r w:rsidR="00B10D78" w:rsidRPr="00B925AC">
        <w:rPr>
          <w:rFonts w:ascii="Times New Roman" w:hAnsi="Times New Roman"/>
        </w:rPr>
        <w:t xml:space="preserve"> The way to evaluate American constitutionalism is not to </w:t>
      </w:r>
      <w:r w:rsidR="007E7731" w:rsidRPr="00B925AC">
        <w:rPr>
          <w:rFonts w:ascii="Times New Roman" w:hAnsi="Times New Roman"/>
        </w:rPr>
        <w:t xml:space="preserve">determine which rules </w:t>
      </w:r>
      <w:r w:rsidR="00F52042" w:rsidRPr="00B925AC">
        <w:rPr>
          <w:rFonts w:ascii="Times New Roman" w:hAnsi="Times New Roman"/>
        </w:rPr>
        <w:t>the Constitution contains and how well they are followed, but to determine which ends it facilitates.</w:t>
      </w:r>
    </w:p>
    <w:p w14:paraId="51CB3617" w14:textId="3ECFC7DA" w:rsidR="00F52042" w:rsidRPr="00B925AC" w:rsidRDefault="00C72F93" w:rsidP="00B10D78">
      <w:pPr>
        <w:rPr>
          <w:rFonts w:ascii="Times New Roman" w:hAnsi="Times New Roman"/>
        </w:rPr>
      </w:pPr>
      <w:r w:rsidRPr="00B925AC">
        <w:rPr>
          <w:rFonts w:ascii="Times New Roman" w:hAnsi="Times New Roman"/>
        </w:rPr>
        <w:t xml:space="preserve">Of course, we cannot evaluate a tool without knowing what its users want to accomplish. </w:t>
      </w:r>
      <w:r w:rsidR="00105D99" w:rsidRPr="00B925AC">
        <w:rPr>
          <w:rFonts w:ascii="Times New Roman" w:hAnsi="Times New Roman"/>
        </w:rPr>
        <w:t xml:space="preserve">A hammer is one thing in the hands of a carpenter and something very different in the hands of a murderer. </w:t>
      </w:r>
      <w:r w:rsidR="00605553" w:rsidRPr="00B925AC">
        <w:rPr>
          <w:rFonts w:ascii="Times New Roman" w:hAnsi="Times New Roman"/>
        </w:rPr>
        <w:t>This is where coalitional constitutionalism comes in.</w:t>
      </w:r>
    </w:p>
    <w:p w14:paraId="69C5F912" w14:textId="3B5E4797" w:rsidR="00605553" w:rsidRPr="00B925AC" w:rsidRDefault="003A46E0" w:rsidP="00B10D78">
      <w:pPr>
        <w:rPr>
          <w:rFonts w:ascii="Times New Roman" w:hAnsi="Times New Roman"/>
        </w:rPr>
      </w:pPr>
      <w:r w:rsidRPr="00B925AC">
        <w:rPr>
          <w:rFonts w:ascii="Times New Roman" w:hAnsi="Times New Roman"/>
        </w:rPr>
        <w:t xml:space="preserve">As </w:t>
      </w:r>
      <w:r w:rsidR="003A7EB9" w:rsidRPr="00B925AC">
        <w:rPr>
          <w:rFonts w:ascii="Times New Roman" w:hAnsi="Times New Roman"/>
        </w:rPr>
        <w:t xml:space="preserve">I argue above, coalitional constitutionalism produces a tension in politicians between the desire to include the excluded and the desire to win votes among </w:t>
      </w:r>
      <w:r w:rsidR="009B4B9F" w:rsidRPr="00B925AC">
        <w:rPr>
          <w:rFonts w:ascii="Times New Roman" w:hAnsi="Times New Roman"/>
        </w:rPr>
        <w:t xml:space="preserve">the general electorate. </w:t>
      </w:r>
      <w:r w:rsidR="00B05A91" w:rsidRPr="00B925AC">
        <w:rPr>
          <w:rFonts w:ascii="Times New Roman" w:hAnsi="Times New Roman"/>
        </w:rPr>
        <w:t xml:space="preserve">Politicians will naturally search for ways to dissipate that tension. </w:t>
      </w:r>
      <w:r w:rsidR="00572970" w:rsidRPr="00B925AC">
        <w:rPr>
          <w:rFonts w:ascii="Times New Roman" w:hAnsi="Times New Roman"/>
        </w:rPr>
        <w:t xml:space="preserve">One way to do so is to </w:t>
      </w:r>
      <w:r w:rsidR="00F20ED3" w:rsidRPr="00B925AC">
        <w:rPr>
          <w:rFonts w:ascii="Times New Roman" w:hAnsi="Times New Roman"/>
        </w:rPr>
        <w:t>restructure the categories of political analysis</w:t>
      </w:r>
      <w:r w:rsidR="002D23E8" w:rsidRPr="00B925AC">
        <w:rPr>
          <w:rFonts w:ascii="Times New Roman" w:hAnsi="Times New Roman"/>
        </w:rPr>
        <w:t xml:space="preserve">, to redefine “us” and “them” </w:t>
      </w:r>
      <w:r w:rsidR="006420AE" w:rsidRPr="00B925AC">
        <w:rPr>
          <w:rFonts w:ascii="Times New Roman" w:hAnsi="Times New Roman"/>
        </w:rPr>
        <w:t xml:space="preserve">such that </w:t>
      </w:r>
      <w:r w:rsidR="002D23E8" w:rsidRPr="00B925AC">
        <w:rPr>
          <w:rFonts w:ascii="Times New Roman" w:hAnsi="Times New Roman"/>
        </w:rPr>
        <w:t xml:space="preserve">“us” </w:t>
      </w:r>
      <w:r w:rsidR="006420AE" w:rsidRPr="00B925AC">
        <w:rPr>
          <w:rFonts w:ascii="Times New Roman" w:hAnsi="Times New Roman"/>
        </w:rPr>
        <w:t xml:space="preserve">includes </w:t>
      </w:r>
      <w:r w:rsidR="002D23E8" w:rsidRPr="00B925AC">
        <w:rPr>
          <w:rFonts w:ascii="Times New Roman" w:hAnsi="Times New Roman"/>
        </w:rPr>
        <w:t xml:space="preserve">a group of people who had previously been </w:t>
      </w:r>
      <w:r w:rsidR="00E9099D" w:rsidRPr="00B925AC">
        <w:rPr>
          <w:rFonts w:ascii="Times New Roman" w:hAnsi="Times New Roman"/>
        </w:rPr>
        <w:t xml:space="preserve">part of “them.” </w:t>
      </w:r>
      <w:r w:rsidR="009F774D" w:rsidRPr="00B925AC">
        <w:rPr>
          <w:rFonts w:ascii="Times New Roman" w:hAnsi="Times New Roman"/>
        </w:rPr>
        <w:t xml:space="preserve">When politicians engage in such restructuring, they may encounter opponents who benefit from the existing structure, </w:t>
      </w:r>
      <w:r w:rsidR="004A57D8" w:rsidRPr="00B925AC">
        <w:rPr>
          <w:rFonts w:ascii="Times New Roman" w:hAnsi="Times New Roman"/>
        </w:rPr>
        <w:t xml:space="preserve">politicians who would rather drive a wedge between groups than unite them. </w:t>
      </w:r>
      <w:r w:rsidR="00CB59DA" w:rsidRPr="00B925AC">
        <w:rPr>
          <w:rFonts w:ascii="Times New Roman" w:hAnsi="Times New Roman"/>
        </w:rPr>
        <w:t>The uniters will therefore seek whatever tools they can muster to achieve their goals.</w:t>
      </w:r>
      <w:r w:rsidR="00F032C9" w:rsidRPr="00B925AC">
        <w:rPr>
          <w:rFonts w:ascii="Times New Roman" w:hAnsi="Times New Roman"/>
        </w:rPr>
        <w:t xml:space="preserve"> The Constitution provides a set of tools that are </w:t>
      </w:r>
      <w:r w:rsidR="004A6190" w:rsidRPr="00B925AC">
        <w:rPr>
          <w:rFonts w:ascii="Times New Roman" w:hAnsi="Times New Roman"/>
        </w:rPr>
        <w:t>helpful for this task.</w:t>
      </w:r>
    </w:p>
    <w:p w14:paraId="30254DDA" w14:textId="6A24AF8B" w:rsidR="008E0839" w:rsidRPr="00B925AC" w:rsidRDefault="004A6190" w:rsidP="00B10D78">
      <w:pPr>
        <w:rPr>
          <w:rFonts w:ascii="Times New Roman" w:hAnsi="Times New Roman"/>
        </w:rPr>
      </w:pPr>
      <w:r w:rsidRPr="00B925AC">
        <w:rPr>
          <w:rFonts w:ascii="Times New Roman" w:hAnsi="Times New Roman"/>
        </w:rPr>
        <w:t xml:space="preserve">Examples abound. </w:t>
      </w:r>
      <w:r w:rsidR="00E1093E" w:rsidRPr="00B925AC">
        <w:rPr>
          <w:rFonts w:ascii="Times New Roman" w:hAnsi="Times New Roman"/>
        </w:rPr>
        <w:t xml:space="preserve">In </w:t>
      </w:r>
      <w:r w:rsidR="00E1093E" w:rsidRPr="00B925AC">
        <w:rPr>
          <w:rFonts w:ascii="Times New Roman" w:hAnsi="Times New Roman"/>
          <w:i/>
          <w:iCs/>
        </w:rPr>
        <w:t>Lawrence v. Texas</w:t>
      </w:r>
      <w:r w:rsidR="00E1093E" w:rsidRPr="00B925AC">
        <w:rPr>
          <w:rFonts w:ascii="Times New Roman" w:hAnsi="Times New Roman"/>
        </w:rPr>
        <w:t>,</w:t>
      </w:r>
      <w:r w:rsidR="00803104" w:rsidRPr="00B925AC">
        <w:rPr>
          <w:rStyle w:val="FootnoteReference"/>
          <w:rFonts w:ascii="Times New Roman" w:hAnsi="Times New Roman"/>
        </w:rPr>
        <w:footnoteReference w:id="252"/>
      </w:r>
      <w:r w:rsidR="00E1093E" w:rsidRPr="00B925AC">
        <w:rPr>
          <w:rFonts w:ascii="Times New Roman" w:hAnsi="Times New Roman"/>
        </w:rPr>
        <w:t xml:space="preserve"> one of the key disputes between the majority and the minority was over the relevant categories. In dissent, citing </w:t>
      </w:r>
      <w:r w:rsidR="00E1093E" w:rsidRPr="00B925AC">
        <w:rPr>
          <w:rFonts w:ascii="Times New Roman" w:hAnsi="Times New Roman"/>
          <w:i/>
          <w:iCs/>
        </w:rPr>
        <w:t>Bowers v. Hardwick</w:t>
      </w:r>
      <w:r w:rsidR="00E1093E" w:rsidRPr="00B925AC">
        <w:rPr>
          <w:rFonts w:ascii="Times New Roman" w:hAnsi="Times New Roman"/>
        </w:rPr>
        <w:t>,</w:t>
      </w:r>
      <w:r w:rsidR="00803104" w:rsidRPr="00B925AC">
        <w:rPr>
          <w:rStyle w:val="FootnoteReference"/>
          <w:rFonts w:ascii="Times New Roman" w:hAnsi="Times New Roman"/>
        </w:rPr>
        <w:footnoteReference w:id="253"/>
      </w:r>
      <w:r w:rsidR="00E1093E" w:rsidRPr="00B925AC">
        <w:rPr>
          <w:rFonts w:ascii="Times New Roman" w:hAnsi="Times New Roman"/>
        </w:rPr>
        <w:t xml:space="preserve"> </w:t>
      </w:r>
      <w:r w:rsidR="009D5DBC" w:rsidRPr="00B925AC">
        <w:rPr>
          <w:rFonts w:ascii="Times New Roman" w:hAnsi="Times New Roman"/>
        </w:rPr>
        <w:t xml:space="preserve">Justice Scalia insisted that </w:t>
      </w:r>
      <w:r w:rsidR="00803104" w:rsidRPr="00B925AC">
        <w:rPr>
          <w:rFonts w:ascii="Times New Roman" w:hAnsi="Times New Roman"/>
        </w:rPr>
        <w:t xml:space="preserve">the relevant question was whether there </w:t>
      </w:r>
      <w:r w:rsidR="00824590" w:rsidRPr="00B925AC">
        <w:rPr>
          <w:rFonts w:ascii="Times New Roman" w:hAnsi="Times New Roman"/>
        </w:rPr>
        <w:t xml:space="preserve">is </w:t>
      </w:r>
      <w:r w:rsidR="00803104" w:rsidRPr="00B925AC">
        <w:rPr>
          <w:rFonts w:ascii="Times New Roman" w:hAnsi="Times New Roman"/>
        </w:rPr>
        <w:t>a “right to homosexual sodomy.”</w:t>
      </w:r>
      <w:r w:rsidR="00803104" w:rsidRPr="00B925AC">
        <w:rPr>
          <w:rStyle w:val="FootnoteReference"/>
          <w:rFonts w:ascii="Times New Roman" w:hAnsi="Times New Roman"/>
        </w:rPr>
        <w:footnoteReference w:id="254"/>
      </w:r>
      <w:r w:rsidR="008E0839" w:rsidRPr="00B925AC">
        <w:rPr>
          <w:rFonts w:ascii="Times New Roman" w:hAnsi="Times New Roman"/>
        </w:rPr>
        <w:t xml:space="preserve"> He concluded there is not.</w:t>
      </w:r>
      <w:r w:rsidR="00677706" w:rsidRPr="00B925AC">
        <w:rPr>
          <w:rStyle w:val="FootnoteReference"/>
          <w:rFonts w:ascii="Times New Roman" w:hAnsi="Times New Roman"/>
        </w:rPr>
        <w:footnoteReference w:id="255"/>
      </w:r>
    </w:p>
    <w:p w14:paraId="526F1424" w14:textId="41A4EC56" w:rsidR="0034205C" w:rsidRPr="00B925AC" w:rsidRDefault="008E0839" w:rsidP="0034205C">
      <w:pPr>
        <w:rPr>
          <w:rFonts w:ascii="Times New Roman" w:hAnsi="Times New Roman"/>
        </w:rPr>
      </w:pPr>
      <w:r w:rsidRPr="00B925AC">
        <w:rPr>
          <w:rFonts w:ascii="Times New Roman" w:hAnsi="Times New Roman"/>
        </w:rPr>
        <w:t xml:space="preserve">Justice Kennedy’s majority opinion did not so much </w:t>
      </w:r>
      <w:r w:rsidR="00F7675B" w:rsidRPr="00B925AC">
        <w:rPr>
          <w:rFonts w:ascii="Times New Roman" w:hAnsi="Times New Roman"/>
        </w:rPr>
        <w:t xml:space="preserve">challenge Scalia’s answer as it rejected his question. For the majority, the question was whether </w:t>
      </w:r>
      <w:r w:rsidR="00194DE1" w:rsidRPr="00B925AC">
        <w:rPr>
          <w:rFonts w:ascii="Times New Roman" w:hAnsi="Times New Roman"/>
        </w:rPr>
        <w:t xml:space="preserve">intimate conduct engaged in by consenting adults in the privacy of their bedroom is </w:t>
      </w:r>
      <w:r w:rsidR="00194DE1" w:rsidRPr="00B925AC">
        <w:rPr>
          <w:rFonts w:ascii="Times New Roman" w:hAnsi="Times New Roman"/>
        </w:rPr>
        <w:lastRenderedPageBreak/>
        <w:t>constitutionally protected.</w:t>
      </w:r>
      <w:r w:rsidR="00247A8D" w:rsidRPr="00B925AC">
        <w:rPr>
          <w:rStyle w:val="FootnoteReference"/>
          <w:rFonts w:ascii="Times New Roman" w:hAnsi="Times New Roman"/>
        </w:rPr>
        <w:footnoteReference w:id="256"/>
      </w:r>
      <w:r w:rsidR="00194DE1" w:rsidRPr="00B925AC">
        <w:rPr>
          <w:rFonts w:ascii="Times New Roman" w:hAnsi="Times New Roman"/>
        </w:rPr>
        <w:t xml:space="preserve"> The answer to that question</w:t>
      </w:r>
      <w:r w:rsidR="00CF2F39" w:rsidRPr="00B925AC">
        <w:rPr>
          <w:rFonts w:ascii="Times New Roman" w:hAnsi="Times New Roman"/>
        </w:rPr>
        <w:t xml:space="preserve"> </w:t>
      </w:r>
      <w:r w:rsidR="00194DE1" w:rsidRPr="00B925AC">
        <w:rPr>
          <w:rFonts w:ascii="Times New Roman" w:hAnsi="Times New Roman"/>
        </w:rPr>
        <w:t xml:space="preserve">was as clear </w:t>
      </w:r>
      <w:r w:rsidR="00CF2F39" w:rsidRPr="00B925AC">
        <w:rPr>
          <w:rFonts w:ascii="Times New Roman" w:hAnsi="Times New Roman"/>
        </w:rPr>
        <w:t xml:space="preserve">to the majority </w:t>
      </w:r>
      <w:r w:rsidR="00194DE1" w:rsidRPr="00B925AC">
        <w:rPr>
          <w:rFonts w:ascii="Times New Roman" w:hAnsi="Times New Roman"/>
        </w:rPr>
        <w:t xml:space="preserve">as the answer to Scalia’s question was clear to him. If the right to privacy means anything, it </w:t>
      </w:r>
      <w:r w:rsidR="008740B7" w:rsidRPr="00B925AC">
        <w:rPr>
          <w:rFonts w:ascii="Times New Roman" w:hAnsi="Times New Roman"/>
        </w:rPr>
        <w:t>means the answer to Kennedy’s question must be yes.</w:t>
      </w:r>
      <w:r w:rsidR="0034205C" w:rsidRPr="00B925AC">
        <w:rPr>
          <w:rFonts w:ascii="Times New Roman" w:hAnsi="Times New Roman"/>
        </w:rPr>
        <w:t xml:space="preserve"> By shifting the relevant category, from “homosexual conduct” to “</w:t>
      </w:r>
      <w:r w:rsidR="00A8600F" w:rsidRPr="00B925AC">
        <w:rPr>
          <w:rFonts w:ascii="Times New Roman" w:hAnsi="Times New Roman"/>
        </w:rPr>
        <w:t>sexual conduct by consenting adults,” Kennedy shifted the analysis.</w:t>
      </w:r>
    </w:p>
    <w:p w14:paraId="04817369" w14:textId="327DB133" w:rsidR="00CB79DB" w:rsidRPr="00B925AC" w:rsidRDefault="001C1EA6" w:rsidP="00EA077D">
      <w:pPr>
        <w:rPr>
          <w:rFonts w:ascii="Times New Roman" w:hAnsi="Times New Roman"/>
        </w:rPr>
      </w:pPr>
      <w:r w:rsidRPr="00B925AC">
        <w:rPr>
          <w:rFonts w:ascii="Times New Roman" w:hAnsi="Times New Roman"/>
        </w:rPr>
        <w:t xml:space="preserve">The </w:t>
      </w:r>
      <w:r w:rsidR="003B38B7" w:rsidRPr="00B925AC">
        <w:rPr>
          <w:rFonts w:ascii="Times New Roman" w:hAnsi="Times New Roman"/>
        </w:rPr>
        <w:t xml:space="preserve">proponents of RFRA attempted a similar shift. Rather than </w:t>
      </w:r>
      <w:r w:rsidR="007D6948" w:rsidRPr="00B925AC">
        <w:rPr>
          <w:rFonts w:ascii="Times New Roman" w:hAnsi="Times New Roman"/>
        </w:rPr>
        <w:t>engaging in a debate over the rights of Native American drug users</w:t>
      </w:r>
      <w:r w:rsidR="00CB46C0" w:rsidRPr="00B925AC">
        <w:rPr>
          <w:rFonts w:ascii="Times New Roman" w:hAnsi="Times New Roman"/>
        </w:rPr>
        <w:t>, they precipitated a debate over people of faith, as a group.</w:t>
      </w:r>
      <w:r w:rsidR="00281FA6" w:rsidRPr="00B925AC">
        <w:rPr>
          <w:rStyle w:val="FootnoteReference"/>
          <w:rFonts w:ascii="Times New Roman" w:hAnsi="Times New Roman"/>
        </w:rPr>
        <w:footnoteReference w:id="257"/>
      </w:r>
      <w:r w:rsidR="00CB46C0" w:rsidRPr="00B925AC">
        <w:rPr>
          <w:rFonts w:ascii="Times New Roman" w:hAnsi="Times New Roman"/>
        </w:rPr>
        <w:t xml:space="preserve"> </w:t>
      </w:r>
      <w:r w:rsidR="004F7295" w:rsidRPr="00B925AC">
        <w:rPr>
          <w:rFonts w:ascii="Times New Roman" w:hAnsi="Times New Roman"/>
        </w:rPr>
        <w:t xml:space="preserve">This is no small feat. </w:t>
      </w:r>
      <w:r w:rsidR="00A26182" w:rsidRPr="00B925AC">
        <w:rPr>
          <w:rFonts w:ascii="Times New Roman" w:hAnsi="Times New Roman"/>
        </w:rPr>
        <w:t xml:space="preserve">It should be fairly easy to get different peoples, all of whom believe they have the correct understanding of God’s will, to disagree among themselves. </w:t>
      </w:r>
      <w:r w:rsidR="00655C83" w:rsidRPr="00B925AC">
        <w:rPr>
          <w:rFonts w:ascii="Times New Roman" w:hAnsi="Times New Roman"/>
        </w:rPr>
        <w:t>RFRA’s proponents were able to submerge those differences.</w:t>
      </w:r>
    </w:p>
    <w:p w14:paraId="4B6CBE0D" w14:textId="46B201CA" w:rsidR="00655C83" w:rsidRPr="00B925AC" w:rsidRDefault="00655C83" w:rsidP="00EA077D">
      <w:pPr>
        <w:rPr>
          <w:rFonts w:ascii="Times New Roman" w:hAnsi="Times New Roman"/>
        </w:rPr>
      </w:pPr>
      <w:r w:rsidRPr="00B925AC">
        <w:rPr>
          <w:rFonts w:ascii="Times New Roman" w:hAnsi="Times New Roman"/>
        </w:rPr>
        <w:t xml:space="preserve">Their tool, like the tool used by Justice Kennedy and countless others, was the U.S. Constitution. </w:t>
      </w:r>
      <w:r w:rsidR="00EB2D6D" w:rsidRPr="00B925AC">
        <w:rPr>
          <w:rFonts w:ascii="Times New Roman" w:hAnsi="Times New Roman"/>
        </w:rPr>
        <w:t>The Constitution made it plausible that “religious rights” is a politically</w:t>
      </w:r>
      <w:r w:rsidR="00C11A30" w:rsidRPr="00B925AC">
        <w:rPr>
          <w:rFonts w:ascii="Times New Roman" w:hAnsi="Times New Roman"/>
        </w:rPr>
        <w:t xml:space="preserve"> </w:t>
      </w:r>
      <w:r w:rsidR="00EB2D6D" w:rsidRPr="00B925AC">
        <w:rPr>
          <w:rFonts w:ascii="Times New Roman" w:hAnsi="Times New Roman"/>
        </w:rPr>
        <w:t>relevant category, just as “private, sexual conduct” is a judicially</w:t>
      </w:r>
      <w:r w:rsidR="00C11A30" w:rsidRPr="00B925AC">
        <w:rPr>
          <w:rFonts w:ascii="Times New Roman" w:hAnsi="Times New Roman"/>
        </w:rPr>
        <w:t xml:space="preserve"> </w:t>
      </w:r>
      <w:r w:rsidR="00EB2D6D" w:rsidRPr="00B925AC">
        <w:rPr>
          <w:rFonts w:ascii="Times New Roman" w:hAnsi="Times New Roman"/>
        </w:rPr>
        <w:t xml:space="preserve">relevant category. </w:t>
      </w:r>
      <w:r w:rsidR="00BC194B" w:rsidRPr="00B925AC">
        <w:rPr>
          <w:rFonts w:ascii="Times New Roman" w:hAnsi="Times New Roman"/>
        </w:rPr>
        <w:t>The Constitution makes it plausible that the relevant category for speech regulations is “speech,” and not “Communist speech” or “</w:t>
      </w:r>
      <w:r w:rsidR="00D404C0" w:rsidRPr="00B925AC">
        <w:rPr>
          <w:rFonts w:ascii="Times New Roman" w:hAnsi="Times New Roman"/>
        </w:rPr>
        <w:t>reactionary speech.”</w:t>
      </w:r>
      <w:r w:rsidR="00AD4D27" w:rsidRPr="00B925AC">
        <w:rPr>
          <w:rFonts w:ascii="Times New Roman" w:hAnsi="Times New Roman"/>
        </w:rPr>
        <w:t xml:space="preserve"> </w:t>
      </w:r>
      <w:r w:rsidR="009049CA" w:rsidRPr="00B925AC">
        <w:rPr>
          <w:rFonts w:ascii="Times New Roman" w:hAnsi="Times New Roman"/>
        </w:rPr>
        <w:t>And so on.</w:t>
      </w:r>
    </w:p>
    <w:p w14:paraId="0608C39F" w14:textId="32821891" w:rsidR="00E57ED3" w:rsidRPr="00B925AC" w:rsidRDefault="00E57ED3" w:rsidP="00EA077D">
      <w:pPr>
        <w:rPr>
          <w:rFonts w:ascii="Times New Roman" w:hAnsi="Times New Roman"/>
        </w:rPr>
      </w:pPr>
      <w:r w:rsidRPr="00B925AC">
        <w:rPr>
          <w:rFonts w:ascii="Times New Roman" w:hAnsi="Times New Roman"/>
        </w:rPr>
        <w:t xml:space="preserve">This is not to say that the Constitution is inherently unifying. </w:t>
      </w:r>
      <w:r w:rsidR="00C421BF" w:rsidRPr="00B925AC">
        <w:rPr>
          <w:rFonts w:ascii="Times New Roman" w:hAnsi="Times New Roman"/>
        </w:rPr>
        <w:t xml:space="preserve">The Constitution may divide potential allies. </w:t>
      </w:r>
      <w:r w:rsidR="00CF2D92" w:rsidRPr="00B925AC">
        <w:rPr>
          <w:rFonts w:ascii="Times New Roman" w:hAnsi="Times New Roman"/>
        </w:rPr>
        <w:t xml:space="preserve">By creating a specific legal regime for religious rights, </w:t>
      </w:r>
      <w:r w:rsidR="003D2DB2" w:rsidRPr="00B925AC">
        <w:rPr>
          <w:rFonts w:ascii="Times New Roman" w:hAnsi="Times New Roman"/>
        </w:rPr>
        <w:t xml:space="preserve">for example, </w:t>
      </w:r>
      <w:r w:rsidR="00AF3E6C" w:rsidRPr="00B925AC">
        <w:rPr>
          <w:rFonts w:ascii="Times New Roman" w:hAnsi="Times New Roman"/>
        </w:rPr>
        <w:t xml:space="preserve">the First Amendment arguably drives a wedge between people who claim the right to use drugs because </w:t>
      </w:r>
      <w:r w:rsidR="00375778" w:rsidRPr="00B925AC">
        <w:rPr>
          <w:rFonts w:ascii="Times New Roman" w:hAnsi="Times New Roman"/>
        </w:rPr>
        <w:t xml:space="preserve">they are not hurting anybody </w:t>
      </w:r>
      <w:r w:rsidR="001A40F9" w:rsidRPr="00B925AC">
        <w:rPr>
          <w:rFonts w:ascii="Times New Roman" w:hAnsi="Times New Roman"/>
        </w:rPr>
        <w:t>and</w:t>
      </w:r>
      <w:r w:rsidR="00375778" w:rsidRPr="00B925AC">
        <w:rPr>
          <w:rFonts w:ascii="Times New Roman" w:hAnsi="Times New Roman"/>
        </w:rPr>
        <w:t xml:space="preserve"> those who use drugs because their faith tells them to.</w:t>
      </w:r>
      <w:r w:rsidR="00777E1E" w:rsidRPr="00B925AC">
        <w:rPr>
          <w:rFonts w:ascii="Times New Roman" w:hAnsi="Times New Roman"/>
        </w:rPr>
        <w:t xml:space="preserve"> My point is </w:t>
      </w:r>
      <w:r w:rsidR="00227563" w:rsidRPr="00B925AC">
        <w:rPr>
          <w:rFonts w:ascii="Times New Roman" w:hAnsi="Times New Roman"/>
        </w:rPr>
        <w:t xml:space="preserve">not that the Constitution can only be used to unify, but that </w:t>
      </w:r>
      <w:r w:rsidR="00FD4FEC" w:rsidRPr="00B925AC">
        <w:rPr>
          <w:rFonts w:ascii="Times New Roman" w:hAnsi="Times New Roman"/>
        </w:rPr>
        <w:t xml:space="preserve">it can help political actors </w:t>
      </w:r>
      <w:r w:rsidR="007B25F2" w:rsidRPr="00B925AC">
        <w:rPr>
          <w:rFonts w:ascii="Times New Roman" w:hAnsi="Times New Roman"/>
        </w:rPr>
        <w:t>push back on efforts to discriminate, not by declaring those efforts unlawful but by giving political actors tools to restructure the political categories that make discrimination politically compelling.</w:t>
      </w:r>
      <w:r w:rsidR="006F7F69" w:rsidRPr="00B925AC">
        <w:rPr>
          <w:rFonts w:ascii="Times New Roman" w:hAnsi="Times New Roman"/>
        </w:rPr>
        <w:t xml:space="preserve"> </w:t>
      </w:r>
    </w:p>
    <w:p w14:paraId="06FD42A5" w14:textId="54C3BA72" w:rsidR="00886D15" w:rsidRPr="00B925AC" w:rsidRDefault="00080F63" w:rsidP="0093748B">
      <w:pPr>
        <w:rPr>
          <w:rFonts w:ascii="Times New Roman" w:hAnsi="Times New Roman"/>
        </w:rPr>
      </w:pPr>
      <w:r w:rsidRPr="00B925AC">
        <w:rPr>
          <w:rFonts w:ascii="Times New Roman" w:hAnsi="Times New Roman"/>
        </w:rPr>
        <w:t xml:space="preserve">In short, we should expect to see the Constitution used as a tool when it is helpful to politicians seeking to dissipate the </w:t>
      </w:r>
      <w:proofErr w:type="spellStart"/>
      <w:r w:rsidRPr="00B925AC">
        <w:rPr>
          <w:rFonts w:ascii="Times New Roman" w:hAnsi="Times New Roman"/>
        </w:rPr>
        <w:t>countermajoritarian</w:t>
      </w:r>
      <w:proofErr w:type="spellEnd"/>
      <w:r w:rsidRPr="00B925AC">
        <w:rPr>
          <w:rFonts w:ascii="Times New Roman" w:hAnsi="Times New Roman"/>
        </w:rPr>
        <w:t xml:space="preserve"> tension described in this paper. </w:t>
      </w:r>
      <w:r w:rsidR="004725A1" w:rsidRPr="00B925AC">
        <w:rPr>
          <w:rFonts w:ascii="Times New Roman" w:hAnsi="Times New Roman"/>
        </w:rPr>
        <w:t xml:space="preserve">Because politicians will frequently want to dissipate that tension by rewriting </w:t>
      </w:r>
      <w:r w:rsidR="00F17925" w:rsidRPr="00B925AC">
        <w:rPr>
          <w:rFonts w:ascii="Times New Roman" w:hAnsi="Times New Roman"/>
        </w:rPr>
        <w:t xml:space="preserve">politically relevant categories – by shifting from “gay people” to “people” or from “Communist speakers” to “speakers” – we should expect to see the large-C Constitution </w:t>
      </w:r>
      <w:r w:rsidR="00E67047" w:rsidRPr="00B925AC">
        <w:rPr>
          <w:rFonts w:ascii="Times New Roman" w:hAnsi="Times New Roman"/>
        </w:rPr>
        <w:t xml:space="preserve">reflected in the small-c constitution. </w:t>
      </w:r>
      <w:r w:rsidR="0066033D" w:rsidRPr="00B925AC">
        <w:rPr>
          <w:rFonts w:ascii="Times New Roman" w:hAnsi="Times New Roman"/>
        </w:rPr>
        <w:t xml:space="preserve">This implies both that </w:t>
      </w:r>
      <w:r w:rsidR="0066033D" w:rsidRPr="00B925AC">
        <w:rPr>
          <w:rFonts w:ascii="Times New Roman" w:hAnsi="Times New Roman"/>
        </w:rPr>
        <w:lastRenderedPageBreak/>
        <w:t>constitutionalism can be useful for inclusion</w:t>
      </w:r>
      <w:r w:rsidR="00BB2BBC" w:rsidRPr="00B925AC">
        <w:rPr>
          <w:rStyle w:val="FootnoteReference"/>
          <w:rFonts w:ascii="Times New Roman" w:hAnsi="Times New Roman"/>
        </w:rPr>
        <w:footnoteReference w:id="258"/>
      </w:r>
      <w:r w:rsidR="0066033D" w:rsidRPr="00B925AC">
        <w:rPr>
          <w:rFonts w:ascii="Times New Roman" w:hAnsi="Times New Roman"/>
        </w:rPr>
        <w:t xml:space="preserve"> </w:t>
      </w:r>
      <w:r w:rsidR="00404C56" w:rsidRPr="00B925AC">
        <w:rPr>
          <w:rFonts w:ascii="Times New Roman" w:hAnsi="Times New Roman"/>
        </w:rPr>
        <w:t xml:space="preserve">and that political incentives for inclusiveness can encourage attention to the Constitution. </w:t>
      </w:r>
    </w:p>
    <w:p w14:paraId="0E3A5773" w14:textId="46459937" w:rsidR="00CB5426" w:rsidRPr="00B925AC" w:rsidRDefault="00BE5117" w:rsidP="0069246C">
      <w:pPr>
        <w:pStyle w:val="Heading2"/>
        <w:rPr>
          <w:rFonts w:ascii="Times New Roman" w:hAnsi="Times New Roman"/>
        </w:rPr>
      </w:pPr>
      <w:r w:rsidRPr="00B925AC">
        <w:rPr>
          <w:rFonts w:ascii="Times New Roman" w:hAnsi="Times New Roman"/>
        </w:rPr>
        <w:t>Political Holdings and Dicta: When Does Constraint Operate</w:t>
      </w:r>
    </w:p>
    <w:p w14:paraId="377262BE" w14:textId="3C513327" w:rsidR="00BE5117" w:rsidRPr="00B925AC" w:rsidRDefault="00BE5117" w:rsidP="00F134E3">
      <w:pPr>
        <w:rPr>
          <w:rFonts w:ascii="Times New Roman" w:hAnsi="Times New Roman"/>
        </w:rPr>
      </w:pPr>
      <w:r w:rsidRPr="00B925AC">
        <w:rPr>
          <w:rFonts w:ascii="Times New Roman" w:hAnsi="Times New Roman"/>
        </w:rPr>
        <w:t xml:space="preserve">I </w:t>
      </w:r>
      <w:r w:rsidR="006A3AEE" w:rsidRPr="00B925AC">
        <w:rPr>
          <w:rFonts w:ascii="Times New Roman" w:hAnsi="Times New Roman"/>
        </w:rPr>
        <w:t xml:space="preserve">said above that politicians, like judges, </w:t>
      </w:r>
      <w:r w:rsidR="00EE783B" w:rsidRPr="00B925AC">
        <w:rPr>
          <w:rFonts w:ascii="Times New Roman" w:hAnsi="Times New Roman"/>
        </w:rPr>
        <w:t>issue holdings and dicta. Sometimes, the principles they articulate</w:t>
      </w:r>
      <w:r w:rsidR="00730758" w:rsidRPr="00B925AC">
        <w:rPr>
          <w:rFonts w:ascii="Times New Roman" w:hAnsi="Times New Roman"/>
        </w:rPr>
        <w:t xml:space="preserve"> become core to their political coalitions and constrain their behavior going forward. Other</w:t>
      </w:r>
      <w:r w:rsidR="00770F8A" w:rsidRPr="00B925AC">
        <w:rPr>
          <w:rFonts w:ascii="Times New Roman" w:hAnsi="Times New Roman"/>
        </w:rPr>
        <w:t xml:space="preserve"> times,</w:t>
      </w:r>
      <w:r w:rsidR="00730758" w:rsidRPr="00B925AC">
        <w:rPr>
          <w:rFonts w:ascii="Times New Roman" w:hAnsi="Times New Roman"/>
        </w:rPr>
        <w:t xml:space="preserve"> principles </w:t>
      </w:r>
      <w:r w:rsidR="002643EA" w:rsidRPr="00B925AC">
        <w:rPr>
          <w:rFonts w:ascii="Times New Roman" w:hAnsi="Times New Roman"/>
        </w:rPr>
        <w:t>have little impact. Broadly speaking, we can think of three situations with very different implications for the binding-ness of politicians’ articulated principles.</w:t>
      </w:r>
    </w:p>
    <w:p w14:paraId="4E96E981" w14:textId="748C8472" w:rsidR="001B64EF" w:rsidRPr="00B925AC" w:rsidRDefault="001B64EF" w:rsidP="001B64EF">
      <w:pPr>
        <w:pStyle w:val="Heading3"/>
        <w:rPr>
          <w:rFonts w:ascii="Times New Roman" w:hAnsi="Times New Roman"/>
        </w:rPr>
      </w:pPr>
      <w:r w:rsidRPr="00B925AC">
        <w:rPr>
          <w:rFonts w:ascii="Times New Roman" w:hAnsi="Times New Roman"/>
        </w:rPr>
        <w:t>Three Equilibria</w:t>
      </w:r>
    </w:p>
    <w:p w14:paraId="6ACA2301" w14:textId="47043BE9" w:rsidR="00B316DB" w:rsidRPr="00B925AC" w:rsidRDefault="0086709E" w:rsidP="002F03C2">
      <w:pPr>
        <w:rPr>
          <w:rFonts w:ascii="Times New Roman" w:hAnsi="Times New Roman"/>
        </w:rPr>
      </w:pPr>
      <w:r w:rsidRPr="00B925AC">
        <w:rPr>
          <w:rFonts w:ascii="Times New Roman" w:hAnsi="Times New Roman"/>
        </w:rPr>
        <w:t xml:space="preserve">There are three very different </w:t>
      </w:r>
      <w:r w:rsidR="004D39EB" w:rsidRPr="00B925AC">
        <w:rPr>
          <w:rFonts w:ascii="Times New Roman" w:hAnsi="Times New Roman"/>
        </w:rPr>
        <w:t>equilibria</w:t>
      </w:r>
      <w:r w:rsidRPr="00B925AC">
        <w:rPr>
          <w:rFonts w:ascii="Times New Roman" w:hAnsi="Times New Roman"/>
        </w:rPr>
        <w:t xml:space="preserve"> that can result from the interplay of the forces discussed in this paper.</w:t>
      </w:r>
      <w:r w:rsidR="002F03C2" w:rsidRPr="00B925AC">
        <w:rPr>
          <w:rFonts w:ascii="Times New Roman" w:hAnsi="Times New Roman"/>
        </w:rPr>
        <w:t xml:space="preserve"> </w:t>
      </w:r>
      <w:r w:rsidR="000D1465" w:rsidRPr="00B925AC">
        <w:rPr>
          <w:rFonts w:ascii="Times New Roman" w:hAnsi="Times New Roman"/>
        </w:rPr>
        <w:t xml:space="preserve">The most obvious is essentially the one described above, in which one and only one political party becomes associated with a particular minority group, defined as a group united by its intense preferences on a policy or set of policies. </w:t>
      </w:r>
      <w:r w:rsidR="00B316DB" w:rsidRPr="00B925AC">
        <w:rPr>
          <w:rFonts w:ascii="Times New Roman" w:hAnsi="Times New Roman"/>
        </w:rPr>
        <w:t xml:space="preserve">I will call this the partisan equilibrium. </w:t>
      </w:r>
      <w:r w:rsidR="005F2727" w:rsidRPr="00B925AC">
        <w:rPr>
          <w:rFonts w:ascii="Times New Roman" w:hAnsi="Times New Roman"/>
        </w:rPr>
        <w:t xml:space="preserve">To rehash, examples of this kind of equilibrium include the politics of race and abortion. In both cases, </w:t>
      </w:r>
      <w:r w:rsidR="0040018B" w:rsidRPr="00B925AC">
        <w:rPr>
          <w:rFonts w:ascii="Times New Roman" w:hAnsi="Times New Roman"/>
        </w:rPr>
        <w:t xml:space="preserve">moves by party elites towards policies favored by one side of the debate – pro-life or pro-choice, </w:t>
      </w:r>
      <w:r w:rsidR="0077351F" w:rsidRPr="00B925AC">
        <w:rPr>
          <w:rFonts w:ascii="Times New Roman" w:hAnsi="Times New Roman"/>
        </w:rPr>
        <w:t>supportive or opposed to Black civil rights – shifted groups of advocates and voters into their party</w:t>
      </w:r>
      <w:r w:rsidR="00F55524" w:rsidRPr="00B925AC">
        <w:rPr>
          <w:rFonts w:ascii="Times New Roman" w:hAnsi="Times New Roman"/>
        </w:rPr>
        <w:t xml:space="preserve"> while moving other advocates and voters in the opposite direction. These grassroots shifts precipitated further polarization at the elite level. Ultimately</w:t>
      </w:r>
      <w:r w:rsidR="00615136" w:rsidRPr="00B925AC">
        <w:rPr>
          <w:rFonts w:ascii="Times New Roman" w:hAnsi="Times New Roman"/>
        </w:rPr>
        <w:t>, the two parties bec</w:t>
      </w:r>
      <w:r w:rsidR="00D63E23" w:rsidRPr="00B925AC">
        <w:rPr>
          <w:rFonts w:ascii="Times New Roman" w:hAnsi="Times New Roman"/>
        </w:rPr>
        <w:t>a</w:t>
      </w:r>
      <w:r w:rsidR="00615136" w:rsidRPr="00B925AC">
        <w:rPr>
          <w:rFonts w:ascii="Times New Roman" w:hAnsi="Times New Roman"/>
        </w:rPr>
        <w:t xml:space="preserve">me associated with particular positions on these polarizing issues, such that </w:t>
      </w:r>
      <w:r w:rsidR="005A6DFD" w:rsidRPr="00B925AC">
        <w:rPr>
          <w:rFonts w:ascii="Times New Roman" w:hAnsi="Times New Roman"/>
        </w:rPr>
        <w:t xml:space="preserve">the identities of party members </w:t>
      </w:r>
      <w:r w:rsidR="00B35816" w:rsidRPr="00B925AC">
        <w:rPr>
          <w:rFonts w:ascii="Times New Roman" w:hAnsi="Times New Roman"/>
        </w:rPr>
        <w:t>were</w:t>
      </w:r>
      <w:r w:rsidR="005A6DFD" w:rsidRPr="00B925AC">
        <w:rPr>
          <w:rFonts w:ascii="Times New Roman" w:hAnsi="Times New Roman"/>
        </w:rPr>
        <w:t xml:space="preserve"> rebuilt around the polarized positions. </w:t>
      </w:r>
      <w:r w:rsidR="00167A8E" w:rsidRPr="00B925AC">
        <w:rPr>
          <w:rFonts w:ascii="Times New Roman" w:hAnsi="Times New Roman"/>
        </w:rPr>
        <w:t>At some point, the phrase “pro-life Republican” or “pro-civil right</w:t>
      </w:r>
      <w:r w:rsidR="00F56B72" w:rsidRPr="00B925AC">
        <w:rPr>
          <w:rFonts w:ascii="Times New Roman" w:hAnsi="Times New Roman"/>
        </w:rPr>
        <w:t>s</w:t>
      </w:r>
      <w:r w:rsidR="00167A8E" w:rsidRPr="00B925AC">
        <w:rPr>
          <w:rFonts w:ascii="Times New Roman" w:hAnsi="Times New Roman"/>
        </w:rPr>
        <w:t xml:space="preserve"> Democrat” </w:t>
      </w:r>
      <w:r w:rsidR="00222292" w:rsidRPr="00B925AC">
        <w:rPr>
          <w:rFonts w:ascii="Times New Roman" w:hAnsi="Times New Roman"/>
        </w:rPr>
        <w:t xml:space="preserve">came </w:t>
      </w:r>
      <w:r w:rsidR="00167A8E" w:rsidRPr="00B925AC">
        <w:rPr>
          <w:rFonts w:ascii="Times New Roman" w:hAnsi="Times New Roman"/>
        </w:rPr>
        <w:t>to seem redundant.</w:t>
      </w:r>
      <w:r w:rsidR="00D6214C" w:rsidRPr="00B925AC">
        <w:rPr>
          <w:rFonts w:ascii="Times New Roman" w:hAnsi="Times New Roman"/>
        </w:rPr>
        <w:t xml:space="preserve"> </w:t>
      </w:r>
    </w:p>
    <w:p w14:paraId="79F03540" w14:textId="37CB1D64" w:rsidR="006A68EB" w:rsidRPr="00B925AC" w:rsidRDefault="00D6214C" w:rsidP="002F03C2">
      <w:pPr>
        <w:rPr>
          <w:rFonts w:ascii="Times New Roman" w:hAnsi="Times New Roman"/>
        </w:rPr>
      </w:pPr>
      <w:r w:rsidRPr="00B925AC">
        <w:rPr>
          <w:rFonts w:ascii="Times New Roman" w:hAnsi="Times New Roman"/>
        </w:rPr>
        <w:t xml:space="preserve">When </w:t>
      </w:r>
      <w:r w:rsidR="00B316DB" w:rsidRPr="00B925AC">
        <w:rPr>
          <w:rFonts w:ascii="Times New Roman" w:hAnsi="Times New Roman"/>
        </w:rPr>
        <w:t xml:space="preserve">coalition principles become party principles, they can be enforced using the tools available only to parties. Party primaries can </w:t>
      </w:r>
      <w:r w:rsidR="003E26E0" w:rsidRPr="00B925AC">
        <w:rPr>
          <w:rFonts w:ascii="Times New Roman" w:hAnsi="Times New Roman"/>
        </w:rPr>
        <w:t>become mechanisms for ensuring fealty to coalition principles, as only voters loyal to those principles are likely to vote in primaries.</w:t>
      </w:r>
      <w:r w:rsidR="003E26E0" w:rsidRPr="00B925AC">
        <w:rPr>
          <w:rStyle w:val="FootnoteReference"/>
          <w:rFonts w:ascii="Times New Roman" w:hAnsi="Times New Roman"/>
        </w:rPr>
        <w:footnoteReference w:id="259"/>
      </w:r>
      <w:r w:rsidR="00C34D6F" w:rsidRPr="00B925AC">
        <w:rPr>
          <w:rFonts w:ascii="Times New Roman" w:hAnsi="Times New Roman"/>
        </w:rPr>
        <w:t xml:space="preserve"> Party whip operations can help secure fealty on roll call votes.</w:t>
      </w:r>
      <w:r w:rsidR="00C34D6F" w:rsidRPr="00B925AC">
        <w:rPr>
          <w:rStyle w:val="FootnoteReference"/>
          <w:rFonts w:ascii="Times New Roman" w:hAnsi="Times New Roman"/>
        </w:rPr>
        <w:footnoteReference w:id="260"/>
      </w:r>
      <w:r w:rsidR="003C7F83" w:rsidRPr="00B925AC">
        <w:rPr>
          <w:rFonts w:ascii="Times New Roman" w:hAnsi="Times New Roman"/>
        </w:rPr>
        <w:t xml:space="preserve"> By giving coalition partners </w:t>
      </w:r>
      <w:r w:rsidR="00412605" w:rsidRPr="00B925AC">
        <w:rPr>
          <w:rFonts w:ascii="Times New Roman" w:hAnsi="Times New Roman"/>
        </w:rPr>
        <w:t xml:space="preserve">representation in party decision making </w:t>
      </w:r>
      <w:r w:rsidR="00412605" w:rsidRPr="00B925AC">
        <w:rPr>
          <w:rFonts w:ascii="Times New Roman" w:hAnsi="Times New Roman"/>
        </w:rPr>
        <w:lastRenderedPageBreak/>
        <w:t>bodies,</w:t>
      </w:r>
      <w:r w:rsidR="00412605" w:rsidRPr="00B925AC">
        <w:rPr>
          <w:rStyle w:val="FootnoteReference"/>
          <w:rFonts w:ascii="Times New Roman" w:hAnsi="Times New Roman"/>
        </w:rPr>
        <w:footnoteReference w:id="261"/>
      </w:r>
      <w:r w:rsidR="00EE35F9" w:rsidRPr="00B925AC">
        <w:rPr>
          <w:rFonts w:ascii="Times New Roman" w:hAnsi="Times New Roman"/>
        </w:rPr>
        <w:t xml:space="preserve"> a party can ensure that those partners’ views of party doctrine continue </w:t>
      </w:r>
      <w:r w:rsidR="00687E29" w:rsidRPr="00B925AC">
        <w:rPr>
          <w:rFonts w:ascii="Times New Roman" w:hAnsi="Times New Roman"/>
        </w:rPr>
        <w:t>to have an impact as the parties face new questions and circumstances.</w:t>
      </w:r>
      <w:r w:rsidR="00AF1E62" w:rsidRPr="00B925AC">
        <w:rPr>
          <w:rFonts w:ascii="Times New Roman" w:hAnsi="Times New Roman"/>
        </w:rPr>
        <w:t xml:space="preserve"> In short, the party equilibrium provides the clearest example of </w:t>
      </w:r>
      <w:r w:rsidR="00E16640" w:rsidRPr="00B925AC">
        <w:rPr>
          <w:rFonts w:ascii="Times New Roman" w:hAnsi="Times New Roman"/>
        </w:rPr>
        <w:t>a situation in which principles should follow the common law logic described above.</w:t>
      </w:r>
    </w:p>
    <w:p w14:paraId="15743C97" w14:textId="18A8248E" w:rsidR="00597E29" w:rsidRPr="00B925AC" w:rsidRDefault="00597E29" w:rsidP="002F03C2">
      <w:pPr>
        <w:rPr>
          <w:rFonts w:ascii="Times New Roman" w:hAnsi="Times New Roman"/>
        </w:rPr>
      </w:pPr>
      <w:r w:rsidRPr="00B925AC">
        <w:rPr>
          <w:rFonts w:ascii="Times New Roman" w:hAnsi="Times New Roman"/>
        </w:rPr>
        <w:t xml:space="preserve">A variation on the partisan equilibrium could be called a factional equilibrium. </w:t>
      </w:r>
      <w:r w:rsidR="00455396" w:rsidRPr="00B925AC">
        <w:rPr>
          <w:rFonts w:ascii="Times New Roman" w:hAnsi="Times New Roman"/>
        </w:rPr>
        <w:t>For much of its history, the Democratic Party contained factions committed to racial equality (at least, of a sort) and factions committed to its opposite.</w:t>
      </w:r>
      <w:r w:rsidR="007D74AE" w:rsidRPr="00B925AC">
        <w:rPr>
          <w:rStyle w:val="FootnoteReference"/>
          <w:rFonts w:ascii="Times New Roman" w:hAnsi="Times New Roman"/>
        </w:rPr>
        <w:footnoteReference w:id="262"/>
      </w:r>
      <w:r w:rsidR="00455396" w:rsidRPr="00B925AC">
        <w:rPr>
          <w:rFonts w:ascii="Times New Roman" w:hAnsi="Times New Roman"/>
        </w:rPr>
        <w:t xml:space="preserve"> </w:t>
      </w:r>
      <w:r w:rsidR="00826020" w:rsidRPr="00B925AC">
        <w:rPr>
          <w:rFonts w:ascii="Times New Roman" w:hAnsi="Times New Roman"/>
        </w:rPr>
        <w:t xml:space="preserve">Members of both factions had strong political and psychological incentives to honor their factional principles. </w:t>
      </w:r>
      <w:r w:rsidR="002B40DB" w:rsidRPr="00B925AC">
        <w:rPr>
          <w:rFonts w:ascii="Times New Roman" w:hAnsi="Times New Roman"/>
        </w:rPr>
        <w:t xml:space="preserve">A politician who ran as a liberal only to govern as a conservative would have to build a new </w:t>
      </w:r>
      <w:r w:rsidR="009C6F49" w:rsidRPr="00B925AC">
        <w:rPr>
          <w:rFonts w:ascii="Times New Roman" w:hAnsi="Times New Roman"/>
        </w:rPr>
        <w:t>personal</w:t>
      </w:r>
      <w:r w:rsidR="002B40DB" w:rsidRPr="00B925AC">
        <w:rPr>
          <w:rFonts w:ascii="Times New Roman" w:hAnsi="Times New Roman"/>
        </w:rPr>
        <w:t xml:space="preserve"> constituency to get him through the various steps to public office.</w:t>
      </w:r>
      <w:r w:rsidR="002B40DB" w:rsidRPr="00B925AC">
        <w:rPr>
          <w:rStyle w:val="FootnoteReference"/>
          <w:rFonts w:ascii="Times New Roman" w:hAnsi="Times New Roman"/>
        </w:rPr>
        <w:footnoteReference w:id="263"/>
      </w:r>
      <w:r w:rsidR="00CE7AD4" w:rsidRPr="00B925AC">
        <w:rPr>
          <w:rFonts w:ascii="Times New Roman" w:hAnsi="Times New Roman"/>
        </w:rPr>
        <w:t xml:space="preserve"> Moreover, a liberal has likely conceived their political mission in liberal terms and will generally see no conflict between their key goals and the principles of liberalism.</w:t>
      </w:r>
      <w:r w:rsidR="00E20BF0" w:rsidRPr="00B925AC">
        <w:rPr>
          <w:rFonts w:ascii="Times New Roman" w:hAnsi="Times New Roman"/>
        </w:rPr>
        <w:t xml:space="preserve"> But factional </w:t>
      </w:r>
      <w:r w:rsidR="005421DB" w:rsidRPr="00B925AC">
        <w:rPr>
          <w:rFonts w:ascii="Times New Roman" w:hAnsi="Times New Roman"/>
        </w:rPr>
        <w:t>principles</w:t>
      </w:r>
      <w:r w:rsidR="00E20BF0" w:rsidRPr="00B925AC">
        <w:rPr>
          <w:rFonts w:ascii="Times New Roman" w:hAnsi="Times New Roman"/>
        </w:rPr>
        <w:t xml:space="preserve"> might be </w:t>
      </w:r>
      <w:r w:rsidR="005421DB" w:rsidRPr="00B925AC">
        <w:rPr>
          <w:rFonts w:ascii="Times New Roman" w:hAnsi="Times New Roman"/>
        </w:rPr>
        <w:t>in conflict with partisan commitments and can generally be seen as less binding than partisan principles.</w:t>
      </w:r>
    </w:p>
    <w:p w14:paraId="10158092" w14:textId="5E4E9C49" w:rsidR="003542C4" w:rsidRPr="00B925AC" w:rsidRDefault="00735082" w:rsidP="002F03C2">
      <w:pPr>
        <w:rPr>
          <w:rFonts w:ascii="Times New Roman" w:hAnsi="Times New Roman"/>
        </w:rPr>
      </w:pPr>
      <w:r w:rsidRPr="00B925AC">
        <w:rPr>
          <w:rFonts w:ascii="Times New Roman" w:hAnsi="Times New Roman"/>
        </w:rPr>
        <w:t xml:space="preserve">There are various types of </w:t>
      </w:r>
      <w:r w:rsidR="003542C4" w:rsidRPr="00B925AC">
        <w:rPr>
          <w:rFonts w:ascii="Times New Roman" w:hAnsi="Times New Roman"/>
        </w:rPr>
        <w:t>factional equilibria.</w:t>
      </w:r>
      <w:r w:rsidR="00BC4962" w:rsidRPr="00B925AC">
        <w:rPr>
          <w:rFonts w:ascii="Times New Roman" w:hAnsi="Times New Roman"/>
        </w:rPr>
        <w:t xml:space="preserve"> In some cases, </w:t>
      </w:r>
      <w:r w:rsidR="007F218E" w:rsidRPr="00B925AC">
        <w:rPr>
          <w:rFonts w:ascii="Times New Roman" w:hAnsi="Times New Roman"/>
        </w:rPr>
        <w:t xml:space="preserve">factions neatly map to geographical divisions, suggesting that </w:t>
      </w:r>
      <w:r w:rsidR="00571DFA" w:rsidRPr="00B925AC">
        <w:rPr>
          <w:rFonts w:ascii="Times New Roman" w:hAnsi="Times New Roman"/>
        </w:rPr>
        <w:t>politicians’ choice of faction reflects the views of their constituents. However, the situation is not always so simple.</w:t>
      </w:r>
      <w:r w:rsidR="003542C4" w:rsidRPr="00B925AC">
        <w:rPr>
          <w:rFonts w:ascii="Times New Roman" w:hAnsi="Times New Roman"/>
        </w:rPr>
        <w:t xml:space="preserve"> </w:t>
      </w:r>
      <w:r w:rsidR="00C23A80" w:rsidRPr="00B925AC">
        <w:rPr>
          <w:rFonts w:ascii="Times New Roman" w:hAnsi="Times New Roman"/>
        </w:rPr>
        <w:t xml:space="preserve">When Congress debates </w:t>
      </w:r>
      <w:r w:rsidR="004A0BB8" w:rsidRPr="00B925AC">
        <w:rPr>
          <w:rFonts w:ascii="Times New Roman" w:hAnsi="Times New Roman"/>
        </w:rPr>
        <w:t xml:space="preserve">government </w:t>
      </w:r>
      <w:r w:rsidR="00C23A80" w:rsidRPr="00B925AC">
        <w:rPr>
          <w:rFonts w:ascii="Times New Roman" w:hAnsi="Times New Roman"/>
        </w:rPr>
        <w:t xml:space="preserve">surveillance, </w:t>
      </w:r>
      <w:r w:rsidR="00536A5F" w:rsidRPr="00B925AC">
        <w:rPr>
          <w:rFonts w:ascii="Times New Roman" w:hAnsi="Times New Roman"/>
        </w:rPr>
        <w:t>the debate tends to be between supportive and skeptical factions that cut across the two parties.</w:t>
      </w:r>
      <w:r w:rsidR="00B2141A" w:rsidRPr="00B925AC">
        <w:rPr>
          <w:rFonts w:ascii="Times New Roman" w:hAnsi="Times New Roman"/>
        </w:rPr>
        <w:t xml:space="preserve"> </w:t>
      </w:r>
      <w:r w:rsidR="00BE3DB0" w:rsidRPr="00B925AC">
        <w:rPr>
          <w:rFonts w:ascii="Times New Roman" w:hAnsi="Times New Roman"/>
        </w:rPr>
        <w:t xml:space="preserve">And while MCs no doubt consider their constituents’ views when picking </w:t>
      </w:r>
      <w:r w:rsidR="00F458E4" w:rsidRPr="00B925AC">
        <w:rPr>
          <w:rFonts w:ascii="Times New Roman" w:hAnsi="Times New Roman"/>
        </w:rPr>
        <w:t>teams</w:t>
      </w:r>
      <w:r w:rsidR="00BE3DB0" w:rsidRPr="00B925AC">
        <w:rPr>
          <w:rFonts w:ascii="Times New Roman" w:hAnsi="Times New Roman"/>
        </w:rPr>
        <w:t xml:space="preserve">, </w:t>
      </w:r>
      <w:r w:rsidR="00F07854" w:rsidRPr="00B925AC">
        <w:rPr>
          <w:rFonts w:ascii="Times New Roman" w:hAnsi="Times New Roman"/>
        </w:rPr>
        <w:t xml:space="preserve">senators representing the same voters can wind up on different sides. </w:t>
      </w:r>
      <w:r w:rsidR="002B4E7B" w:rsidRPr="00B925AC">
        <w:rPr>
          <w:rFonts w:ascii="Times New Roman" w:hAnsi="Times New Roman"/>
        </w:rPr>
        <w:t xml:space="preserve">One of the strongest defenders of </w:t>
      </w:r>
      <w:r w:rsidR="00293F51" w:rsidRPr="00B925AC">
        <w:rPr>
          <w:rFonts w:ascii="Times New Roman" w:hAnsi="Times New Roman"/>
        </w:rPr>
        <w:t xml:space="preserve">government </w:t>
      </w:r>
      <w:r w:rsidR="002B4E7B" w:rsidRPr="00B925AC">
        <w:rPr>
          <w:rFonts w:ascii="Times New Roman" w:hAnsi="Times New Roman"/>
        </w:rPr>
        <w:t xml:space="preserve">surveillance, Mitch McConnell, represents </w:t>
      </w:r>
      <w:r w:rsidR="00575035" w:rsidRPr="00B925AC">
        <w:rPr>
          <w:rFonts w:ascii="Times New Roman" w:hAnsi="Times New Roman"/>
        </w:rPr>
        <w:t xml:space="preserve">the same state as one of </w:t>
      </w:r>
      <w:r w:rsidR="004E203F" w:rsidRPr="00B925AC">
        <w:rPr>
          <w:rFonts w:ascii="Times New Roman" w:hAnsi="Times New Roman"/>
        </w:rPr>
        <w:t>the Senate’s most aggressive privacy hawks</w:t>
      </w:r>
      <w:r w:rsidR="00575035" w:rsidRPr="00B925AC">
        <w:rPr>
          <w:rFonts w:ascii="Times New Roman" w:hAnsi="Times New Roman"/>
        </w:rPr>
        <w:t>, Rand Paul.</w:t>
      </w:r>
      <w:r w:rsidR="00E65047" w:rsidRPr="00B925AC">
        <w:rPr>
          <w:rFonts w:ascii="Times New Roman" w:hAnsi="Times New Roman"/>
        </w:rPr>
        <w:t xml:space="preserve"> Both senators have found a politically viable path to upholding very different principles.</w:t>
      </w:r>
    </w:p>
    <w:p w14:paraId="627B4E74" w14:textId="12878FB4" w:rsidR="00BA4E5A" w:rsidRPr="00B925AC" w:rsidRDefault="00BA4E5A" w:rsidP="00BA4E5A">
      <w:pPr>
        <w:rPr>
          <w:rFonts w:ascii="Times New Roman" w:hAnsi="Times New Roman"/>
        </w:rPr>
      </w:pPr>
      <w:r w:rsidRPr="00B925AC">
        <w:rPr>
          <w:rFonts w:ascii="Times New Roman" w:hAnsi="Times New Roman"/>
        </w:rPr>
        <w:t xml:space="preserve">A </w:t>
      </w:r>
      <w:r w:rsidR="007202A5" w:rsidRPr="00B925AC">
        <w:rPr>
          <w:rFonts w:ascii="Times New Roman" w:hAnsi="Times New Roman"/>
        </w:rPr>
        <w:t>third</w:t>
      </w:r>
      <w:r w:rsidRPr="00B925AC">
        <w:rPr>
          <w:rFonts w:ascii="Times New Roman" w:hAnsi="Times New Roman"/>
        </w:rPr>
        <w:t xml:space="preserve"> equilibrium is essentially the inverse of the first. In some situations</w:t>
      </w:r>
      <w:r w:rsidR="00EC345F" w:rsidRPr="00B925AC">
        <w:rPr>
          <w:rFonts w:ascii="Times New Roman" w:hAnsi="Times New Roman"/>
        </w:rPr>
        <w:t xml:space="preserve">, </w:t>
      </w:r>
      <w:r w:rsidR="00A53514" w:rsidRPr="00B925AC">
        <w:rPr>
          <w:rFonts w:ascii="Times New Roman" w:hAnsi="Times New Roman"/>
        </w:rPr>
        <w:lastRenderedPageBreak/>
        <w:t xml:space="preserve">principles articulated by politicians may have short-term utility without reshaping politics in either the medium- or long-term. </w:t>
      </w:r>
      <w:r w:rsidR="00160217" w:rsidRPr="00B925AC">
        <w:rPr>
          <w:rFonts w:ascii="Times New Roman" w:hAnsi="Times New Roman"/>
        </w:rPr>
        <w:t>It could be argued, for example, that politicians sometimes assert constitutional limitations on presidential power if and only if the other party controls the presidency.</w:t>
      </w:r>
      <w:bookmarkStart w:id="32" w:name="_Ref186281489"/>
      <w:r w:rsidR="00160217" w:rsidRPr="00B925AC">
        <w:rPr>
          <w:rStyle w:val="FootnoteReference"/>
          <w:rFonts w:ascii="Times New Roman" w:hAnsi="Times New Roman"/>
        </w:rPr>
        <w:footnoteReference w:id="264"/>
      </w:r>
      <w:bookmarkEnd w:id="32"/>
      <w:r w:rsidR="005D0E7D" w:rsidRPr="00B925AC">
        <w:rPr>
          <w:rFonts w:ascii="Times New Roman" w:hAnsi="Times New Roman"/>
        </w:rPr>
        <w:t xml:space="preserve"> However, if their parties do not coalesce around a particular vision of presidential power</w:t>
      </w:r>
      <w:r w:rsidR="00595029" w:rsidRPr="00B925AC">
        <w:rPr>
          <w:rFonts w:ascii="Times New Roman" w:hAnsi="Times New Roman"/>
        </w:rPr>
        <w:t>, these politicians are free to flip flop back and forth</w:t>
      </w:r>
      <w:r w:rsidR="0020016E" w:rsidRPr="00B925AC">
        <w:rPr>
          <w:rFonts w:ascii="Times New Roman" w:hAnsi="Times New Roman"/>
        </w:rPr>
        <w:t>.</w:t>
      </w:r>
      <w:r w:rsidR="00DF0889" w:rsidRPr="00B925AC">
        <w:rPr>
          <w:rFonts w:ascii="Times New Roman" w:hAnsi="Times New Roman"/>
        </w:rPr>
        <w:t xml:space="preserve"> I will call this a “flip-flopping equilibrium.”</w:t>
      </w:r>
    </w:p>
    <w:p w14:paraId="7F964819" w14:textId="77777777" w:rsidR="005B562A" w:rsidRPr="00B925AC" w:rsidRDefault="0020016E" w:rsidP="00CB11DE">
      <w:pPr>
        <w:rPr>
          <w:rFonts w:ascii="Times New Roman" w:hAnsi="Times New Roman"/>
        </w:rPr>
      </w:pPr>
      <w:r w:rsidRPr="00B925AC">
        <w:rPr>
          <w:rFonts w:ascii="Times New Roman" w:hAnsi="Times New Roman"/>
        </w:rPr>
        <w:t xml:space="preserve">One of the key arguments of this paper is that this kind of </w:t>
      </w:r>
      <w:r w:rsidR="00DF0889" w:rsidRPr="00B925AC">
        <w:rPr>
          <w:rFonts w:ascii="Times New Roman" w:hAnsi="Times New Roman"/>
        </w:rPr>
        <w:t xml:space="preserve">equilibrium is not the </w:t>
      </w:r>
      <w:r w:rsidR="00FE0B7B" w:rsidRPr="00B925AC">
        <w:rPr>
          <w:rFonts w:ascii="Times New Roman" w:hAnsi="Times New Roman"/>
        </w:rPr>
        <w:t xml:space="preserve">only one we should expect. Politicians should seek to use principles to build lasting coalitions, not just to </w:t>
      </w:r>
      <w:r w:rsidR="000A596F" w:rsidRPr="00B925AC">
        <w:rPr>
          <w:rFonts w:ascii="Times New Roman" w:hAnsi="Times New Roman"/>
        </w:rPr>
        <w:t xml:space="preserve">score short-term political points. </w:t>
      </w:r>
    </w:p>
    <w:p w14:paraId="1FC1F184" w14:textId="3E342AAE" w:rsidR="0020016E" w:rsidRPr="00B925AC" w:rsidRDefault="000A596F" w:rsidP="00CB11DE">
      <w:pPr>
        <w:rPr>
          <w:rFonts w:ascii="Times New Roman" w:hAnsi="Times New Roman"/>
        </w:rPr>
      </w:pPr>
      <w:r w:rsidRPr="00B925AC">
        <w:rPr>
          <w:rFonts w:ascii="Times New Roman" w:hAnsi="Times New Roman"/>
        </w:rPr>
        <w:t>However</w:t>
      </w:r>
      <w:r w:rsidR="00EE6834" w:rsidRPr="00B925AC">
        <w:rPr>
          <w:rFonts w:ascii="Times New Roman" w:hAnsi="Times New Roman"/>
        </w:rPr>
        <w:t xml:space="preserve">, principles may achieve a short-term benefit without any long-term impact when politicians engage in what might be called “fire alarm” </w:t>
      </w:r>
      <w:r w:rsidR="006C1E5F" w:rsidRPr="00B925AC">
        <w:rPr>
          <w:rFonts w:ascii="Times New Roman" w:hAnsi="Times New Roman"/>
        </w:rPr>
        <w:t>constitutionalism.</w:t>
      </w:r>
      <w:r w:rsidR="005406A1" w:rsidRPr="00B925AC">
        <w:rPr>
          <w:rStyle w:val="FootnoteReference"/>
          <w:rFonts w:ascii="Times New Roman" w:hAnsi="Times New Roman"/>
        </w:rPr>
        <w:footnoteReference w:id="265"/>
      </w:r>
      <w:r w:rsidR="006C1E5F" w:rsidRPr="00B925AC">
        <w:rPr>
          <w:rFonts w:ascii="Times New Roman" w:hAnsi="Times New Roman"/>
        </w:rPr>
        <w:t xml:space="preserve"> </w:t>
      </w:r>
      <w:r w:rsidR="002D562C" w:rsidRPr="00B925AC">
        <w:rPr>
          <w:rFonts w:ascii="Times New Roman" w:hAnsi="Times New Roman"/>
        </w:rPr>
        <w:t>As Eric Schickler and Douglas Kriner have shown, when MCs raise constitutional concerns about government action, they can increase the salience of those concerns for voters.</w:t>
      </w:r>
      <w:r w:rsidR="002D562C" w:rsidRPr="00B925AC">
        <w:rPr>
          <w:rStyle w:val="FootnoteReference"/>
          <w:rFonts w:ascii="Times New Roman" w:hAnsi="Times New Roman"/>
        </w:rPr>
        <w:footnoteReference w:id="266"/>
      </w:r>
      <w:r w:rsidR="001F3AA0" w:rsidRPr="00B925AC">
        <w:rPr>
          <w:rFonts w:ascii="Times New Roman" w:hAnsi="Times New Roman"/>
        </w:rPr>
        <w:t xml:space="preserve"> And when constitutional concerns are salient, </w:t>
      </w:r>
      <w:r w:rsidR="00DA23ED" w:rsidRPr="00B925AC">
        <w:rPr>
          <w:rFonts w:ascii="Times New Roman" w:hAnsi="Times New Roman"/>
        </w:rPr>
        <w:t xml:space="preserve">this can affect voters. In one </w:t>
      </w:r>
      <w:r w:rsidR="00AB1DD0" w:rsidRPr="00B925AC">
        <w:rPr>
          <w:rFonts w:ascii="Times New Roman" w:hAnsi="Times New Roman"/>
        </w:rPr>
        <w:t>experiment</w:t>
      </w:r>
      <w:r w:rsidR="00DA23ED" w:rsidRPr="00B925AC">
        <w:rPr>
          <w:rFonts w:ascii="Times New Roman" w:hAnsi="Times New Roman"/>
        </w:rPr>
        <w:t xml:space="preserve">, </w:t>
      </w:r>
      <w:r w:rsidR="00AB1DD0" w:rsidRPr="00B925AC">
        <w:rPr>
          <w:rFonts w:ascii="Times New Roman" w:hAnsi="Times New Roman"/>
        </w:rPr>
        <w:t>participants were asked whether they thought a far-right organization should be allowed to hold a rally.</w:t>
      </w:r>
      <w:bookmarkStart w:id="33" w:name="_Ref186281455"/>
      <w:r w:rsidR="00CB11DE" w:rsidRPr="00B925AC">
        <w:rPr>
          <w:rStyle w:val="FootnoteReference"/>
          <w:rFonts w:ascii="Times New Roman" w:hAnsi="Times New Roman"/>
        </w:rPr>
        <w:footnoteReference w:id="267"/>
      </w:r>
      <w:bookmarkEnd w:id="33"/>
      <w:r w:rsidR="00AB1DD0" w:rsidRPr="00B925AC">
        <w:rPr>
          <w:rFonts w:ascii="Times New Roman" w:hAnsi="Times New Roman"/>
        </w:rPr>
        <w:t xml:space="preserve"> The researchers randomly assigned participants to receive either an editorial discussing the rally in terms of free speech values or an editorial focusing on public safety. The typical respondent who received a public safety editorial had a 26 percent chance of favoring the rally. The typical respondent exposed to the free speech frame had a 60 percent chance.</w:t>
      </w:r>
      <w:r w:rsidR="0017084F" w:rsidRPr="00B925AC">
        <w:rPr>
          <w:rStyle w:val="FootnoteReference"/>
          <w:rFonts w:ascii="Times New Roman" w:hAnsi="Times New Roman"/>
        </w:rPr>
        <w:footnoteReference w:id="268"/>
      </w:r>
      <w:r w:rsidR="00AB1DD0" w:rsidRPr="00B925AC">
        <w:rPr>
          <w:rFonts w:ascii="Times New Roman" w:hAnsi="Times New Roman"/>
        </w:rPr>
        <w:t xml:space="preserve"> The impact of free speech messaging persists even if respondents are exposed to counter-messaging and even for high information respondent</w:t>
      </w:r>
      <w:r w:rsidR="00E536A6" w:rsidRPr="00B925AC">
        <w:rPr>
          <w:rFonts w:ascii="Times New Roman" w:hAnsi="Times New Roman"/>
        </w:rPr>
        <w:t>s</w:t>
      </w:r>
      <w:r w:rsidR="00AB1DD0" w:rsidRPr="00B925AC">
        <w:rPr>
          <w:rFonts w:ascii="Times New Roman" w:hAnsi="Times New Roman"/>
        </w:rPr>
        <w:t>.</w:t>
      </w:r>
      <w:r w:rsidR="00E536A6" w:rsidRPr="00B925AC">
        <w:rPr>
          <w:rStyle w:val="FootnoteReference"/>
          <w:rFonts w:ascii="Times New Roman" w:hAnsi="Times New Roman"/>
        </w:rPr>
        <w:footnoteReference w:id="269"/>
      </w:r>
      <w:r w:rsidR="00AB1DD0" w:rsidRPr="00B925AC">
        <w:rPr>
          <w:rFonts w:ascii="Times New Roman" w:hAnsi="Times New Roman"/>
        </w:rPr>
        <w:t xml:space="preserve"> </w:t>
      </w:r>
      <w:r w:rsidR="00663C8B" w:rsidRPr="00B925AC">
        <w:rPr>
          <w:rFonts w:ascii="Times New Roman" w:hAnsi="Times New Roman"/>
        </w:rPr>
        <w:t>Other studies have reached similar conclusions.</w:t>
      </w:r>
      <w:r w:rsidR="00663C8B" w:rsidRPr="00B925AC">
        <w:rPr>
          <w:rStyle w:val="FootnoteReference"/>
          <w:rFonts w:ascii="Times New Roman" w:hAnsi="Times New Roman"/>
        </w:rPr>
        <w:footnoteReference w:id="270"/>
      </w:r>
      <w:r w:rsidR="00663C8B" w:rsidRPr="00B925AC">
        <w:rPr>
          <w:rFonts w:ascii="Times New Roman" w:hAnsi="Times New Roman"/>
        </w:rPr>
        <w:t xml:space="preserve"> </w:t>
      </w:r>
      <w:r w:rsidR="00AB1DD0" w:rsidRPr="00B925AC">
        <w:rPr>
          <w:rFonts w:ascii="Times New Roman" w:hAnsi="Times New Roman"/>
        </w:rPr>
        <w:lastRenderedPageBreak/>
        <w:t>Simply reminding people about constitutional values in the course of policy debate</w:t>
      </w:r>
      <w:r w:rsidR="00CB11DE" w:rsidRPr="00B925AC">
        <w:rPr>
          <w:rFonts w:ascii="Times New Roman" w:hAnsi="Times New Roman"/>
        </w:rPr>
        <w:t xml:space="preserve"> </w:t>
      </w:r>
      <w:r w:rsidR="00AB1DD0" w:rsidRPr="00B925AC">
        <w:rPr>
          <w:rFonts w:ascii="Times New Roman" w:hAnsi="Times New Roman"/>
        </w:rPr>
        <w:t>appears to have a large and consistent impact.</w:t>
      </w:r>
    </w:p>
    <w:p w14:paraId="0AFA8391" w14:textId="77777777" w:rsidR="00FB024A" w:rsidRPr="00B925AC" w:rsidRDefault="00797B1A" w:rsidP="00CB11DE">
      <w:pPr>
        <w:rPr>
          <w:rFonts w:ascii="Times New Roman" w:hAnsi="Times New Roman"/>
        </w:rPr>
      </w:pPr>
      <w:r w:rsidRPr="00B925AC">
        <w:rPr>
          <w:rFonts w:ascii="Times New Roman" w:hAnsi="Times New Roman"/>
        </w:rPr>
        <w:t xml:space="preserve">It is not clear when we should expect a flip-flopping equilibrium. </w:t>
      </w:r>
      <w:r w:rsidR="00287554" w:rsidRPr="00B925AC">
        <w:rPr>
          <w:rFonts w:ascii="Times New Roman" w:hAnsi="Times New Roman"/>
        </w:rPr>
        <w:t>Legal scholars have considered whether and why politicians will tend to flip-flop on procedural questions, such as what actions the president can take without congressional authorization or what process should be required for lawmaking.</w:t>
      </w:r>
      <w:r w:rsidR="00992EA4" w:rsidRPr="00B925AC">
        <w:rPr>
          <w:rStyle w:val="FootnoteReference"/>
          <w:rFonts w:ascii="Times New Roman" w:hAnsi="Times New Roman"/>
        </w:rPr>
        <w:footnoteReference w:id="271"/>
      </w:r>
      <w:r w:rsidR="00086B44" w:rsidRPr="00B925AC">
        <w:rPr>
          <w:rFonts w:ascii="Times New Roman" w:hAnsi="Times New Roman"/>
        </w:rPr>
        <w:t xml:space="preserve"> </w:t>
      </w:r>
    </w:p>
    <w:p w14:paraId="3B17410C" w14:textId="003A5458" w:rsidR="000C04FB" w:rsidRPr="00B925AC" w:rsidRDefault="00086B44" w:rsidP="000C7485">
      <w:pPr>
        <w:rPr>
          <w:rFonts w:ascii="Times New Roman" w:hAnsi="Times New Roman"/>
        </w:rPr>
      </w:pPr>
      <w:r w:rsidRPr="00B925AC">
        <w:rPr>
          <w:rFonts w:ascii="Times New Roman" w:hAnsi="Times New Roman"/>
        </w:rPr>
        <w:t xml:space="preserve">The analysis in this paper suggests a slightly different conclusion. </w:t>
      </w:r>
      <w:r w:rsidR="0059509D" w:rsidRPr="00B925AC">
        <w:rPr>
          <w:rFonts w:ascii="Times New Roman" w:hAnsi="Times New Roman"/>
        </w:rPr>
        <w:t xml:space="preserve">Politicians use principles to signal to potential coalition partners </w:t>
      </w:r>
      <w:r w:rsidR="003859C8" w:rsidRPr="00B925AC">
        <w:rPr>
          <w:rFonts w:ascii="Times New Roman" w:hAnsi="Times New Roman"/>
        </w:rPr>
        <w:t xml:space="preserve">how they will operate in the future. Procedural principles can serve this purpose. A </w:t>
      </w:r>
      <w:r w:rsidR="00F35144" w:rsidRPr="00B925AC">
        <w:rPr>
          <w:rFonts w:ascii="Times New Roman" w:hAnsi="Times New Roman"/>
        </w:rPr>
        <w:t>mid-20</w:t>
      </w:r>
      <w:r w:rsidR="00F35144" w:rsidRPr="00B925AC">
        <w:rPr>
          <w:rFonts w:ascii="Times New Roman" w:hAnsi="Times New Roman"/>
          <w:vertAlign w:val="superscript"/>
        </w:rPr>
        <w:t>th</w:t>
      </w:r>
      <w:r w:rsidR="00F35144" w:rsidRPr="00B925AC">
        <w:rPr>
          <w:rFonts w:ascii="Times New Roman" w:hAnsi="Times New Roman"/>
        </w:rPr>
        <w:t xml:space="preserve"> Century MC could provide potential allies with extremely important information by declaring herself unalterably opposed to the filibuster.</w:t>
      </w:r>
      <w:r w:rsidR="0006483B" w:rsidRPr="00B925AC">
        <w:rPr>
          <w:rFonts w:ascii="Times New Roman" w:hAnsi="Times New Roman"/>
        </w:rPr>
        <w:t xml:space="preserve"> The fact that this principle was procedural does not diminish its importan</w:t>
      </w:r>
      <w:r w:rsidR="00BC7238" w:rsidRPr="00B925AC">
        <w:rPr>
          <w:rFonts w:ascii="Times New Roman" w:hAnsi="Times New Roman"/>
        </w:rPr>
        <w:t>ce</w:t>
      </w:r>
      <w:r w:rsidR="0006483B" w:rsidRPr="00B925AC">
        <w:rPr>
          <w:rFonts w:ascii="Times New Roman" w:hAnsi="Times New Roman"/>
        </w:rPr>
        <w:t>.</w:t>
      </w:r>
      <w:r w:rsidR="003709AE" w:rsidRPr="00B925AC">
        <w:rPr>
          <w:rStyle w:val="FootnoteReference"/>
          <w:rFonts w:ascii="Times New Roman" w:hAnsi="Times New Roman"/>
        </w:rPr>
        <w:footnoteReference w:id="272"/>
      </w:r>
    </w:p>
    <w:p w14:paraId="26EE2E05" w14:textId="4A19382A" w:rsidR="00E91A7C" w:rsidRPr="00B925AC" w:rsidRDefault="000C7485" w:rsidP="00E91A7C">
      <w:pPr>
        <w:rPr>
          <w:rFonts w:ascii="Times New Roman" w:hAnsi="Times New Roman"/>
        </w:rPr>
      </w:pPr>
      <w:r w:rsidRPr="00B925AC">
        <w:rPr>
          <w:rFonts w:ascii="Times New Roman" w:hAnsi="Times New Roman"/>
        </w:rPr>
        <w:t xml:space="preserve">However, we might suspect that procedural principles convey less information, most of the time. </w:t>
      </w:r>
      <w:r w:rsidR="000C04FB" w:rsidRPr="00B925AC">
        <w:rPr>
          <w:rFonts w:ascii="Times New Roman" w:hAnsi="Times New Roman"/>
        </w:rPr>
        <w:t xml:space="preserve">Voters and activists are more likely to be committed to a particular position on warmaking – or on the wisdom of particular wars – as opposed to the process that policymakers must </w:t>
      </w:r>
      <w:r w:rsidR="00BA1814" w:rsidRPr="00B925AC">
        <w:rPr>
          <w:rFonts w:ascii="Times New Roman" w:hAnsi="Times New Roman"/>
        </w:rPr>
        <w:t xml:space="preserve">use before war can be waged. </w:t>
      </w:r>
      <w:r w:rsidR="00C432D0" w:rsidRPr="00B925AC">
        <w:rPr>
          <w:rFonts w:ascii="Times New Roman" w:hAnsi="Times New Roman"/>
        </w:rPr>
        <w:t xml:space="preserve">In that case, procedural principles help </w:t>
      </w:r>
      <w:r w:rsidR="00A873E9" w:rsidRPr="00B925AC">
        <w:rPr>
          <w:rFonts w:ascii="Times New Roman" w:hAnsi="Times New Roman"/>
        </w:rPr>
        <w:t>the public make predictions about how a politician will act on the question the public cares about, but that prediction will be cloudy. As a result, procedural principles may be less likely to form the basis of political coalition</w:t>
      </w:r>
      <w:r w:rsidR="00D11BFC" w:rsidRPr="00B925AC">
        <w:rPr>
          <w:rFonts w:ascii="Times New Roman" w:hAnsi="Times New Roman"/>
        </w:rPr>
        <w:t>s</w:t>
      </w:r>
      <w:r w:rsidR="00A873E9" w:rsidRPr="00B925AC">
        <w:rPr>
          <w:rFonts w:ascii="Times New Roman" w:hAnsi="Times New Roman"/>
        </w:rPr>
        <w:t xml:space="preserve"> and more likely to become subject to a flip-flopping </w:t>
      </w:r>
      <w:r w:rsidR="00B00E0A" w:rsidRPr="00B925AC">
        <w:rPr>
          <w:rFonts w:ascii="Times New Roman" w:hAnsi="Times New Roman"/>
        </w:rPr>
        <w:t>equilibrium.</w:t>
      </w:r>
    </w:p>
    <w:p w14:paraId="2C2AE9BA" w14:textId="3F35CBCC" w:rsidR="00E342F4" w:rsidRPr="00B925AC" w:rsidRDefault="00E342F4" w:rsidP="00E342F4">
      <w:pPr>
        <w:rPr>
          <w:rFonts w:ascii="Times New Roman" w:hAnsi="Times New Roman"/>
        </w:rPr>
      </w:pPr>
      <w:r w:rsidRPr="00B925AC">
        <w:rPr>
          <w:rFonts w:ascii="Times New Roman" w:hAnsi="Times New Roman"/>
        </w:rPr>
        <w:t xml:space="preserve">However, as history amply demonstrates, it is not possible to say which principles will become core coalition commitments and which will not. </w:t>
      </w:r>
      <w:r w:rsidR="00896128" w:rsidRPr="00B925AC">
        <w:rPr>
          <w:rFonts w:ascii="Times New Roman" w:hAnsi="Times New Roman"/>
        </w:rPr>
        <w:t xml:space="preserve">A narrow interpretation of the Commerce Clause was once a </w:t>
      </w:r>
      <w:r w:rsidR="004E698C" w:rsidRPr="00B925AC">
        <w:rPr>
          <w:rFonts w:ascii="Times New Roman" w:hAnsi="Times New Roman"/>
        </w:rPr>
        <w:t xml:space="preserve">core commitment of the </w:t>
      </w:r>
      <w:r w:rsidR="004E698C" w:rsidRPr="00B925AC">
        <w:rPr>
          <w:rFonts w:ascii="Times New Roman" w:hAnsi="Times New Roman"/>
        </w:rPr>
        <w:lastRenderedPageBreak/>
        <w:t>Republican Party</w:t>
      </w:r>
      <w:r w:rsidR="00E426D2" w:rsidRPr="00B925AC">
        <w:rPr>
          <w:rFonts w:ascii="Times New Roman" w:hAnsi="Times New Roman"/>
        </w:rPr>
        <w:t>.</w:t>
      </w:r>
      <w:r w:rsidR="00896128" w:rsidRPr="00B925AC">
        <w:rPr>
          <w:rStyle w:val="FootnoteReference"/>
          <w:rFonts w:ascii="Times New Roman" w:hAnsi="Times New Roman"/>
        </w:rPr>
        <w:footnoteReference w:id="273"/>
      </w:r>
      <w:r w:rsidR="00E426D2" w:rsidRPr="00B925AC">
        <w:rPr>
          <w:rFonts w:ascii="Times New Roman" w:hAnsi="Times New Roman"/>
        </w:rPr>
        <w:t xml:space="preserve"> Now it has few adherents outside of Mike Lee’s followers on X.</w:t>
      </w:r>
      <w:r w:rsidR="00B62E22" w:rsidRPr="00B925AC">
        <w:rPr>
          <w:rStyle w:val="FootnoteReference"/>
          <w:rFonts w:ascii="Times New Roman" w:hAnsi="Times New Roman"/>
        </w:rPr>
        <w:footnoteReference w:id="274"/>
      </w:r>
      <w:r w:rsidR="00396FB2" w:rsidRPr="00B925AC">
        <w:rPr>
          <w:rFonts w:ascii="Times New Roman" w:hAnsi="Times New Roman"/>
        </w:rPr>
        <w:t xml:space="preserve"> Some principles may be more likely to become enforceable through a process like coalitional constitutionalism, but </w:t>
      </w:r>
      <w:r w:rsidR="001919DF" w:rsidRPr="00B925AC">
        <w:rPr>
          <w:rFonts w:ascii="Times New Roman" w:hAnsi="Times New Roman"/>
        </w:rPr>
        <w:t>on this question</w:t>
      </w:r>
      <w:r w:rsidR="00362E8E" w:rsidRPr="00B925AC">
        <w:rPr>
          <w:rFonts w:ascii="Times New Roman" w:hAnsi="Times New Roman"/>
        </w:rPr>
        <w:t>,</w:t>
      </w:r>
      <w:r w:rsidR="001919DF" w:rsidRPr="00B925AC">
        <w:rPr>
          <w:rFonts w:ascii="Times New Roman" w:hAnsi="Times New Roman"/>
        </w:rPr>
        <w:t xml:space="preserve"> we can speak only in probabilities.</w:t>
      </w:r>
      <w:r w:rsidR="00A05606" w:rsidRPr="00B925AC">
        <w:rPr>
          <w:rFonts w:ascii="Times New Roman" w:hAnsi="Times New Roman"/>
        </w:rPr>
        <w:t xml:space="preserve"> An empirical research agenda is needed to determine which provisions become core to political coalitions and which are subject to flip-flopping.</w:t>
      </w:r>
    </w:p>
    <w:p w14:paraId="2D9E1004" w14:textId="19DA8CED" w:rsidR="00E91A7C" w:rsidRPr="00B925AC" w:rsidRDefault="00E91A7C" w:rsidP="00E342F4">
      <w:pPr>
        <w:rPr>
          <w:rFonts w:ascii="Times New Roman" w:hAnsi="Times New Roman"/>
        </w:rPr>
      </w:pPr>
      <w:r w:rsidRPr="00B925AC">
        <w:rPr>
          <w:rFonts w:ascii="Times New Roman" w:hAnsi="Times New Roman"/>
        </w:rPr>
        <w:t xml:space="preserve">When </w:t>
      </w:r>
      <w:r w:rsidR="008868AD" w:rsidRPr="00B925AC">
        <w:rPr>
          <w:rFonts w:ascii="Times New Roman" w:hAnsi="Times New Roman"/>
        </w:rPr>
        <w:t xml:space="preserve">a principle becomes subject to a flip-flopping equilibrium, other considerations may lead </w:t>
      </w:r>
      <w:r w:rsidR="00C57B28" w:rsidRPr="00B925AC">
        <w:rPr>
          <w:rFonts w:ascii="Times New Roman" w:hAnsi="Times New Roman"/>
        </w:rPr>
        <w:t>politicians to abandon their prior positions. The most obvious is partisanship.</w:t>
      </w:r>
      <w:bookmarkStart w:id="34" w:name="_Ref186479376"/>
      <w:r w:rsidR="00D0489B" w:rsidRPr="00B925AC">
        <w:rPr>
          <w:rStyle w:val="FootnoteReference"/>
          <w:rFonts w:ascii="Times New Roman" w:hAnsi="Times New Roman"/>
        </w:rPr>
        <w:footnoteReference w:id="275"/>
      </w:r>
      <w:bookmarkEnd w:id="34"/>
      <w:r w:rsidR="00C57B28" w:rsidRPr="00B925AC">
        <w:rPr>
          <w:rFonts w:ascii="Times New Roman" w:hAnsi="Times New Roman"/>
        </w:rPr>
        <w:t xml:space="preserve"> </w:t>
      </w:r>
      <w:r w:rsidR="00C903FB" w:rsidRPr="00B925AC">
        <w:rPr>
          <w:rFonts w:ascii="Times New Roman" w:hAnsi="Times New Roman"/>
        </w:rPr>
        <w:t xml:space="preserve">Since </w:t>
      </w:r>
      <w:r w:rsidR="00712D43" w:rsidRPr="00B925AC">
        <w:rPr>
          <w:rFonts w:ascii="Times New Roman" w:hAnsi="Times New Roman"/>
        </w:rPr>
        <w:t xml:space="preserve">control over </w:t>
      </w:r>
      <w:r w:rsidR="00C903FB" w:rsidRPr="00B925AC">
        <w:rPr>
          <w:rFonts w:ascii="Times New Roman" w:hAnsi="Times New Roman"/>
        </w:rPr>
        <w:t>governmental institutions tends to</w:t>
      </w:r>
      <w:r w:rsidR="004F6ABD" w:rsidRPr="00B925AC">
        <w:rPr>
          <w:rFonts w:ascii="Times New Roman" w:hAnsi="Times New Roman"/>
        </w:rPr>
        <w:t xml:space="preserve"> shift between the parties</w:t>
      </w:r>
      <w:r w:rsidR="00C903FB" w:rsidRPr="00B925AC">
        <w:rPr>
          <w:rFonts w:ascii="Times New Roman" w:hAnsi="Times New Roman"/>
        </w:rPr>
        <w:t xml:space="preserve">, partisanship is the most likely driver of flip-flopping. </w:t>
      </w:r>
      <w:r w:rsidR="00425447" w:rsidRPr="00B925AC">
        <w:rPr>
          <w:rFonts w:ascii="Times New Roman" w:hAnsi="Times New Roman"/>
        </w:rPr>
        <w:t xml:space="preserve">A politician who asserts that presidents cannot wage war without congressional approval </w:t>
      </w:r>
      <w:r w:rsidR="000B5672" w:rsidRPr="00B925AC">
        <w:rPr>
          <w:rFonts w:ascii="Times New Roman" w:hAnsi="Times New Roman"/>
        </w:rPr>
        <w:t>is reasonably likely to face a situation in which a president of their own party urges them to</w:t>
      </w:r>
      <w:r w:rsidR="0030493E" w:rsidRPr="00B925AC">
        <w:rPr>
          <w:rFonts w:ascii="Times New Roman" w:hAnsi="Times New Roman"/>
        </w:rPr>
        <w:t xml:space="preserve"> change </w:t>
      </w:r>
      <w:r w:rsidR="004F2A1C" w:rsidRPr="00B925AC">
        <w:rPr>
          <w:rFonts w:ascii="Times New Roman" w:hAnsi="Times New Roman"/>
        </w:rPr>
        <w:t>their</w:t>
      </w:r>
      <w:r w:rsidR="0030493E" w:rsidRPr="00B925AC">
        <w:rPr>
          <w:rFonts w:ascii="Times New Roman" w:hAnsi="Times New Roman"/>
        </w:rPr>
        <w:t xml:space="preserve"> position. </w:t>
      </w:r>
      <w:r w:rsidR="004C54E5" w:rsidRPr="00B925AC">
        <w:rPr>
          <w:rFonts w:ascii="Times New Roman" w:hAnsi="Times New Roman"/>
        </w:rPr>
        <w:t>While that politician may face other types of changed circumstances, few are as common as changes in partisan control.</w:t>
      </w:r>
    </w:p>
    <w:p w14:paraId="2199B859" w14:textId="0050A7EC" w:rsidR="004D0C3A" w:rsidRPr="00B925AC" w:rsidRDefault="00A9258A" w:rsidP="007B390A">
      <w:pPr>
        <w:rPr>
          <w:rFonts w:ascii="Times New Roman" w:hAnsi="Times New Roman"/>
        </w:rPr>
      </w:pPr>
      <w:r w:rsidRPr="00B925AC">
        <w:rPr>
          <w:rFonts w:ascii="Times New Roman" w:hAnsi="Times New Roman"/>
        </w:rPr>
        <w:t>In many cases, this will mean that</w:t>
      </w:r>
      <w:r w:rsidR="00903AB9" w:rsidRPr="00B925AC">
        <w:rPr>
          <w:rFonts w:ascii="Times New Roman" w:hAnsi="Times New Roman"/>
        </w:rPr>
        <w:t>, in a flip-flopping equilibrium,</w:t>
      </w:r>
      <w:r w:rsidRPr="00B925AC">
        <w:rPr>
          <w:rFonts w:ascii="Times New Roman" w:hAnsi="Times New Roman"/>
        </w:rPr>
        <w:t xml:space="preserve"> constitutional </w:t>
      </w:r>
      <w:r w:rsidR="009F7F15" w:rsidRPr="00B925AC">
        <w:rPr>
          <w:rFonts w:ascii="Times New Roman" w:hAnsi="Times New Roman"/>
        </w:rPr>
        <w:t xml:space="preserve">limits on government power will be </w:t>
      </w:r>
      <w:r w:rsidR="00D5557C" w:rsidRPr="00B925AC">
        <w:rPr>
          <w:rFonts w:ascii="Times New Roman" w:hAnsi="Times New Roman"/>
        </w:rPr>
        <w:t xml:space="preserve">embraced </w:t>
      </w:r>
      <w:r w:rsidR="004A43B3" w:rsidRPr="00B925AC">
        <w:rPr>
          <w:rFonts w:ascii="Times New Roman" w:hAnsi="Times New Roman"/>
        </w:rPr>
        <w:t xml:space="preserve">when and only when the embracers do not hold government power. </w:t>
      </w:r>
      <w:r w:rsidR="00F23922" w:rsidRPr="00B925AC">
        <w:rPr>
          <w:rFonts w:ascii="Times New Roman" w:hAnsi="Times New Roman"/>
        </w:rPr>
        <w:t xml:space="preserve">Only the non-presidential party will endorse limitations on the president. </w:t>
      </w:r>
      <w:r w:rsidR="00A112B2" w:rsidRPr="00B925AC">
        <w:rPr>
          <w:rFonts w:ascii="Times New Roman" w:hAnsi="Times New Roman"/>
        </w:rPr>
        <w:t xml:space="preserve">Only the minority party in Congress will endorse limitations on the majority’s will. </w:t>
      </w:r>
      <w:r w:rsidR="00E13F3E" w:rsidRPr="00B925AC">
        <w:rPr>
          <w:rFonts w:ascii="Times New Roman" w:hAnsi="Times New Roman"/>
        </w:rPr>
        <w:t>In short, constitutional limitations are likely to be asserted only by those who have the least power to enforce them.</w:t>
      </w:r>
    </w:p>
    <w:p w14:paraId="799FDB6D" w14:textId="341C6FFE" w:rsidR="004D0C3A" w:rsidRPr="00B925AC" w:rsidRDefault="002454C2" w:rsidP="004D0C3A">
      <w:pPr>
        <w:pStyle w:val="Heading1"/>
        <w:rPr>
          <w:rFonts w:ascii="Times New Roman" w:hAnsi="Times New Roman"/>
        </w:rPr>
      </w:pPr>
      <w:r w:rsidRPr="00B925AC">
        <w:rPr>
          <w:rFonts w:ascii="Times New Roman" w:hAnsi="Times New Roman"/>
        </w:rPr>
        <w:t>V</w:t>
      </w:r>
      <w:r w:rsidR="00643C97" w:rsidRPr="00B925AC">
        <w:rPr>
          <w:rFonts w:ascii="Times New Roman" w:hAnsi="Times New Roman"/>
        </w:rPr>
        <w:t xml:space="preserve">.  </w:t>
      </w:r>
      <w:r w:rsidR="00DF143C" w:rsidRPr="00B925AC">
        <w:rPr>
          <w:rFonts w:ascii="Times New Roman" w:hAnsi="Times New Roman"/>
        </w:rPr>
        <w:t>Implications</w:t>
      </w:r>
    </w:p>
    <w:p w14:paraId="421D316D" w14:textId="0F63D948" w:rsidR="008618CA" w:rsidRPr="00B925AC" w:rsidRDefault="00643C97" w:rsidP="007B390A">
      <w:pPr>
        <w:rPr>
          <w:rFonts w:ascii="Times New Roman" w:hAnsi="Times New Roman"/>
        </w:rPr>
      </w:pPr>
      <w:r w:rsidRPr="00B925AC">
        <w:rPr>
          <w:rFonts w:ascii="Times New Roman" w:hAnsi="Times New Roman"/>
        </w:rPr>
        <w:t xml:space="preserve">The model of congressional constitutionalism presented here has implications for </w:t>
      </w:r>
      <w:r w:rsidR="00E762C9" w:rsidRPr="00B925AC">
        <w:rPr>
          <w:rFonts w:ascii="Times New Roman" w:hAnsi="Times New Roman"/>
        </w:rPr>
        <w:t>how we think about politics, about judicial doctrine, and about institutional design.</w:t>
      </w:r>
    </w:p>
    <w:p w14:paraId="513FAA09" w14:textId="71BE37C8" w:rsidR="008618CA" w:rsidRPr="00B925AC" w:rsidRDefault="008618CA" w:rsidP="008618CA">
      <w:pPr>
        <w:pStyle w:val="Heading2"/>
        <w:rPr>
          <w:rFonts w:ascii="Times New Roman" w:hAnsi="Times New Roman"/>
        </w:rPr>
      </w:pPr>
      <w:r w:rsidRPr="00B925AC">
        <w:rPr>
          <w:rFonts w:ascii="Times New Roman" w:hAnsi="Times New Roman"/>
        </w:rPr>
        <w:t>Politics</w:t>
      </w:r>
    </w:p>
    <w:p w14:paraId="1F0CE200" w14:textId="73F4C1E3" w:rsidR="008618CA" w:rsidRPr="00B925AC" w:rsidRDefault="008618CA" w:rsidP="008618CA">
      <w:pPr>
        <w:rPr>
          <w:rFonts w:ascii="Times New Roman" w:hAnsi="Times New Roman"/>
        </w:rPr>
      </w:pPr>
      <w:r w:rsidRPr="00B925AC">
        <w:rPr>
          <w:rFonts w:ascii="Times New Roman" w:hAnsi="Times New Roman"/>
        </w:rPr>
        <w:t>The first set of implications take</w:t>
      </w:r>
      <w:r w:rsidR="00595684" w:rsidRPr="00B925AC">
        <w:rPr>
          <w:rFonts w:ascii="Times New Roman" w:hAnsi="Times New Roman"/>
        </w:rPr>
        <w:t>s</w:t>
      </w:r>
      <w:r w:rsidRPr="00B925AC">
        <w:rPr>
          <w:rFonts w:ascii="Times New Roman" w:hAnsi="Times New Roman"/>
        </w:rPr>
        <w:t xml:space="preserve"> us back to where this paper started, with “the Groups.”</w:t>
      </w:r>
      <w:r w:rsidR="00D45B0C" w:rsidRPr="00B925AC">
        <w:rPr>
          <w:rFonts w:ascii="Times New Roman" w:hAnsi="Times New Roman"/>
        </w:rPr>
        <w:t xml:space="preserve"> First, it should not be surprising, or necessarily troubling, if advocacy </w:t>
      </w:r>
      <w:r w:rsidR="00BC3C4E" w:rsidRPr="00B925AC">
        <w:rPr>
          <w:rFonts w:ascii="Times New Roman" w:hAnsi="Times New Roman"/>
        </w:rPr>
        <w:t>organizations</w:t>
      </w:r>
      <w:r w:rsidR="00D45B0C" w:rsidRPr="00B925AC">
        <w:rPr>
          <w:rFonts w:ascii="Times New Roman" w:hAnsi="Times New Roman"/>
        </w:rPr>
        <w:t xml:space="preserve"> </w:t>
      </w:r>
      <w:r w:rsidR="00BC4C4F" w:rsidRPr="00B925AC">
        <w:rPr>
          <w:rFonts w:ascii="Times New Roman" w:hAnsi="Times New Roman"/>
        </w:rPr>
        <w:t>push their political coalitions to take positions that are unpopular with the general public.</w:t>
      </w:r>
      <w:r w:rsidR="007A3EB1" w:rsidRPr="00B925AC">
        <w:rPr>
          <w:rFonts w:ascii="Times New Roman" w:hAnsi="Times New Roman"/>
        </w:rPr>
        <w:t xml:space="preserve"> Indeed</w:t>
      </w:r>
      <w:r w:rsidR="00A95111" w:rsidRPr="00B925AC">
        <w:rPr>
          <w:rFonts w:ascii="Times New Roman" w:hAnsi="Times New Roman"/>
        </w:rPr>
        <w:t>, they may specifically seek positions that alienate other groups, even when those positions are not particularly beneficial to the group th</w:t>
      </w:r>
      <w:r w:rsidR="00E135CD" w:rsidRPr="00B925AC">
        <w:rPr>
          <w:rFonts w:ascii="Times New Roman" w:hAnsi="Times New Roman"/>
        </w:rPr>
        <w:t xml:space="preserve">at </w:t>
      </w:r>
      <w:r w:rsidR="00A95111" w:rsidRPr="00B925AC">
        <w:rPr>
          <w:rFonts w:ascii="Times New Roman" w:hAnsi="Times New Roman"/>
        </w:rPr>
        <w:lastRenderedPageBreak/>
        <w:t>seeks them.</w:t>
      </w:r>
      <w:r w:rsidR="00985927" w:rsidRPr="00B925AC">
        <w:rPr>
          <w:rFonts w:ascii="Times New Roman" w:hAnsi="Times New Roman"/>
        </w:rPr>
        <w:t xml:space="preserve"> When a political coalition takes unpopular positions, it sends a costly signal to a favored group that the coalition will </w:t>
      </w:r>
      <w:r w:rsidR="00ED3B44" w:rsidRPr="00B925AC">
        <w:rPr>
          <w:rFonts w:ascii="Times New Roman" w:hAnsi="Times New Roman"/>
        </w:rPr>
        <w:t xml:space="preserve">back the unpopular group when the chips are down. If coalitional constitutionalism is about politicians </w:t>
      </w:r>
      <w:r w:rsidR="00374A23" w:rsidRPr="00B925AC">
        <w:rPr>
          <w:rFonts w:ascii="Times New Roman" w:hAnsi="Times New Roman"/>
        </w:rPr>
        <w:t xml:space="preserve">making clear where they will </w:t>
      </w:r>
      <w:r w:rsidR="007C4D0C" w:rsidRPr="00B925AC">
        <w:rPr>
          <w:rFonts w:ascii="Times New Roman" w:hAnsi="Times New Roman"/>
        </w:rPr>
        <w:t>stand</w:t>
      </w:r>
      <w:r w:rsidR="00374A23" w:rsidRPr="00B925AC">
        <w:rPr>
          <w:rFonts w:ascii="Times New Roman" w:hAnsi="Times New Roman"/>
        </w:rPr>
        <w:t xml:space="preserve"> in the future, unpopular positions are particularly helpful. </w:t>
      </w:r>
      <w:r w:rsidR="003805FE" w:rsidRPr="00B925AC">
        <w:rPr>
          <w:rFonts w:ascii="Times New Roman" w:hAnsi="Times New Roman"/>
        </w:rPr>
        <w:t xml:space="preserve">Any politician will say nice-sounding things </w:t>
      </w:r>
      <w:r w:rsidR="00C836EC" w:rsidRPr="00B925AC">
        <w:rPr>
          <w:rFonts w:ascii="Times New Roman" w:hAnsi="Times New Roman"/>
        </w:rPr>
        <w:t xml:space="preserve">(“I believe in equality”) that also happen to support a coalition partner (say, trans individuals). </w:t>
      </w:r>
      <w:r w:rsidR="006601AD" w:rsidRPr="00B925AC">
        <w:rPr>
          <w:rFonts w:ascii="Times New Roman" w:hAnsi="Times New Roman"/>
        </w:rPr>
        <w:t>Only politicians who are truly allies will say things that do not sound so nice to the general electorate.</w:t>
      </w:r>
    </w:p>
    <w:p w14:paraId="14FC6DCD" w14:textId="5A0EB917" w:rsidR="00965FB7" w:rsidRPr="00B925AC" w:rsidRDefault="00965FB7" w:rsidP="008618CA">
      <w:pPr>
        <w:rPr>
          <w:rFonts w:ascii="Times New Roman" w:hAnsi="Times New Roman"/>
        </w:rPr>
      </w:pPr>
      <w:r w:rsidRPr="00B925AC">
        <w:rPr>
          <w:rFonts w:ascii="Times New Roman" w:hAnsi="Times New Roman"/>
        </w:rPr>
        <w:t>Unpopular statements also have an additional benefit from the perspective of coalition partners</w:t>
      </w:r>
      <w:r w:rsidR="00AE64BD" w:rsidRPr="00B925AC">
        <w:rPr>
          <w:rFonts w:ascii="Times New Roman" w:hAnsi="Times New Roman"/>
        </w:rPr>
        <w:t xml:space="preserve">: they alienate the right people. </w:t>
      </w:r>
      <w:r w:rsidR="0092778D" w:rsidRPr="00B925AC">
        <w:rPr>
          <w:rFonts w:ascii="Times New Roman" w:hAnsi="Times New Roman"/>
        </w:rPr>
        <w:t>If Democrats announce a pro-LGBT policy that alienates Christian conservatives, that announcement shifts the coalitional basis of the Democratic Party, making the</w:t>
      </w:r>
      <w:r w:rsidR="00676EC5" w:rsidRPr="00B925AC">
        <w:rPr>
          <w:rFonts w:ascii="Times New Roman" w:hAnsi="Times New Roman"/>
        </w:rPr>
        <w:t xml:space="preserve"> party</w:t>
      </w:r>
      <w:r w:rsidR="0092778D" w:rsidRPr="00B925AC">
        <w:rPr>
          <w:rFonts w:ascii="Times New Roman" w:hAnsi="Times New Roman"/>
        </w:rPr>
        <w:t xml:space="preserve"> less reliant on social conservatives and more reliant on other groups. </w:t>
      </w:r>
      <w:r w:rsidR="00A67919" w:rsidRPr="00B925AC">
        <w:rPr>
          <w:rFonts w:ascii="Times New Roman" w:hAnsi="Times New Roman"/>
        </w:rPr>
        <w:t>By alienating Christian conservatives, the Democrats not only show their willingness to build their electoral hopes around social progressives</w:t>
      </w:r>
      <w:r w:rsidR="007F7C65" w:rsidRPr="00B925AC">
        <w:rPr>
          <w:rFonts w:ascii="Times New Roman" w:hAnsi="Times New Roman"/>
        </w:rPr>
        <w:t>;</w:t>
      </w:r>
      <w:r w:rsidR="00A67919" w:rsidRPr="00B925AC">
        <w:rPr>
          <w:rFonts w:ascii="Times New Roman" w:hAnsi="Times New Roman"/>
        </w:rPr>
        <w:t xml:space="preserve"> they reduce their ability to do anything else.</w:t>
      </w:r>
    </w:p>
    <w:p w14:paraId="04F91828" w14:textId="797AD6E4" w:rsidR="000B2AB6" w:rsidRPr="00B925AC" w:rsidRDefault="000B2AB6" w:rsidP="008618CA">
      <w:pPr>
        <w:rPr>
          <w:rFonts w:ascii="Times New Roman" w:hAnsi="Times New Roman"/>
        </w:rPr>
      </w:pPr>
      <w:r w:rsidRPr="00B925AC">
        <w:rPr>
          <w:rFonts w:ascii="Times New Roman" w:hAnsi="Times New Roman"/>
        </w:rPr>
        <w:t xml:space="preserve">A key takeaway from this paper is that this dynamic – where coalition partners push for positions that undermine their coalition’s electoral chances – is </w:t>
      </w:r>
      <w:r w:rsidR="000B7EAF" w:rsidRPr="00B925AC">
        <w:rPr>
          <w:rFonts w:ascii="Times New Roman" w:hAnsi="Times New Roman"/>
        </w:rPr>
        <w:t xml:space="preserve">both inevitable and potentially beneficial. </w:t>
      </w:r>
      <w:r w:rsidR="008917D2" w:rsidRPr="00B925AC">
        <w:rPr>
          <w:rFonts w:ascii="Times New Roman" w:hAnsi="Times New Roman"/>
        </w:rPr>
        <w:t xml:space="preserve">It is inevitable, because political coalitions will generally have strong incentives to incorporate minority groups, and those groups will have </w:t>
      </w:r>
      <w:r w:rsidR="00A85CB1" w:rsidRPr="00B925AC">
        <w:rPr>
          <w:rFonts w:ascii="Times New Roman" w:hAnsi="Times New Roman"/>
        </w:rPr>
        <w:t xml:space="preserve">both the motive and the opportunity </w:t>
      </w:r>
      <w:r w:rsidR="008917D2" w:rsidRPr="00B925AC">
        <w:rPr>
          <w:rFonts w:ascii="Times New Roman" w:hAnsi="Times New Roman"/>
        </w:rPr>
        <w:t>to push their coalitions to the extremes</w:t>
      </w:r>
      <w:r w:rsidR="001B5FDE" w:rsidRPr="00B925AC">
        <w:rPr>
          <w:rFonts w:ascii="Times New Roman" w:hAnsi="Times New Roman"/>
        </w:rPr>
        <w:t xml:space="preserve">. It is potentially beneficial, because this is one of the ways America’s political process protects rights. </w:t>
      </w:r>
      <w:r w:rsidR="00C243F2" w:rsidRPr="00B925AC">
        <w:rPr>
          <w:rFonts w:ascii="Times New Roman" w:hAnsi="Times New Roman"/>
        </w:rPr>
        <w:t>The same dynamics that push the political parties to the extremes are also the dynamics that tie those parties to the mast, ensuring that they will protect minority rights</w:t>
      </w:r>
      <w:r w:rsidR="00A0272F" w:rsidRPr="00B925AC">
        <w:rPr>
          <w:rFonts w:ascii="Times New Roman" w:hAnsi="Times New Roman"/>
        </w:rPr>
        <w:t xml:space="preserve"> when the going gets tough. Particularly during a period when the Supreme Court appears to be abrogating its responsibility to protect key constitutional rights, this political process may be the best means available for ensuring that unpopular groups are not victimized by prejudiced </w:t>
      </w:r>
      <w:r w:rsidR="004E5868" w:rsidRPr="00B925AC">
        <w:rPr>
          <w:rFonts w:ascii="Times New Roman" w:hAnsi="Times New Roman"/>
        </w:rPr>
        <w:t>majorities</w:t>
      </w:r>
      <w:r w:rsidR="00A0272F" w:rsidRPr="00B925AC">
        <w:rPr>
          <w:rFonts w:ascii="Times New Roman" w:hAnsi="Times New Roman"/>
        </w:rPr>
        <w:t>.</w:t>
      </w:r>
    </w:p>
    <w:p w14:paraId="7BC89A69" w14:textId="5A289EC0" w:rsidR="00BF1F20" w:rsidRPr="00B925AC" w:rsidRDefault="00D22AF4" w:rsidP="005F1BB4">
      <w:pPr>
        <w:rPr>
          <w:rFonts w:ascii="Times New Roman" w:hAnsi="Times New Roman"/>
        </w:rPr>
      </w:pPr>
      <w:r w:rsidRPr="00B925AC">
        <w:rPr>
          <w:rFonts w:ascii="Times New Roman" w:hAnsi="Times New Roman"/>
        </w:rPr>
        <w:t xml:space="preserve">Of course, whether </w:t>
      </w:r>
      <w:r w:rsidR="005F0800" w:rsidRPr="00B925AC">
        <w:rPr>
          <w:rFonts w:ascii="Times New Roman" w:hAnsi="Times New Roman"/>
        </w:rPr>
        <w:t xml:space="preserve">any given example of coalitional constitutionalism is normatively attractive will depend on the rights in question. </w:t>
      </w:r>
      <w:r w:rsidR="00EE700E" w:rsidRPr="00B925AC">
        <w:rPr>
          <w:rFonts w:ascii="Times New Roman" w:hAnsi="Times New Roman"/>
        </w:rPr>
        <w:t>Readers who applaud coalitional constitutionalism’s potential to protect the rights of racial minorities and the right to privacy might object when it is used to protect gun rights, religious rights, or states</w:t>
      </w:r>
      <w:r w:rsidR="00D70FA5" w:rsidRPr="00B925AC">
        <w:rPr>
          <w:rFonts w:ascii="Times New Roman" w:hAnsi="Times New Roman"/>
        </w:rPr>
        <w:t>’</w:t>
      </w:r>
      <w:r w:rsidR="00EE700E" w:rsidRPr="00B925AC">
        <w:rPr>
          <w:rFonts w:ascii="Times New Roman" w:hAnsi="Times New Roman"/>
        </w:rPr>
        <w:t xml:space="preserve"> rights. </w:t>
      </w:r>
      <w:r w:rsidR="007D218C" w:rsidRPr="00B925AC">
        <w:rPr>
          <w:rFonts w:ascii="Times New Roman" w:hAnsi="Times New Roman"/>
        </w:rPr>
        <w:t>However, coalitional constitutionalism at least offers a vision for a constitutional democracy that is both democratic (in the sense of being responsive to public opinion and administered by electorally accountable actors) and constitutional (in the sense that some values will be protected against majoritarian whims).</w:t>
      </w:r>
      <w:r w:rsidR="00904BF1" w:rsidRPr="00B925AC">
        <w:rPr>
          <w:rFonts w:ascii="Times New Roman" w:hAnsi="Times New Roman"/>
        </w:rPr>
        <w:t xml:space="preserve"> That, surely, is not something to lightly cast aside.</w:t>
      </w:r>
    </w:p>
    <w:p w14:paraId="670770B3" w14:textId="6195E2F8" w:rsidR="00BF1F20" w:rsidRPr="00B925AC" w:rsidRDefault="00BF1F20" w:rsidP="00BF1F20">
      <w:pPr>
        <w:pStyle w:val="Heading2"/>
        <w:rPr>
          <w:rFonts w:ascii="Times New Roman" w:hAnsi="Times New Roman"/>
        </w:rPr>
      </w:pPr>
      <w:r w:rsidRPr="00B925AC">
        <w:rPr>
          <w:rFonts w:ascii="Times New Roman" w:hAnsi="Times New Roman"/>
        </w:rPr>
        <w:lastRenderedPageBreak/>
        <w:t>Doctrine</w:t>
      </w:r>
    </w:p>
    <w:p w14:paraId="503F93CD" w14:textId="3C8C5650" w:rsidR="00D371D3" w:rsidRPr="00B925AC" w:rsidRDefault="00BF1F20" w:rsidP="00D42AD8">
      <w:pPr>
        <w:rPr>
          <w:rFonts w:ascii="Times New Roman" w:hAnsi="Times New Roman"/>
        </w:rPr>
      </w:pPr>
      <w:r w:rsidRPr="00B925AC">
        <w:rPr>
          <w:rFonts w:ascii="Times New Roman" w:hAnsi="Times New Roman"/>
        </w:rPr>
        <w:t xml:space="preserve">Coalitional constitutionalism also has implications for judicial doctrine. </w:t>
      </w:r>
      <w:r w:rsidR="006517AC" w:rsidRPr="00B925AC">
        <w:rPr>
          <w:rFonts w:ascii="Times New Roman" w:hAnsi="Times New Roman"/>
        </w:rPr>
        <w:t xml:space="preserve">It shows that rights will be least likely to receive protection when (1) the party that espouses those rights is out of power, (2) </w:t>
      </w:r>
      <w:r w:rsidR="004C16B6" w:rsidRPr="00B925AC">
        <w:rPr>
          <w:rFonts w:ascii="Times New Roman" w:hAnsi="Times New Roman"/>
        </w:rPr>
        <w:t xml:space="preserve">the faction that espouses those rights is weak within the governing coalition, </w:t>
      </w:r>
      <w:r w:rsidR="006B648E" w:rsidRPr="00B925AC">
        <w:rPr>
          <w:rFonts w:ascii="Times New Roman" w:hAnsi="Times New Roman"/>
        </w:rPr>
        <w:t>or</w:t>
      </w:r>
      <w:r w:rsidR="004C16B6" w:rsidRPr="00B925AC">
        <w:rPr>
          <w:rFonts w:ascii="Times New Roman" w:hAnsi="Times New Roman"/>
        </w:rPr>
        <w:t xml:space="preserve"> (3) those rights are subject to a flip-flopping equilibrium. </w:t>
      </w:r>
      <w:r w:rsidR="00C600BF" w:rsidRPr="00B925AC">
        <w:rPr>
          <w:rFonts w:ascii="Times New Roman" w:hAnsi="Times New Roman"/>
        </w:rPr>
        <w:t xml:space="preserve">Courts, then, stand on the strongest footing when they oppose the weakly-held </w:t>
      </w:r>
      <w:r w:rsidR="00D371D3" w:rsidRPr="00B925AC">
        <w:rPr>
          <w:rFonts w:ascii="Times New Roman" w:hAnsi="Times New Roman"/>
        </w:rPr>
        <w:t>preferences of a majority in favor of the strongly held preferences of a minority.</w:t>
      </w:r>
      <w:r w:rsidR="00FF35D2" w:rsidRPr="00B925AC">
        <w:rPr>
          <w:rStyle w:val="FootnoteReference"/>
          <w:rFonts w:ascii="Times New Roman" w:hAnsi="Times New Roman"/>
        </w:rPr>
        <w:footnoteReference w:id="276"/>
      </w:r>
      <w:r w:rsidR="00D42AD8" w:rsidRPr="00B925AC">
        <w:rPr>
          <w:rFonts w:ascii="Times New Roman" w:hAnsi="Times New Roman"/>
        </w:rPr>
        <w:t xml:space="preserve"> </w:t>
      </w:r>
      <w:r w:rsidR="008640F4" w:rsidRPr="00B925AC">
        <w:rPr>
          <w:rFonts w:ascii="Times New Roman" w:hAnsi="Times New Roman"/>
        </w:rPr>
        <w:t xml:space="preserve">When the courts face an anti-trans law passed under a Republican trifecta, it should show its greatest skepticism. </w:t>
      </w:r>
      <w:r w:rsidR="002C4D62" w:rsidRPr="00B925AC">
        <w:rPr>
          <w:rFonts w:ascii="Times New Roman" w:hAnsi="Times New Roman"/>
        </w:rPr>
        <w:t>The same goes w</w:t>
      </w:r>
      <w:r w:rsidR="008640F4" w:rsidRPr="00B925AC">
        <w:rPr>
          <w:rFonts w:ascii="Times New Roman" w:hAnsi="Times New Roman"/>
        </w:rPr>
        <w:t xml:space="preserve">hen </w:t>
      </w:r>
      <w:r w:rsidR="002C4D62" w:rsidRPr="00B925AC">
        <w:rPr>
          <w:rFonts w:ascii="Times New Roman" w:hAnsi="Times New Roman"/>
        </w:rPr>
        <w:t xml:space="preserve">they face a limitation on </w:t>
      </w:r>
      <w:r w:rsidR="009A7558" w:rsidRPr="00B925AC">
        <w:rPr>
          <w:rFonts w:ascii="Times New Roman" w:hAnsi="Times New Roman"/>
        </w:rPr>
        <w:t xml:space="preserve">gun rights </w:t>
      </w:r>
      <w:r w:rsidR="002C4D62" w:rsidRPr="00B925AC">
        <w:rPr>
          <w:rFonts w:ascii="Times New Roman" w:hAnsi="Times New Roman"/>
        </w:rPr>
        <w:t>passed under Democrats.</w:t>
      </w:r>
      <w:r w:rsidR="008640F4" w:rsidRPr="00B925AC">
        <w:rPr>
          <w:rFonts w:ascii="Times New Roman" w:hAnsi="Times New Roman"/>
        </w:rPr>
        <w:t xml:space="preserve"> </w:t>
      </w:r>
      <w:r w:rsidR="00D42AD8" w:rsidRPr="00B925AC">
        <w:rPr>
          <w:rFonts w:ascii="Times New Roman" w:hAnsi="Times New Roman"/>
        </w:rPr>
        <w:t>This is fairly straightforward, and it is nothing new.</w:t>
      </w:r>
      <w:bookmarkStart w:id="35" w:name="_Ref186285607"/>
      <w:r w:rsidR="00226472" w:rsidRPr="00B925AC">
        <w:rPr>
          <w:rStyle w:val="FootnoteReference"/>
          <w:rFonts w:ascii="Times New Roman" w:hAnsi="Times New Roman"/>
        </w:rPr>
        <w:footnoteReference w:id="277"/>
      </w:r>
      <w:bookmarkEnd w:id="35"/>
    </w:p>
    <w:p w14:paraId="5AF02B21" w14:textId="370E7984" w:rsidR="00CD5635" w:rsidRPr="00B925AC" w:rsidRDefault="00B273D4" w:rsidP="00582A03">
      <w:pPr>
        <w:rPr>
          <w:rFonts w:ascii="Times New Roman" w:hAnsi="Times New Roman"/>
        </w:rPr>
      </w:pPr>
      <w:r w:rsidRPr="00B925AC">
        <w:rPr>
          <w:rFonts w:ascii="Times New Roman" w:hAnsi="Times New Roman"/>
        </w:rPr>
        <w:t xml:space="preserve">What is striking about the situation described here is how unlikely it seems that </w:t>
      </w:r>
      <w:r w:rsidR="00766604" w:rsidRPr="00B925AC">
        <w:rPr>
          <w:rFonts w:ascii="Times New Roman" w:hAnsi="Times New Roman"/>
        </w:rPr>
        <w:t xml:space="preserve">the courts will be a major part of the solution. </w:t>
      </w:r>
      <w:r w:rsidR="0098614F" w:rsidRPr="00B925AC">
        <w:rPr>
          <w:rFonts w:ascii="Times New Roman" w:hAnsi="Times New Roman"/>
        </w:rPr>
        <w:t xml:space="preserve">Given that at least one political coalition (though rarely both) is likely to champion the cause of any rights claim that is intensely supported by </w:t>
      </w:r>
      <w:r w:rsidR="002E65A2" w:rsidRPr="00B925AC">
        <w:rPr>
          <w:rFonts w:ascii="Times New Roman" w:hAnsi="Times New Roman"/>
        </w:rPr>
        <w:t xml:space="preserve">a sizable group of Americans, </w:t>
      </w:r>
      <w:r w:rsidR="000B78D3" w:rsidRPr="00B925AC">
        <w:rPr>
          <w:rFonts w:ascii="Times New Roman" w:hAnsi="Times New Roman"/>
        </w:rPr>
        <w:t>rights violations are likely only when the other party dominates the levers of power</w:t>
      </w:r>
      <w:r w:rsidR="001C6588" w:rsidRPr="00B925AC">
        <w:rPr>
          <w:rFonts w:ascii="Times New Roman" w:hAnsi="Times New Roman"/>
        </w:rPr>
        <w:t xml:space="preserve">. </w:t>
      </w:r>
      <w:r w:rsidR="004F6E8D" w:rsidRPr="00B925AC">
        <w:rPr>
          <w:rFonts w:ascii="Times New Roman" w:hAnsi="Times New Roman"/>
        </w:rPr>
        <w:t xml:space="preserve">But in that situation, one </w:t>
      </w:r>
      <w:r w:rsidR="00602D6C" w:rsidRPr="00B925AC">
        <w:rPr>
          <w:rFonts w:ascii="Times New Roman" w:hAnsi="Times New Roman"/>
        </w:rPr>
        <w:t xml:space="preserve">would expect </w:t>
      </w:r>
      <w:r w:rsidR="00EA6488" w:rsidRPr="00B925AC">
        <w:rPr>
          <w:rFonts w:ascii="Times New Roman" w:hAnsi="Times New Roman"/>
        </w:rPr>
        <w:t>the party in power to also have planted like-minded jurists throughout the judiciary.</w:t>
      </w:r>
      <w:r w:rsidR="00BD199D" w:rsidRPr="00B925AC">
        <w:rPr>
          <w:rStyle w:val="FootnoteReference"/>
          <w:rFonts w:ascii="Times New Roman" w:hAnsi="Times New Roman"/>
        </w:rPr>
        <w:footnoteReference w:id="278"/>
      </w:r>
      <w:r w:rsidR="00CD5635" w:rsidRPr="00B925AC">
        <w:rPr>
          <w:rFonts w:ascii="Times New Roman" w:hAnsi="Times New Roman"/>
        </w:rPr>
        <w:t xml:space="preserve"> </w:t>
      </w:r>
      <w:r w:rsidR="00AC53C4" w:rsidRPr="00B925AC">
        <w:rPr>
          <w:rFonts w:ascii="Times New Roman" w:hAnsi="Times New Roman"/>
        </w:rPr>
        <w:t xml:space="preserve">Worse, </w:t>
      </w:r>
      <w:r w:rsidR="00D44270" w:rsidRPr="00B925AC">
        <w:rPr>
          <w:rFonts w:ascii="Times New Roman" w:hAnsi="Times New Roman"/>
        </w:rPr>
        <w:t xml:space="preserve">a governing majority </w:t>
      </w:r>
      <w:r w:rsidR="00C66F36" w:rsidRPr="00B925AC">
        <w:rPr>
          <w:rFonts w:ascii="Times New Roman" w:hAnsi="Times New Roman"/>
        </w:rPr>
        <w:t xml:space="preserve">may use the </w:t>
      </w:r>
      <w:r w:rsidR="00A074D5" w:rsidRPr="00B925AC">
        <w:rPr>
          <w:rFonts w:ascii="Times New Roman" w:hAnsi="Times New Roman"/>
        </w:rPr>
        <w:t xml:space="preserve">judiciary to entrench its skepticism of </w:t>
      </w:r>
      <w:r w:rsidR="006343F1" w:rsidRPr="00B925AC">
        <w:rPr>
          <w:rFonts w:ascii="Times New Roman" w:hAnsi="Times New Roman"/>
        </w:rPr>
        <w:t>those</w:t>
      </w:r>
      <w:r w:rsidR="00A074D5" w:rsidRPr="00B925AC">
        <w:rPr>
          <w:rFonts w:ascii="Times New Roman" w:hAnsi="Times New Roman"/>
        </w:rPr>
        <w:t xml:space="preserve"> minority rights</w:t>
      </w:r>
      <w:r w:rsidR="006343F1" w:rsidRPr="00B925AC">
        <w:rPr>
          <w:rFonts w:ascii="Times New Roman" w:hAnsi="Times New Roman"/>
        </w:rPr>
        <w:t xml:space="preserve"> it disfavors</w:t>
      </w:r>
      <w:r w:rsidR="00A074D5" w:rsidRPr="00B925AC">
        <w:rPr>
          <w:rFonts w:ascii="Times New Roman" w:hAnsi="Times New Roman"/>
        </w:rPr>
        <w:t xml:space="preserve">, such that those rights </w:t>
      </w:r>
      <w:r w:rsidR="00727423" w:rsidRPr="00B925AC">
        <w:rPr>
          <w:rFonts w:ascii="Times New Roman" w:hAnsi="Times New Roman"/>
        </w:rPr>
        <w:t>cannot be resuscitated even if political power changes hands.</w:t>
      </w:r>
      <w:r w:rsidR="00727423" w:rsidRPr="00B925AC">
        <w:rPr>
          <w:rStyle w:val="FootnoteReference"/>
          <w:rFonts w:ascii="Times New Roman" w:hAnsi="Times New Roman"/>
        </w:rPr>
        <w:footnoteReference w:id="279"/>
      </w:r>
      <w:r w:rsidR="00727423" w:rsidRPr="00B925AC">
        <w:rPr>
          <w:rFonts w:ascii="Times New Roman" w:hAnsi="Times New Roman"/>
        </w:rPr>
        <w:t xml:space="preserve"> </w:t>
      </w:r>
      <w:r w:rsidR="00CD5635" w:rsidRPr="00B925AC">
        <w:rPr>
          <w:rFonts w:ascii="Times New Roman" w:hAnsi="Times New Roman"/>
        </w:rPr>
        <w:t>Those interested in protecting minority rights would do well to think outside the courts.</w:t>
      </w:r>
    </w:p>
    <w:p w14:paraId="5F24A38D" w14:textId="67E6A610" w:rsidR="00CD5635" w:rsidRPr="00B925AC" w:rsidRDefault="00CD5635" w:rsidP="00CD5635">
      <w:pPr>
        <w:pStyle w:val="Heading2"/>
        <w:rPr>
          <w:rFonts w:ascii="Times New Roman" w:hAnsi="Times New Roman"/>
        </w:rPr>
      </w:pPr>
      <w:r w:rsidRPr="00B925AC">
        <w:rPr>
          <w:rFonts w:ascii="Times New Roman" w:hAnsi="Times New Roman"/>
        </w:rPr>
        <w:t>Institutional Design</w:t>
      </w:r>
    </w:p>
    <w:p w14:paraId="6D1FA9C3" w14:textId="7DD48F59" w:rsidR="00CD5635" w:rsidRPr="00B925AC" w:rsidRDefault="00CD5635" w:rsidP="00CD5635">
      <w:pPr>
        <w:rPr>
          <w:rFonts w:ascii="Times New Roman" w:hAnsi="Times New Roman"/>
        </w:rPr>
      </w:pPr>
      <w:r w:rsidRPr="00B925AC">
        <w:rPr>
          <w:rFonts w:ascii="Times New Roman" w:hAnsi="Times New Roman"/>
        </w:rPr>
        <w:t xml:space="preserve">Which brings me to my last set of implications. </w:t>
      </w:r>
      <w:r w:rsidR="009522FC" w:rsidRPr="00B925AC">
        <w:rPr>
          <w:rFonts w:ascii="Times New Roman" w:hAnsi="Times New Roman"/>
        </w:rPr>
        <w:t xml:space="preserve">The three equilibria described above </w:t>
      </w:r>
      <w:r w:rsidR="00D34B94" w:rsidRPr="00B925AC">
        <w:rPr>
          <w:rFonts w:ascii="Times New Roman" w:hAnsi="Times New Roman"/>
        </w:rPr>
        <w:t xml:space="preserve">are all likely to produce a similar blind spot when it comes to rights-protection. </w:t>
      </w:r>
      <w:r w:rsidR="00773C04" w:rsidRPr="00B925AC">
        <w:rPr>
          <w:rFonts w:ascii="Times New Roman" w:hAnsi="Times New Roman"/>
        </w:rPr>
        <w:t xml:space="preserve">In a partisan equilibrium, the majority party will ignore those rights championed by the minority party, but the minority party can be expected to </w:t>
      </w:r>
      <w:r w:rsidR="00491E0A" w:rsidRPr="00B925AC">
        <w:rPr>
          <w:rFonts w:ascii="Times New Roman" w:hAnsi="Times New Roman"/>
        </w:rPr>
        <w:t xml:space="preserve">try vehemently to defend those rights. </w:t>
      </w:r>
      <w:r w:rsidR="00C44248" w:rsidRPr="00B925AC">
        <w:rPr>
          <w:rFonts w:ascii="Times New Roman" w:hAnsi="Times New Roman"/>
        </w:rPr>
        <w:t xml:space="preserve">In a factional equilibrium, </w:t>
      </w:r>
      <w:r w:rsidR="002564E3" w:rsidRPr="00B925AC">
        <w:rPr>
          <w:rFonts w:ascii="Times New Roman" w:hAnsi="Times New Roman"/>
        </w:rPr>
        <w:t>faction</w:t>
      </w:r>
      <w:r w:rsidR="000A3F6E" w:rsidRPr="00B925AC">
        <w:rPr>
          <w:rFonts w:ascii="Times New Roman" w:hAnsi="Times New Roman"/>
        </w:rPr>
        <w:t>s</w:t>
      </w:r>
      <w:r w:rsidR="002564E3" w:rsidRPr="00B925AC">
        <w:rPr>
          <w:rFonts w:ascii="Times New Roman" w:hAnsi="Times New Roman"/>
        </w:rPr>
        <w:t xml:space="preserve"> </w:t>
      </w:r>
      <w:r w:rsidR="000A3F6E" w:rsidRPr="00B925AC">
        <w:rPr>
          <w:rFonts w:ascii="Times New Roman" w:hAnsi="Times New Roman"/>
        </w:rPr>
        <w:t xml:space="preserve">will fight </w:t>
      </w:r>
      <w:r w:rsidR="002564E3" w:rsidRPr="00B925AC">
        <w:rPr>
          <w:rFonts w:ascii="Times New Roman" w:hAnsi="Times New Roman"/>
        </w:rPr>
        <w:t xml:space="preserve">to </w:t>
      </w:r>
      <w:r w:rsidR="002564E3" w:rsidRPr="00B925AC">
        <w:rPr>
          <w:rFonts w:ascii="Times New Roman" w:hAnsi="Times New Roman"/>
        </w:rPr>
        <w:lastRenderedPageBreak/>
        <w:t xml:space="preserve">protect </w:t>
      </w:r>
      <w:r w:rsidR="000A3F6E" w:rsidRPr="00B925AC">
        <w:rPr>
          <w:rFonts w:ascii="Times New Roman" w:hAnsi="Times New Roman"/>
        </w:rPr>
        <w:t xml:space="preserve">their </w:t>
      </w:r>
      <w:r w:rsidR="002564E3" w:rsidRPr="00B925AC">
        <w:rPr>
          <w:rFonts w:ascii="Times New Roman" w:hAnsi="Times New Roman"/>
        </w:rPr>
        <w:t xml:space="preserve">most valued coalition partners, but </w:t>
      </w:r>
      <w:r w:rsidR="00B16D27" w:rsidRPr="00B925AC">
        <w:rPr>
          <w:rFonts w:ascii="Times New Roman" w:hAnsi="Times New Roman"/>
        </w:rPr>
        <w:t xml:space="preserve">their success </w:t>
      </w:r>
      <w:r w:rsidR="00F41AAC" w:rsidRPr="00B925AC">
        <w:rPr>
          <w:rFonts w:ascii="Times New Roman" w:hAnsi="Times New Roman"/>
        </w:rPr>
        <w:t xml:space="preserve">will depend on </w:t>
      </w:r>
      <w:r w:rsidR="00334E3D" w:rsidRPr="00B925AC">
        <w:rPr>
          <w:rFonts w:ascii="Times New Roman" w:hAnsi="Times New Roman"/>
        </w:rPr>
        <w:t xml:space="preserve">their </w:t>
      </w:r>
      <w:r w:rsidR="00F41AAC" w:rsidRPr="00B925AC">
        <w:rPr>
          <w:rFonts w:ascii="Times New Roman" w:hAnsi="Times New Roman"/>
        </w:rPr>
        <w:t>bar</w:t>
      </w:r>
      <w:r w:rsidR="000A3F6E" w:rsidRPr="00B925AC">
        <w:rPr>
          <w:rFonts w:ascii="Times New Roman" w:hAnsi="Times New Roman"/>
        </w:rPr>
        <w:t>g</w:t>
      </w:r>
      <w:r w:rsidR="00F41AAC" w:rsidRPr="00B925AC">
        <w:rPr>
          <w:rFonts w:ascii="Times New Roman" w:hAnsi="Times New Roman"/>
        </w:rPr>
        <w:t>aining position and effectiveness.</w:t>
      </w:r>
      <w:r w:rsidR="003D088D" w:rsidRPr="00B925AC">
        <w:rPr>
          <w:rFonts w:ascii="Times New Roman" w:hAnsi="Times New Roman"/>
        </w:rPr>
        <w:t xml:space="preserve"> In a flip-flopping equilibrium, the minority party </w:t>
      </w:r>
      <w:r w:rsidR="004B5318" w:rsidRPr="00B925AC">
        <w:rPr>
          <w:rFonts w:ascii="Times New Roman" w:hAnsi="Times New Roman"/>
        </w:rPr>
        <w:t>is likely to</w:t>
      </w:r>
      <w:r w:rsidR="003D088D" w:rsidRPr="00B925AC">
        <w:rPr>
          <w:rFonts w:ascii="Times New Roman" w:hAnsi="Times New Roman"/>
        </w:rPr>
        <w:t xml:space="preserve"> play the role of a check on the majority</w:t>
      </w:r>
      <w:r w:rsidR="00D264E4" w:rsidRPr="00B925AC">
        <w:rPr>
          <w:rFonts w:ascii="Times New Roman" w:hAnsi="Times New Roman"/>
        </w:rPr>
        <w:t xml:space="preserve"> consistently</w:t>
      </w:r>
      <w:r w:rsidR="003D088D" w:rsidRPr="00B925AC">
        <w:rPr>
          <w:rFonts w:ascii="Times New Roman" w:hAnsi="Times New Roman"/>
        </w:rPr>
        <w:t>. But this also means, by definition, that the majority will not check itself.</w:t>
      </w:r>
    </w:p>
    <w:p w14:paraId="63F722D6" w14:textId="41F8616C" w:rsidR="0046282E" w:rsidRPr="00B925AC" w:rsidRDefault="007436A2" w:rsidP="00CD5635">
      <w:pPr>
        <w:rPr>
          <w:rFonts w:ascii="Times New Roman" w:hAnsi="Times New Roman"/>
        </w:rPr>
      </w:pPr>
      <w:r w:rsidRPr="00B925AC">
        <w:rPr>
          <w:rFonts w:ascii="Times New Roman" w:hAnsi="Times New Roman"/>
        </w:rPr>
        <w:t xml:space="preserve">What these situations have in common is (1) the presence of a </w:t>
      </w:r>
      <w:r w:rsidR="009D2DD0" w:rsidRPr="00B925AC">
        <w:rPr>
          <w:rFonts w:ascii="Times New Roman" w:hAnsi="Times New Roman"/>
        </w:rPr>
        <w:t xml:space="preserve">political coalition </w:t>
      </w:r>
      <w:r w:rsidRPr="00B925AC">
        <w:rPr>
          <w:rFonts w:ascii="Times New Roman" w:hAnsi="Times New Roman"/>
        </w:rPr>
        <w:t>with a powerful interest in defending rights and (2) the fact t</w:t>
      </w:r>
      <w:r w:rsidR="004755A9" w:rsidRPr="00B925AC">
        <w:rPr>
          <w:rFonts w:ascii="Times New Roman" w:hAnsi="Times New Roman"/>
        </w:rPr>
        <w:t>hat this coalition is in the minority.</w:t>
      </w:r>
      <w:r w:rsidR="00E26250" w:rsidRPr="00B925AC">
        <w:rPr>
          <w:rFonts w:ascii="Times New Roman" w:hAnsi="Times New Roman"/>
        </w:rPr>
        <w:t xml:space="preserve"> This common problem </w:t>
      </w:r>
      <w:r w:rsidR="0079414F" w:rsidRPr="00B925AC">
        <w:rPr>
          <w:rFonts w:ascii="Times New Roman" w:hAnsi="Times New Roman"/>
        </w:rPr>
        <w:t>points to</w:t>
      </w:r>
      <w:r w:rsidR="00E26250" w:rsidRPr="00B925AC">
        <w:rPr>
          <w:rFonts w:ascii="Times New Roman" w:hAnsi="Times New Roman"/>
        </w:rPr>
        <w:t xml:space="preserve"> a common solution: </w:t>
      </w:r>
      <w:r w:rsidR="00745F49" w:rsidRPr="00B925AC">
        <w:rPr>
          <w:rFonts w:ascii="Times New Roman" w:hAnsi="Times New Roman"/>
        </w:rPr>
        <w:t>defending the prerogatives of congressional minorities.</w:t>
      </w:r>
    </w:p>
    <w:p w14:paraId="25573E41" w14:textId="61BEA234" w:rsidR="00A768A4" w:rsidRPr="00B925AC" w:rsidRDefault="00B036B9" w:rsidP="00CD5635">
      <w:pPr>
        <w:rPr>
          <w:rFonts w:ascii="Times New Roman" w:hAnsi="Times New Roman"/>
        </w:rPr>
      </w:pPr>
      <w:r w:rsidRPr="00B925AC">
        <w:rPr>
          <w:rFonts w:ascii="Times New Roman" w:hAnsi="Times New Roman"/>
        </w:rPr>
        <w:t>At a glance, this may suggest the need to preserve and even expand the Senate filibuster and other similar institutions.</w:t>
      </w:r>
      <w:r w:rsidR="006E5A4D" w:rsidRPr="00B925AC">
        <w:rPr>
          <w:rStyle w:val="FootnoteReference"/>
          <w:rFonts w:ascii="Times New Roman" w:hAnsi="Times New Roman"/>
        </w:rPr>
        <w:footnoteReference w:id="280"/>
      </w:r>
      <w:r w:rsidRPr="00B925AC">
        <w:rPr>
          <w:rFonts w:ascii="Times New Roman" w:hAnsi="Times New Roman"/>
        </w:rPr>
        <w:t xml:space="preserve"> </w:t>
      </w:r>
      <w:r w:rsidR="002F6401" w:rsidRPr="00B925AC">
        <w:rPr>
          <w:rFonts w:ascii="Times New Roman" w:hAnsi="Times New Roman"/>
        </w:rPr>
        <w:t>Actually, I want to suggest the opposite.</w:t>
      </w:r>
      <w:r w:rsidR="00BA2C68" w:rsidRPr="00B925AC">
        <w:rPr>
          <w:rFonts w:ascii="Times New Roman" w:hAnsi="Times New Roman"/>
        </w:rPr>
        <w:t xml:space="preserve"> The filibuster</w:t>
      </w:r>
      <w:r w:rsidR="00CC1563" w:rsidRPr="00B925AC">
        <w:rPr>
          <w:rFonts w:ascii="Times New Roman" w:hAnsi="Times New Roman"/>
        </w:rPr>
        <w:t xml:space="preserve">, as it is used today, poses substantial costs and </w:t>
      </w:r>
      <w:r w:rsidR="00E07FB1" w:rsidRPr="00B925AC">
        <w:rPr>
          <w:rFonts w:ascii="Times New Roman" w:hAnsi="Times New Roman"/>
        </w:rPr>
        <w:t>does a poor job of specifically protecting</w:t>
      </w:r>
      <w:r w:rsidR="000B7F79" w:rsidRPr="00B925AC">
        <w:rPr>
          <w:rFonts w:ascii="Times New Roman" w:hAnsi="Times New Roman"/>
        </w:rPr>
        <w:t xml:space="preserve"> the</w:t>
      </w:r>
      <w:r w:rsidR="00E07FB1" w:rsidRPr="00B925AC">
        <w:rPr>
          <w:rFonts w:ascii="Times New Roman" w:hAnsi="Times New Roman"/>
        </w:rPr>
        <w:t xml:space="preserve"> rights of national minorities (as opposed to whichever party happens to be a minority in the Senate).</w:t>
      </w:r>
      <w:r w:rsidR="0084652D" w:rsidRPr="00B925AC">
        <w:rPr>
          <w:rStyle w:val="FootnoteReference"/>
          <w:rFonts w:ascii="Times New Roman" w:hAnsi="Times New Roman"/>
        </w:rPr>
        <w:footnoteReference w:id="281"/>
      </w:r>
      <w:r w:rsidR="00CF0096" w:rsidRPr="00B925AC">
        <w:rPr>
          <w:rFonts w:ascii="Times New Roman" w:hAnsi="Times New Roman"/>
        </w:rPr>
        <w:t xml:space="preserve"> At the same time, by </w:t>
      </w:r>
      <w:r w:rsidR="009A2A20" w:rsidRPr="00B925AC">
        <w:rPr>
          <w:rFonts w:ascii="Times New Roman" w:hAnsi="Times New Roman"/>
        </w:rPr>
        <w:t>giving the minority a tool that it can use for any reason or no reason at all, it discourages the kind</w:t>
      </w:r>
      <w:r w:rsidR="00370C9D" w:rsidRPr="00B925AC">
        <w:rPr>
          <w:rFonts w:ascii="Times New Roman" w:hAnsi="Times New Roman"/>
        </w:rPr>
        <w:t xml:space="preserve"> of deliberation that could produce broadly acceptable solutions.</w:t>
      </w:r>
      <w:r w:rsidR="00352159" w:rsidRPr="00B925AC">
        <w:rPr>
          <w:rStyle w:val="FootnoteReference"/>
          <w:rFonts w:ascii="Times New Roman" w:hAnsi="Times New Roman"/>
        </w:rPr>
        <w:footnoteReference w:id="282"/>
      </w:r>
    </w:p>
    <w:p w14:paraId="63ED32C5" w14:textId="44B98943" w:rsidR="00B036B9" w:rsidRPr="00B925AC" w:rsidRDefault="00DC7DD5" w:rsidP="00CD5635">
      <w:pPr>
        <w:rPr>
          <w:rFonts w:ascii="Times New Roman" w:hAnsi="Times New Roman"/>
        </w:rPr>
      </w:pPr>
      <w:r w:rsidRPr="00B925AC">
        <w:rPr>
          <w:rFonts w:ascii="Times New Roman" w:hAnsi="Times New Roman"/>
        </w:rPr>
        <w:t xml:space="preserve">As I argue above, </w:t>
      </w:r>
      <w:r w:rsidR="001C7CD7" w:rsidRPr="00B925AC">
        <w:rPr>
          <w:rFonts w:ascii="Times New Roman" w:hAnsi="Times New Roman"/>
        </w:rPr>
        <w:t xml:space="preserve">one of the benefits of the </w:t>
      </w:r>
      <w:proofErr w:type="spellStart"/>
      <w:r w:rsidR="006974EC" w:rsidRPr="00B925AC">
        <w:rPr>
          <w:rFonts w:ascii="Times New Roman" w:hAnsi="Times New Roman"/>
        </w:rPr>
        <w:t>countermajoritarian</w:t>
      </w:r>
      <w:proofErr w:type="spellEnd"/>
      <w:r w:rsidR="001C7CD7" w:rsidRPr="00B925AC">
        <w:rPr>
          <w:rFonts w:ascii="Times New Roman" w:hAnsi="Times New Roman"/>
        </w:rPr>
        <w:t xml:space="preserve"> tension is that it pushes politicians to </w:t>
      </w:r>
      <w:r w:rsidR="0027177F" w:rsidRPr="00B925AC">
        <w:rPr>
          <w:rFonts w:ascii="Times New Roman" w:hAnsi="Times New Roman"/>
        </w:rPr>
        <w:t xml:space="preserve">bridge over the boundaries that divide Americans. </w:t>
      </w:r>
      <w:r w:rsidR="00E455E0" w:rsidRPr="00B925AC">
        <w:rPr>
          <w:rFonts w:ascii="Times New Roman" w:hAnsi="Times New Roman"/>
        </w:rPr>
        <w:t xml:space="preserve">The Constitution </w:t>
      </w:r>
      <w:r w:rsidR="00A21707" w:rsidRPr="00B925AC">
        <w:rPr>
          <w:rFonts w:ascii="Times New Roman" w:hAnsi="Times New Roman"/>
        </w:rPr>
        <w:t xml:space="preserve">provides </w:t>
      </w:r>
      <w:r w:rsidR="00CC797A" w:rsidRPr="00B925AC">
        <w:rPr>
          <w:rFonts w:ascii="Times New Roman" w:hAnsi="Times New Roman"/>
        </w:rPr>
        <w:t>tools to achieve this goal</w:t>
      </w:r>
      <w:r w:rsidR="00A21707" w:rsidRPr="00B925AC">
        <w:rPr>
          <w:rFonts w:ascii="Times New Roman" w:hAnsi="Times New Roman"/>
        </w:rPr>
        <w:t xml:space="preserve">. </w:t>
      </w:r>
      <w:r w:rsidR="008935AD" w:rsidRPr="00B925AC">
        <w:rPr>
          <w:rFonts w:ascii="Times New Roman" w:hAnsi="Times New Roman"/>
        </w:rPr>
        <w:t xml:space="preserve">In particular, </w:t>
      </w:r>
      <w:r w:rsidR="002779A6" w:rsidRPr="00B925AC">
        <w:rPr>
          <w:rFonts w:ascii="Times New Roman" w:hAnsi="Times New Roman"/>
        </w:rPr>
        <w:t xml:space="preserve">the equal protection and due process clauses can be used to </w:t>
      </w:r>
      <w:r w:rsidR="00F84B2F" w:rsidRPr="00B925AC">
        <w:rPr>
          <w:rFonts w:ascii="Times New Roman" w:hAnsi="Times New Roman"/>
        </w:rPr>
        <w:t xml:space="preserve">restructure political debates such that </w:t>
      </w:r>
      <w:r w:rsidR="0056002E" w:rsidRPr="00B925AC">
        <w:rPr>
          <w:rFonts w:ascii="Times New Roman" w:hAnsi="Times New Roman"/>
        </w:rPr>
        <w:t>bigoted views of particular groups do not drive public policy.</w:t>
      </w:r>
      <w:r w:rsidR="0059597B" w:rsidRPr="00B925AC">
        <w:rPr>
          <w:rFonts w:ascii="Times New Roman" w:hAnsi="Times New Roman"/>
        </w:rPr>
        <w:t xml:space="preserve"> </w:t>
      </w:r>
      <w:r w:rsidR="00526348" w:rsidRPr="00B925AC">
        <w:rPr>
          <w:rFonts w:ascii="Times New Roman" w:hAnsi="Times New Roman"/>
        </w:rPr>
        <w:t xml:space="preserve">If congressional rules push MCs to </w:t>
      </w:r>
      <w:r w:rsidR="00553C0F" w:rsidRPr="00B925AC">
        <w:rPr>
          <w:rFonts w:ascii="Times New Roman" w:hAnsi="Times New Roman"/>
        </w:rPr>
        <w:t>defend coalition partners in constitutional terms, they can encourage a more inclusive politics.</w:t>
      </w:r>
    </w:p>
    <w:p w14:paraId="22E6EE56" w14:textId="3BCA1269" w:rsidR="00E00CA0" w:rsidRPr="00B925AC" w:rsidRDefault="00C37569" w:rsidP="00E00CA0">
      <w:pPr>
        <w:rPr>
          <w:rFonts w:ascii="Times New Roman" w:hAnsi="Times New Roman"/>
        </w:rPr>
      </w:pPr>
      <w:r w:rsidRPr="00B925AC">
        <w:rPr>
          <w:rFonts w:ascii="Times New Roman" w:hAnsi="Times New Roman"/>
        </w:rPr>
        <w:t xml:space="preserve">One way to achieve this goal is to </w:t>
      </w:r>
      <w:r w:rsidR="00680616" w:rsidRPr="00B925AC">
        <w:rPr>
          <w:rFonts w:ascii="Times New Roman" w:hAnsi="Times New Roman"/>
        </w:rPr>
        <w:t>eliminate the filibuster</w:t>
      </w:r>
      <w:r w:rsidR="009B19DC" w:rsidRPr="00B925AC">
        <w:rPr>
          <w:rFonts w:ascii="Times New Roman" w:hAnsi="Times New Roman"/>
        </w:rPr>
        <w:t xml:space="preserve"> and </w:t>
      </w:r>
      <w:r w:rsidR="00C76206" w:rsidRPr="00B925AC">
        <w:rPr>
          <w:rFonts w:ascii="Times New Roman" w:hAnsi="Times New Roman"/>
        </w:rPr>
        <w:t>tweak</w:t>
      </w:r>
      <w:r w:rsidR="008F71CE" w:rsidRPr="00B925AC">
        <w:rPr>
          <w:rFonts w:ascii="Times New Roman" w:hAnsi="Times New Roman"/>
        </w:rPr>
        <w:t xml:space="preserve"> Senate rules governing constitutional points of order</w:t>
      </w:r>
      <w:r w:rsidR="00680616" w:rsidRPr="00B925AC">
        <w:rPr>
          <w:rFonts w:ascii="Times New Roman" w:hAnsi="Times New Roman"/>
        </w:rPr>
        <w:t xml:space="preserve">. Under current rules, </w:t>
      </w:r>
      <w:r w:rsidR="008179F2" w:rsidRPr="00B925AC">
        <w:rPr>
          <w:rFonts w:ascii="Times New Roman" w:hAnsi="Times New Roman"/>
        </w:rPr>
        <w:t xml:space="preserve">senators who raise a constitutional point of order can trigger a </w:t>
      </w:r>
      <w:r w:rsidR="00402BDE" w:rsidRPr="00B925AC">
        <w:rPr>
          <w:rFonts w:ascii="Times New Roman" w:hAnsi="Times New Roman"/>
        </w:rPr>
        <w:t>discussion over the constitutional merits of whatever proposal is under consideration.</w:t>
      </w:r>
      <w:r w:rsidR="0053208C" w:rsidRPr="00B925AC">
        <w:rPr>
          <w:rStyle w:val="FootnoteReference"/>
          <w:rFonts w:ascii="Times New Roman" w:hAnsi="Times New Roman"/>
        </w:rPr>
        <w:footnoteReference w:id="283"/>
      </w:r>
      <w:r w:rsidR="00402BDE" w:rsidRPr="00B925AC">
        <w:rPr>
          <w:rFonts w:ascii="Times New Roman" w:hAnsi="Times New Roman"/>
        </w:rPr>
        <w:t xml:space="preserve"> </w:t>
      </w:r>
      <w:r w:rsidR="004210D3" w:rsidRPr="00B925AC">
        <w:rPr>
          <w:rFonts w:ascii="Times New Roman" w:hAnsi="Times New Roman"/>
        </w:rPr>
        <w:t xml:space="preserve">As Mark </w:t>
      </w:r>
      <w:proofErr w:type="spellStart"/>
      <w:r w:rsidR="004210D3" w:rsidRPr="00B925AC">
        <w:rPr>
          <w:rFonts w:ascii="Times New Roman" w:hAnsi="Times New Roman"/>
        </w:rPr>
        <w:t>Tushnet</w:t>
      </w:r>
      <w:proofErr w:type="spellEnd"/>
      <w:r w:rsidR="004210D3" w:rsidRPr="00B925AC">
        <w:rPr>
          <w:rFonts w:ascii="Times New Roman" w:hAnsi="Times New Roman"/>
        </w:rPr>
        <w:t xml:space="preserve"> has shown, this kind of thing happens rarely, but when it </w:t>
      </w:r>
      <w:r w:rsidR="00415A35" w:rsidRPr="00B925AC">
        <w:rPr>
          <w:rFonts w:ascii="Times New Roman" w:hAnsi="Times New Roman"/>
        </w:rPr>
        <w:t>happens,</w:t>
      </w:r>
      <w:r w:rsidR="004210D3" w:rsidRPr="00B925AC">
        <w:rPr>
          <w:rFonts w:ascii="Times New Roman" w:hAnsi="Times New Roman"/>
        </w:rPr>
        <w:t xml:space="preserve"> the debate does tend to look </w:t>
      </w:r>
      <w:r w:rsidR="004210D3" w:rsidRPr="00B925AC">
        <w:rPr>
          <w:rFonts w:ascii="Times New Roman" w:hAnsi="Times New Roman"/>
        </w:rPr>
        <w:lastRenderedPageBreak/>
        <w:t>different than an ordinary policy debate.</w:t>
      </w:r>
      <w:r w:rsidR="000D29A0" w:rsidRPr="00B925AC">
        <w:rPr>
          <w:rStyle w:val="FootnoteReference"/>
          <w:rFonts w:ascii="Times New Roman" w:hAnsi="Times New Roman"/>
        </w:rPr>
        <w:footnoteReference w:id="284"/>
      </w:r>
      <w:r w:rsidR="00E00CA0" w:rsidRPr="00B925AC">
        <w:rPr>
          <w:rFonts w:ascii="Times New Roman" w:hAnsi="Times New Roman"/>
        </w:rPr>
        <w:t xml:space="preserve"> To make this kind of deliberation more common and more useful, the Senate should abolish the filibuster</w:t>
      </w:r>
      <w:r w:rsidR="00945867" w:rsidRPr="00B925AC">
        <w:rPr>
          <w:rStyle w:val="FootnoteReference"/>
          <w:rFonts w:ascii="Times New Roman" w:hAnsi="Times New Roman"/>
        </w:rPr>
        <w:footnoteReference w:id="285"/>
      </w:r>
      <w:r w:rsidR="00457C7F" w:rsidRPr="00B925AC">
        <w:rPr>
          <w:rFonts w:ascii="Times New Roman" w:hAnsi="Times New Roman"/>
        </w:rPr>
        <w:t xml:space="preserve"> and require the presiding officer</w:t>
      </w:r>
      <w:r w:rsidR="00B95CAC" w:rsidRPr="00B925AC">
        <w:rPr>
          <w:rFonts w:ascii="Times New Roman" w:hAnsi="Times New Roman"/>
        </w:rPr>
        <w:t xml:space="preserve"> to rule on constitutional points of order in the first instance, subject to a majority vote to overturn the call of the chair.</w:t>
      </w:r>
      <w:r w:rsidR="00FD0A4B" w:rsidRPr="00B925AC">
        <w:rPr>
          <w:rFonts w:ascii="Times New Roman" w:hAnsi="Times New Roman"/>
        </w:rPr>
        <w:t xml:space="preserve"> </w:t>
      </w:r>
    </w:p>
    <w:p w14:paraId="611B4E46" w14:textId="2FBB662B" w:rsidR="00B95CAC" w:rsidRPr="00B925AC" w:rsidRDefault="00945867" w:rsidP="00E00CA0">
      <w:pPr>
        <w:rPr>
          <w:rFonts w:ascii="Times New Roman" w:hAnsi="Times New Roman"/>
        </w:rPr>
      </w:pPr>
      <w:r w:rsidRPr="00B925AC">
        <w:rPr>
          <w:rFonts w:ascii="Times New Roman" w:hAnsi="Times New Roman"/>
        </w:rPr>
        <w:t>With this rule change</w:t>
      </w:r>
      <w:r w:rsidR="008C0FB1" w:rsidRPr="00B925AC">
        <w:rPr>
          <w:rFonts w:ascii="Times New Roman" w:hAnsi="Times New Roman"/>
        </w:rPr>
        <w:t xml:space="preserve">, Senate minorities will lose the ability to obstruct for obstruction’s sake. But they will </w:t>
      </w:r>
      <w:r w:rsidR="006C6AB2" w:rsidRPr="00B925AC">
        <w:rPr>
          <w:rFonts w:ascii="Times New Roman" w:hAnsi="Times New Roman"/>
        </w:rPr>
        <w:t xml:space="preserve">gain a subtle but still helpful tool for raising concerns about pending legislation. </w:t>
      </w:r>
      <w:r w:rsidR="00031178" w:rsidRPr="00B925AC">
        <w:rPr>
          <w:rFonts w:ascii="Times New Roman" w:hAnsi="Times New Roman"/>
        </w:rPr>
        <w:t xml:space="preserve">They will have the opportunity to </w:t>
      </w:r>
      <w:r w:rsidR="006A10B1" w:rsidRPr="00B925AC">
        <w:rPr>
          <w:rFonts w:ascii="Times New Roman" w:hAnsi="Times New Roman"/>
        </w:rPr>
        <w:t xml:space="preserve">make the case that a piece of legislation transgresses some general principle held by a majority of the body. </w:t>
      </w:r>
      <w:r w:rsidR="00C8575F" w:rsidRPr="00B925AC">
        <w:rPr>
          <w:rFonts w:ascii="Times New Roman" w:hAnsi="Times New Roman"/>
        </w:rPr>
        <w:t xml:space="preserve">If </w:t>
      </w:r>
      <w:r w:rsidR="008A2664" w:rsidRPr="00B925AC">
        <w:rPr>
          <w:rFonts w:ascii="Times New Roman" w:hAnsi="Times New Roman"/>
        </w:rPr>
        <w:t xml:space="preserve">a majority of their colleagues agree, they can block or force changes in otherwise popular legislation. If the majority disagrees, then </w:t>
      </w:r>
      <w:r w:rsidR="004444B5" w:rsidRPr="00B925AC">
        <w:rPr>
          <w:rFonts w:ascii="Times New Roman" w:hAnsi="Times New Roman"/>
        </w:rPr>
        <w:t>the majority will set a precedent that the constitutional concern</w:t>
      </w:r>
      <w:r w:rsidR="00CD7158" w:rsidRPr="00B925AC">
        <w:rPr>
          <w:rFonts w:ascii="Times New Roman" w:hAnsi="Times New Roman"/>
        </w:rPr>
        <w:t xml:space="preserve"> raised is not valid. This precedent can then be the basis of future rulings by the presiding officer/parliamentarian, giving majorities a disincentive to ignore </w:t>
      </w:r>
      <w:r w:rsidR="00780460" w:rsidRPr="00B925AC">
        <w:rPr>
          <w:rFonts w:ascii="Times New Roman" w:hAnsi="Times New Roman"/>
        </w:rPr>
        <w:t>constitutional principles in the interests of moving their agenda.</w:t>
      </w:r>
    </w:p>
    <w:p w14:paraId="3572E543" w14:textId="77777777" w:rsidR="00102387" w:rsidRPr="00B925AC" w:rsidRDefault="00814D4E" w:rsidP="00E00CA0">
      <w:pPr>
        <w:rPr>
          <w:rFonts w:ascii="Times New Roman" w:hAnsi="Times New Roman"/>
        </w:rPr>
      </w:pPr>
      <w:r w:rsidRPr="00B925AC">
        <w:rPr>
          <w:rFonts w:ascii="Times New Roman" w:hAnsi="Times New Roman"/>
        </w:rPr>
        <w:t xml:space="preserve">How exactly senators would operate under such a rule change is unclear. </w:t>
      </w:r>
      <w:r w:rsidR="00D43282" w:rsidRPr="00B925AC">
        <w:rPr>
          <w:rFonts w:ascii="Times New Roman" w:hAnsi="Times New Roman"/>
        </w:rPr>
        <w:t xml:space="preserve">However, a set of positive changes seems at least plausible. </w:t>
      </w:r>
      <w:r w:rsidR="00CD762D" w:rsidRPr="00B925AC">
        <w:rPr>
          <w:rFonts w:ascii="Times New Roman" w:hAnsi="Times New Roman"/>
        </w:rPr>
        <w:t xml:space="preserve">First, partisan minorities should spend more time thinking about constitutional problems with the majority’s handiwork, rather than </w:t>
      </w:r>
      <w:r w:rsidR="00DC3268" w:rsidRPr="00B925AC">
        <w:rPr>
          <w:rFonts w:ascii="Times New Roman" w:hAnsi="Times New Roman"/>
        </w:rPr>
        <w:t xml:space="preserve">simply obstructing whenever it is politically feasible. </w:t>
      </w:r>
      <w:r w:rsidR="00DF75D1" w:rsidRPr="00B925AC">
        <w:rPr>
          <w:rFonts w:ascii="Times New Roman" w:hAnsi="Times New Roman"/>
        </w:rPr>
        <w:t xml:space="preserve">Second, partisan minorities should work harder to explain their objections in terms of principles designed to secure majority support. </w:t>
      </w:r>
      <w:r w:rsidR="001146D0" w:rsidRPr="00B925AC">
        <w:rPr>
          <w:rFonts w:ascii="Times New Roman" w:hAnsi="Times New Roman"/>
        </w:rPr>
        <w:t xml:space="preserve">Since they would need only a majority to sustain their objections, they will frequently have a real chance at prevailing if they can be thoughtful and ecumenical. </w:t>
      </w:r>
    </w:p>
    <w:p w14:paraId="2D9022D1" w14:textId="7035A9C1" w:rsidR="00814D4E" w:rsidRPr="00B925AC" w:rsidRDefault="001D3798" w:rsidP="00E00CA0">
      <w:pPr>
        <w:rPr>
          <w:rFonts w:ascii="Times New Roman" w:hAnsi="Times New Roman"/>
        </w:rPr>
      </w:pPr>
      <w:r w:rsidRPr="00B925AC">
        <w:rPr>
          <w:rFonts w:ascii="Times New Roman" w:hAnsi="Times New Roman"/>
        </w:rPr>
        <w:t xml:space="preserve">Finally, the rule change may encourage the development of </w:t>
      </w:r>
      <w:r w:rsidR="00F2372A" w:rsidRPr="00B925AC">
        <w:rPr>
          <w:rFonts w:ascii="Times New Roman" w:hAnsi="Times New Roman"/>
        </w:rPr>
        <w:t>a uniquely c</w:t>
      </w:r>
      <w:r w:rsidRPr="00B925AC">
        <w:rPr>
          <w:rFonts w:ascii="Times New Roman" w:hAnsi="Times New Roman"/>
        </w:rPr>
        <w:t xml:space="preserve">ongressional </w:t>
      </w:r>
      <w:r w:rsidR="00F2372A" w:rsidRPr="00B925AC">
        <w:rPr>
          <w:rFonts w:ascii="Times New Roman" w:hAnsi="Times New Roman"/>
        </w:rPr>
        <w:t>c</w:t>
      </w:r>
      <w:r w:rsidRPr="00B925AC">
        <w:rPr>
          <w:rFonts w:ascii="Times New Roman" w:hAnsi="Times New Roman"/>
        </w:rPr>
        <w:t>onstitution.</w:t>
      </w:r>
      <w:r w:rsidR="00F2372A" w:rsidRPr="00B925AC">
        <w:rPr>
          <w:rStyle w:val="FootnoteReference"/>
          <w:rFonts w:ascii="Times New Roman" w:hAnsi="Times New Roman"/>
        </w:rPr>
        <w:footnoteReference w:id="286"/>
      </w:r>
      <w:r w:rsidRPr="00B925AC">
        <w:rPr>
          <w:rFonts w:ascii="Times New Roman" w:hAnsi="Times New Roman"/>
        </w:rPr>
        <w:t xml:space="preserve"> By </w:t>
      </w:r>
      <w:r w:rsidR="006A0EAE" w:rsidRPr="00B925AC">
        <w:rPr>
          <w:rFonts w:ascii="Times New Roman" w:hAnsi="Times New Roman"/>
        </w:rPr>
        <w:t xml:space="preserve">encouraging senators to produce well-articulated constitutional principles that can be debated and voted on by their colleagues, the rule change </w:t>
      </w:r>
      <w:r w:rsidR="00E10EB7" w:rsidRPr="00B925AC">
        <w:rPr>
          <w:rFonts w:ascii="Times New Roman" w:hAnsi="Times New Roman"/>
        </w:rPr>
        <w:t>may</w:t>
      </w:r>
      <w:r w:rsidR="00102387" w:rsidRPr="00B925AC">
        <w:rPr>
          <w:rFonts w:ascii="Times New Roman" w:hAnsi="Times New Roman"/>
        </w:rPr>
        <w:t xml:space="preserve"> facilitate the development of such principles in an environment not shaped by the particular institutional advantages and constraints of the federal judiciary. </w:t>
      </w:r>
      <w:r w:rsidR="00E3488F" w:rsidRPr="00B925AC">
        <w:rPr>
          <w:rFonts w:ascii="Times New Roman" w:hAnsi="Times New Roman"/>
        </w:rPr>
        <w:t>While judges have not, s</w:t>
      </w:r>
      <w:r w:rsidR="000D61A6" w:rsidRPr="00B925AC">
        <w:rPr>
          <w:rFonts w:ascii="Times New Roman" w:hAnsi="Times New Roman"/>
        </w:rPr>
        <w:t xml:space="preserve">enators may feel empowered to establish positive </w:t>
      </w:r>
      <w:r w:rsidR="000D61A6" w:rsidRPr="00B925AC">
        <w:rPr>
          <w:rFonts w:ascii="Times New Roman" w:hAnsi="Times New Roman"/>
        </w:rPr>
        <w:lastRenderedPageBreak/>
        <w:t>as well as negative rights,</w:t>
      </w:r>
      <w:r w:rsidR="000D61A6" w:rsidRPr="00B925AC">
        <w:rPr>
          <w:rStyle w:val="FootnoteReference"/>
          <w:rFonts w:ascii="Times New Roman" w:hAnsi="Times New Roman"/>
        </w:rPr>
        <w:footnoteReference w:id="287"/>
      </w:r>
      <w:r w:rsidR="000D61A6" w:rsidRPr="00B925AC">
        <w:rPr>
          <w:rFonts w:ascii="Times New Roman" w:hAnsi="Times New Roman"/>
        </w:rPr>
        <w:t xml:space="preserve"> to </w:t>
      </w:r>
      <w:r w:rsidR="009004AC" w:rsidRPr="00B925AC">
        <w:rPr>
          <w:rFonts w:ascii="Times New Roman" w:hAnsi="Times New Roman"/>
        </w:rPr>
        <w:t>question legislation passed for impermissible reasons,</w:t>
      </w:r>
      <w:r w:rsidR="009004AC" w:rsidRPr="00B925AC">
        <w:rPr>
          <w:rStyle w:val="FootnoteReference"/>
          <w:rFonts w:ascii="Times New Roman" w:hAnsi="Times New Roman"/>
        </w:rPr>
        <w:footnoteReference w:id="288"/>
      </w:r>
      <w:r w:rsidR="004E3A9C" w:rsidRPr="00B925AC">
        <w:rPr>
          <w:rFonts w:ascii="Times New Roman" w:hAnsi="Times New Roman"/>
        </w:rPr>
        <w:t xml:space="preserve"> and </w:t>
      </w:r>
      <w:r w:rsidR="00F044D1" w:rsidRPr="00B925AC">
        <w:rPr>
          <w:rFonts w:ascii="Times New Roman" w:hAnsi="Times New Roman"/>
        </w:rPr>
        <w:t xml:space="preserve">more generally </w:t>
      </w:r>
      <w:r w:rsidR="004E3A9C" w:rsidRPr="00B925AC">
        <w:rPr>
          <w:rFonts w:ascii="Times New Roman" w:hAnsi="Times New Roman"/>
        </w:rPr>
        <w:t>to protect rights that courts</w:t>
      </w:r>
      <w:r w:rsidR="003546A6" w:rsidRPr="00B925AC">
        <w:rPr>
          <w:rFonts w:ascii="Times New Roman" w:hAnsi="Times New Roman"/>
        </w:rPr>
        <w:t xml:space="preserve"> are unable or unwilling to protect</w:t>
      </w:r>
      <w:r w:rsidR="004E3A9C" w:rsidRPr="00B925AC">
        <w:rPr>
          <w:rFonts w:ascii="Times New Roman" w:hAnsi="Times New Roman"/>
        </w:rPr>
        <w:t>.</w:t>
      </w:r>
      <w:r w:rsidR="004E3A9C" w:rsidRPr="00B925AC">
        <w:rPr>
          <w:rStyle w:val="FootnoteReference"/>
          <w:rFonts w:ascii="Times New Roman" w:hAnsi="Times New Roman"/>
        </w:rPr>
        <w:footnoteReference w:id="289"/>
      </w:r>
    </w:p>
    <w:p w14:paraId="501E9F56" w14:textId="64622D05" w:rsidR="005E33D7" w:rsidRPr="00B925AC" w:rsidRDefault="005E33D7" w:rsidP="00CD5635">
      <w:pPr>
        <w:rPr>
          <w:rFonts w:ascii="Times New Roman" w:hAnsi="Times New Roman"/>
        </w:rPr>
      </w:pPr>
      <w:r w:rsidRPr="00B925AC">
        <w:rPr>
          <w:rFonts w:ascii="Times New Roman" w:hAnsi="Times New Roman"/>
        </w:rPr>
        <w:t>Two objections b</w:t>
      </w:r>
      <w:r w:rsidR="009030FC" w:rsidRPr="00B925AC">
        <w:rPr>
          <w:rFonts w:ascii="Times New Roman" w:hAnsi="Times New Roman"/>
        </w:rPr>
        <w:t>ear</w:t>
      </w:r>
      <w:r w:rsidRPr="00B925AC">
        <w:rPr>
          <w:rFonts w:ascii="Times New Roman" w:hAnsi="Times New Roman"/>
        </w:rPr>
        <w:t xml:space="preserve"> consideration. </w:t>
      </w:r>
      <w:r w:rsidR="007E0844" w:rsidRPr="00B925AC">
        <w:rPr>
          <w:rFonts w:ascii="Times New Roman" w:hAnsi="Times New Roman"/>
        </w:rPr>
        <w:t xml:space="preserve">First, </w:t>
      </w:r>
      <w:r w:rsidR="00CF6A91" w:rsidRPr="00B925AC">
        <w:rPr>
          <w:rFonts w:ascii="Times New Roman" w:hAnsi="Times New Roman"/>
        </w:rPr>
        <w:t xml:space="preserve">it is possible </w:t>
      </w:r>
      <w:r w:rsidR="003579F3" w:rsidRPr="00B925AC">
        <w:rPr>
          <w:rFonts w:ascii="Times New Roman" w:hAnsi="Times New Roman"/>
        </w:rPr>
        <w:t xml:space="preserve">that </w:t>
      </w:r>
      <w:r w:rsidR="00B33A51" w:rsidRPr="00B925AC">
        <w:rPr>
          <w:rFonts w:ascii="Times New Roman" w:hAnsi="Times New Roman"/>
        </w:rPr>
        <w:t>senators will simply translate every policy objection into a constitutional claim</w:t>
      </w:r>
      <w:r w:rsidR="00C900D6" w:rsidRPr="00B925AC">
        <w:rPr>
          <w:rFonts w:ascii="Times New Roman" w:hAnsi="Times New Roman"/>
        </w:rPr>
        <w:t xml:space="preserve">, eliminating any benefit to legislative effectiveness that would come from nixing the filibuster. </w:t>
      </w:r>
      <w:r w:rsidR="003F27F4" w:rsidRPr="00B925AC">
        <w:rPr>
          <w:rFonts w:ascii="Times New Roman" w:hAnsi="Times New Roman"/>
        </w:rPr>
        <w:t xml:space="preserve">I am skeptical. However, in the </w:t>
      </w:r>
      <w:r w:rsidR="000B6344" w:rsidRPr="00B925AC">
        <w:rPr>
          <w:rFonts w:ascii="Times New Roman" w:hAnsi="Times New Roman"/>
        </w:rPr>
        <w:t>worst-case</w:t>
      </w:r>
      <w:r w:rsidR="003F27F4" w:rsidRPr="00B925AC">
        <w:rPr>
          <w:rFonts w:ascii="Times New Roman" w:hAnsi="Times New Roman"/>
        </w:rPr>
        <w:t xml:space="preserve"> scenario we would still be left with a Senate no more sclerotic than the one we have today.</w:t>
      </w:r>
    </w:p>
    <w:p w14:paraId="0E040D49" w14:textId="52354AC0" w:rsidR="00644470" w:rsidRPr="00B925AC" w:rsidRDefault="00644470" w:rsidP="00CD5635">
      <w:pPr>
        <w:rPr>
          <w:rFonts w:ascii="Times New Roman" w:hAnsi="Times New Roman"/>
        </w:rPr>
      </w:pPr>
      <w:r w:rsidRPr="00B925AC">
        <w:rPr>
          <w:rFonts w:ascii="Times New Roman" w:hAnsi="Times New Roman"/>
        </w:rPr>
        <w:t xml:space="preserve">More concerning, it is possible that by constitutionalizing </w:t>
      </w:r>
      <w:r w:rsidR="0057236E" w:rsidRPr="00B925AC">
        <w:rPr>
          <w:rFonts w:ascii="Times New Roman" w:hAnsi="Times New Roman"/>
        </w:rPr>
        <w:t xml:space="preserve">the process of legislative obstruction we will encourage senators to rely on the kinds of abstruse </w:t>
      </w:r>
      <w:r w:rsidR="001A53AD" w:rsidRPr="00B925AC">
        <w:rPr>
          <w:rFonts w:ascii="Times New Roman" w:hAnsi="Times New Roman"/>
        </w:rPr>
        <w:t xml:space="preserve">reasoning </w:t>
      </w:r>
      <w:r w:rsidR="000B6344" w:rsidRPr="00B925AC">
        <w:rPr>
          <w:rFonts w:ascii="Times New Roman" w:hAnsi="Times New Roman"/>
        </w:rPr>
        <w:t xml:space="preserve">characteristic of </w:t>
      </w:r>
      <w:r w:rsidR="001A53AD" w:rsidRPr="00B925AC">
        <w:rPr>
          <w:rFonts w:ascii="Times New Roman" w:hAnsi="Times New Roman"/>
        </w:rPr>
        <w:t>judicial decisions</w:t>
      </w:r>
      <w:r w:rsidR="00501790" w:rsidRPr="00B925AC">
        <w:rPr>
          <w:rFonts w:ascii="Times New Roman" w:hAnsi="Times New Roman"/>
        </w:rPr>
        <w:t xml:space="preserve">. At worst, the Senate will come to look like a junior varsity court, with politicians play-acting jurists and producing </w:t>
      </w:r>
      <w:r w:rsidR="00B27640" w:rsidRPr="00B925AC">
        <w:rPr>
          <w:rFonts w:ascii="Times New Roman" w:hAnsi="Times New Roman"/>
        </w:rPr>
        <w:t>arguments that are neither compelling to the public nor technically proficient.</w:t>
      </w:r>
    </w:p>
    <w:p w14:paraId="306E4EF3" w14:textId="58207B1D" w:rsidR="00017D0A" w:rsidRPr="00B925AC" w:rsidRDefault="00686468" w:rsidP="008D3485">
      <w:pPr>
        <w:rPr>
          <w:rFonts w:ascii="Times New Roman" w:hAnsi="Times New Roman"/>
        </w:rPr>
      </w:pPr>
      <w:r w:rsidRPr="00B925AC">
        <w:rPr>
          <w:rFonts w:ascii="Times New Roman" w:hAnsi="Times New Roman"/>
        </w:rPr>
        <w:t>It</w:t>
      </w:r>
      <w:r w:rsidR="003A46F6" w:rsidRPr="00B925AC">
        <w:rPr>
          <w:rFonts w:ascii="Times New Roman" w:hAnsi="Times New Roman"/>
        </w:rPr>
        <w:t>'</w:t>
      </w:r>
      <w:r w:rsidRPr="00B925AC">
        <w:rPr>
          <w:rFonts w:ascii="Times New Roman" w:hAnsi="Times New Roman"/>
        </w:rPr>
        <w:t xml:space="preserve">s a risk, and one worth taking seriously. </w:t>
      </w:r>
      <w:r w:rsidR="003A46F6" w:rsidRPr="00B925AC">
        <w:rPr>
          <w:rFonts w:ascii="Times New Roman" w:hAnsi="Times New Roman"/>
        </w:rPr>
        <w:t xml:space="preserve">But this is where coalitional constitutionalism </w:t>
      </w:r>
      <w:r w:rsidR="00E04257" w:rsidRPr="00B925AC">
        <w:rPr>
          <w:rFonts w:ascii="Times New Roman" w:hAnsi="Times New Roman"/>
        </w:rPr>
        <w:t xml:space="preserve">matters. </w:t>
      </w:r>
      <w:r w:rsidR="00C44824" w:rsidRPr="00B925AC">
        <w:rPr>
          <w:rFonts w:ascii="Times New Roman" w:hAnsi="Times New Roman"/>
        </w:rPr>
        <w:t xml:space="preserve">MCs already have a constitutional language that is responsive to their political needs. They face strong incentives to develop statements of principle, </w:t>
      </w:r>
      <w:r w:rsidR="00FA3C2B" w:rsidRPr="00B925AC">
        <w:rPr>
          <w:rFonts w:ascii="Times New Roman" w:hAnsi="Times New Roman"/>
        </w:rPr>
        <w:t>and they face strategic incentives to connect their principles to the U.S. Constitution.</w:t>
      </w:r>
      <w:r w:rsidR="00F319DB" w:rsidRPr="00B925AC">
        <w:rPr>
          <w:rFonts w:ascii="Times New Roman" w:hAnsi="Times New Roman"/>
        </w:rPr>
        <w:t xml:space="preserve"> </w:t>
      </w:r>
      <w:r w:rsidR="0004273C" w:rsidRPr="00B925AC">
        <w:rPr>
          <w:rFonts w:ascii="Times New Roman" w:hAnsi="Times New Roman"/>
        </w:rPr>
        <w:t>Currently, those incentives operate largely at the coalition level</w:t>
      </w:r>
      <w:r w:rsidR="00795053" w:rsidRPr="00B925AC">
        <w:rPr>
          <w:rFonts w:ascii="Times New Roman" w:hAnsi="Times New Roman"/>
        </w:rPr>
        <w:t>; politicians have become adept at building a small-c constitution specific to their political coalition and its values. But if they had a</w:t>
      </w:r>
      <w:r w:rsidR="00FD5A10" w:rsidRPr="00B925AC">
        <w:rPr>
          <w:rFonts w:ascii="Times New Roman" w:hAnsi="Times New Roman"/>
        </w:rPr>
        <w:t xml:space="preserve">n institutional mechanism to </w:t>
      </w:r>
      <w:r w:rsidR="00792885" w:rsidRPr="00B925AC">
        <w:rPr>
          <w:rFonts w:ascii="Times New Roman" w:hAnsi="Times New Roman"/>
        </w:rPr>
        <w:t xml:space="preserve">develop a broader set of principles – a truly </w:t>
      </w:r>
      <w:r w:rsidR="00792885" w:rsidRPr="00B925AC">
        <w:rPr>
          <w:rFonts w:ascii="Times New Roman" w:hAnsi="Times New Roman"/>
          <w:i/>
          <w:iCs/>
        </w:rPr>
        <w:t>congressional</w:t>
      </w:r>
      <w:r w:rsidR="00792885" w:rsidRPr="00B925AC">
        <w:rPr>
          <w:rFonts w:ascii="Times New Roman" w:hAnsi="Times New Roman"/>
        </w:rPr>
        <w:t xml:space="preserve"> constitutionalism – there is every reason to think they </w:t>
      </w:r>
      <w:r w:rsidR="00172E78" w:rsidRPr="00B925AC">
        <w:rPr>
          <w:rFonts w:ascii="Times New Roman" w:hAnsi="Times New Roman"/>
        </w:rPr>
        <w:t>could respond to the courts, not just echo them.</w:t>
      </w:r>
    </w:p>
    <w:p w14:paraId="73DBA718" w14:textId="303D8827" w:rsidR="00DE429E" w:rsidRPr="00B925AC" w:rsidRDefault="006E4965" w:rsidP="00163A87">
      <w:pPr>
        <w:pStyle w:val="Heading1"/>
        <w:rPr>
          <w:rFonts w:ascii="Times New Roman" w:hAnsi="Times New Roman"/>
        </w:rPr>
      </w:pPr>
      <w:r w:rsidRPr="00B925AC">
        <w:rPr>
          <w:rFonts w:ascii="Times New Roman" w:hAnsi="Times New Roman"/>
        </w:rPr>
        <w:lastRenderedPageBreak/>
        <w:t>Conclusion</w:t>
      </w:r>
    </w:p>
    <w:p w14:paraId="55DE6409" w14:textId="243466A0" w:rsidR="00DB4244" w:rsidRPr="00B925AC" w:rsidRDefault="00841F39" w:rsidP="00DB4244">
      <w:pPr>
        <w:rPr>
          <w:rFonts w:ascii="Times New Roman" w:hAnsi="Times New Roman"/>
        </w:rPr>
      </w:pPr>
      <w:r w:rsidRPr="00B925AC">
        <w:rPr>
          <w:rFonts w:ascii="Times New Roman" w:hAnsi="Times New Roman"/>
        </w:rPr>
        <w:t xml:space="preserve">In this paper I have argued that </w:t>
      </w:r>
      <w:r w:rsidR="00DF5C9F" w:rsidRPr="00B925AC">
        <w:rPr>
          <w:rFonts w:ascii="Times New Roman" w:hAnsi="Times New Roman"/>
        </w:rPr>
        <w:t xml:space="preserve">Congress should be seen as a forum of principle. </w:t>
      </w:r>
      <w:r w:rsidR="00DF4EC5" w:rsidRPr="00B925AC">
        <w:rPr>
          <w:rFonts w:ascii="Times New Roman" w:hAnsi="Times New Roman"/>
        </w:rPr>
        <w:t>MCs, like other politicians, have strong incentives to develop and follow statements of principle regarding which policies they will and which they will not support.</w:t>
      </w:r>
      <w:r w:rsidR="00C57FB4" w:rsidRPr="00B925AC">
        <w:rPr>
          <w:rFonts w:ascii="Times New Roman" w:hAnsi="Times New Roman"/>
        </w:rPr>
        <w:t xml:space="preserve"> Moreover, politicians following their incentives should adopt and follow such principles even when they secure minority rights against majority preferences.</w:t>
      </w:r>
      <w:r w:rsidR="00196A35" w:rsidRPr="00B925AC">
        <w:rPr>
          <w:rFonts w:ascii="Times New Roman" w:hAnsi="Times New Roman"/>
        </w:rPr>
        <w:t xml:space="preserve"> While these principles will not always include those that can be found in the U.S. Constitution, the Constitution is not irrelevant to this story. It provides a set of tools that </w:t>
      </w:r>
      <w:r w:rsidR="002D37E3" w:rsidRPr="00B925AC">
        <w:rPr>
          <w:rFonts w:ascii="Times New Roman" w:hAnsi="Times New Roman"/>
        </w:rPr>
        <w:t xml:space="preserve">help politicians mitigate one of their central political liabilities: their </w:t>
      </w:r>
      <w:r w:rsidR="00C0707E" w:rsidRPr="00B925AC">
        <w:rPr>
          <w:rFonts w:ascii="Times New Roman" w:hAnsi="Times New Roman"/>
        </w:rPr>
        <w:t>need</w:t>
      </w:r>
      <w:r w:rsidR="00B85082" w:rsidRPr="00B925AC">
        <w:rPr>
          <w:rFonts w:ascii="Times New Roman" w:hAnsi="Times New Roman"/>
        </w:rPr>
        <w:t xml:space="preserve"> </w:t>
      </w:r>
      <w:r w:rsidR="00C0707E" w:rsidRPr="00B925AC">
        <w:rPr>
          <w:rFonts w:ascii="Times New Roman" w:hAnsi="Times New Roman"/>
        </w:rPr>
        <w:t xml:space="preserve">to </w:t>
      </w:r>
      <w:r w:rsidR="00B85082" w:rsidRPr="00B925AC">
        <w:rPr>
          <w:rFonts w:ascii="Times New Roman" w:hAnsi="Times New Roman"/>
        </w:rPr>
        <w:t xml:space="preserve">simultaneously </w:t>
      </w:r>
      <w:r w:rsidR="00C0707E" w:rsidRPr="00B925AC">
        <w:rPr>
          <w:rFonts w:ascii="Times New Roman" w:hAnsi="Times New Roman"/>
        </w:rPr>
        <w:t xml:space="preserve">defend the minoritarian values of their political coalitions and </w:t>
      </w:r>
      <w:r w:rsidR="00EE7C40" w:rsidRPr="00B925AC">
        <w:rPr>
          <w:rFonts w:ascii="Times New Roman" w:hAnsi="Times New Roman"/>
        </w:rPr>
        <w:t>appeal to popular majorities.</w:t>
      </w:r>
      <w:r w:rsidR="00851ABF" w:rsidRPr="00B925AC">
        <w:rPr>
          <w:rFonts w:ascii="Times New Roman" w:hAnsi="Times New Roman"/>
        </w:rPr>
        <w:t xml:space="preserve"> MCs should frequently reach for the U.S. Constitution, even if they seek only </w:t>
      </w:r>
      <w:r w:rsidR="008B5DE2" w:rsidRPr="00B925AC">
        <w:rPr>
          <w:rFonts w:ascii="Times New Roman" w:hAnsi="Times New Roman"/>
        </w:rPr>
        <w:t>to build and maintain power.</w:t>
      </w:r>
      <w:r w:rsidR="005B54A6" w:rsidRPr="00B925AC">
        <w:rPr>
          <w:rFonts w:ascii="Times New Roman" w:hAnsi="Times New Roman"/>
        </w:rPr>
        <w:t xml:space="preserve"> This understanding of congressional constitutionalism has implications for how we think about politics, doctrine, and institutional design. </w:t>
      </w:r>
      <w:r w:rsidR="00D3753B" w:rsidRPr="00B925AC">
        <w:rPr>
          <w:rFonts w:ascii="Times New Roman" w:hAnsi="Times New Roman"/>
        </w:rPr>
        <w:t xml:space="preserve">More broadly, it offers a vision of constitutional democracy that is both constitutional and democratic. </w:t>
      </w:r>
    </w:p>
    <w:p w14:paraId="25885EB0" w14:textId="46016633" w:rsidR="00017D0A" w:rsidRPr="00B925AC" w:rsidRDefault="00017D0A" w:rsidP="00DE478D">
      <w:pPr>
        <w:rPr>
          <w:rFonts w:ascii="Times New Roman" w:hAnsi="Times New Roman"/>
        </w:rPr>
      </w:pPr>
    </w:p>
    <w:sectPr w:rsidR="00017D0A" w:rsidRPr="00B925AC" w:rsidSect="00963497">
      <w:headerReference w:type="even" r:id="rId8"/>
      <w:headerReference w:type="default" r:id="rId9"/>
      <w:pgSz w:w="12240" w:h="15840" w:code="1"/>
      <w:pgMar w:top="2160" w:right="2160" w:bottom="2160" w:left="2160" w:header="151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E08C" w14:textId="77777777" w:rsidR="006511DB" w:rsidRDefault="006511DB">
      <w:r>
        <w:separator/>
      </w:r>
    </w:p>
  </w:endnote>
  <w:endnote w:type="continuationSeparator" w:id="0">
    <w:p w14:paraId="07AAC7D0" w14:textId="77777777" w:rsidR="006511DB" w:rsidRDefault="006511DB">
      <w:r>
        <w:continuationSeparator/>
      </w:r>
    </w:p>
  </w:endnote>
  <w:endnote w:type="continuationNotice" w:id="1">
    <w:p w14:paraId="12753826" w14:textId="77777777" w:rsidR="006511DB" w:rsidRDefault="00651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CEB8" w14:textId="77777777" w:rsidR="006511DB" w:rsidRDefault="006511DB">
      <w:r>
        <w:separator/>
      </w:r>
    </w:p>
  </w:footnote>
  <w:footnote w:type="continuationSeparator" w:id="0">
    <w:p w14:paraId="26AB1CFD" w14:textId="77777777" w:rsidR="006511DB" w:rsidRDefault="006511DB">
      <w:r>
        <w:continuationSeparator/>
      </w:r>
    </w:p>
  </w:footnote>
  <w:footnote w:type="continuationNotice" w:id="1">
    <w:p w14:paraId="157B1980" w14:textId="77777777" w:rsidR="006511DB" w:rsidRDefault="006511DB"/>
  </w:footnote>
  <w:footnote w:id="2">
    <w:p w14:paraId="4D92E362" w14:textId="33A69D69" w:rsidR="00FA45DD" w:rsidRDefault="00FA45DD">
      <w:pPr>
        <w:pStyle w:val="FootnoteText"/>
      </w:pPr>
      <w:r>
        <w:rPr>
          <w:rStyle w:val="FootnoteReference"/>
        </w:rPr>
        <w:t>*</w:t>
      </w:r>
      <w:r>
        <w:t xml:space="preserve"> </w:t>
      </w:r>
      <w:r w:rsidR="00AF6BED">
        <w:t xml:space="preserve">Ph.D., candidate, Princeton University Department of Politics. B.A., J.D., Harvard University. </w:t>
      </w:r>
      <w:r w:rsidR="00A94C52">
        <w:t>M.A., Princeton University.</w:t>
      </w:r>
    </w:p>
  </w:footnote>
  <w:footnote w:id="3">
    <w:p w14:paraId="4EF5EE5C" w14:textId="0AEB282D" w:rsidR="001B64DF" w:rsidRPr="00023B9E" w:rsidRDefault="001B64DF">
      <w:pPr>
        <w:pStyle w:val="FootnoteText"/>
      </w:pPr>
      <w:r>
        <w:rPr>
          <w:rStyle w:val="FootnoteReference"/>
        </w:rPr>
        <w:footnoteRef/>
      </w:r>
      <w:r>
        <w:t xml:space="preserve"> </w:t>
      </w:r>
      <w:r w:rsidR="00023B9E">
        <w:t xml:space="preserve">Io Dodds, </w:t>
      </w:r>
      <w:r w:rsidR="004826F8" w:rsidRPr="00023B9E">
        <w:rPr>
          <w:i/>
          <w:iCs/>
        </w:rPr>
        <w:t>Trump’s Blitz of Anti-Trans Ads Probably Worked – But Not for the Reason You Might Think</w:t>
      </w:r>
      <w:r w:rsidR="00023B9E">
        <w:t xml:space="preserve">, </w:t>
      </w:r>
      <w:r w:rsidR="00023B9E" w:rsidRPr="00023B9E">
        <w:rPr>
          <w:smallCaps/>
        </w:rPr>
        <w:t>The Independent</w:t>
      </w:r>
      <w:r w:rsidR="00023B9E">
        <w:t>, Dec</w:t>
      </w:r>
      <w:r w:rsidR="007D5973">
        <w:t>.</w:t>
      </w:r>
      <w:r w:rsidR="00023B9E">
        <w:t xml:space="preserve"> 1, 2024.</w:t>
      </w:r>
    </w:p>
  </w:footnote>
  <w:footnote w:id="4">
    <w:p w14:paraId="1C208F3A" w14:textId="24FF1486" w:rsidR="003D42D7" w:rsidRDefault="003D42D7">
      <w:pPr>
        <w:pStyle w:val="FootnoteText"/>
      </w:pPr>
      <w:r>
        <w:rPr>
          <w:rStyle w:val="FootnoteReference"/>
        </w:rPr>
        <w:footnoteRef/>
      </w:r>
      <w:r>
        <w:t xml:space="preserve"> </w:t>
      </w:r>
      <w:r w:rsidR="00D67BBA">
        <w:t xml:space="preserve">Donald J. Trump for President 2024, </w:t>
      </w:r>
      <w:r w:rsidR="005A5868">
        <w:rPr>
          <w:i/>
          <w:iCs/>
        </w:rPr>
        <w:t xml:space="preserve">Unbelievable, </w:t>
      </w:r>
      <w:proofErr w:type="spellStart"/>
      <w:r w:rsidR="00843335" w:rsidRPr="00282FFB">
        <w:rPr>
          <w:smallCaps/>
        </w:rPr>
        <w:t>Youtube</w:t>
      </w:r>
      <w:proofErr w:type="spellEnd"/>
      <w:r w:rsidR="002A2C5F">
        <w:t xml:space="preserve"> (Oct. 3, 2024), </w:t>
      </w:r>
      <w:r w:rsidRPr="003D42D7">
        <w:t>https://www.youtube.com/watch?v=l3BXYjoAzq0</w:t>
      </w:r>
      <w:r w:rsidR="00C61CB8">
        <w:t>.</w:t>
      </w:r>
    </w:p>
  </w:footnote>
  <w:footnote w:id="5">
    <w:p w14:paraId="37D5FA04" w14:textId="6785D82A" w:rsidR="006E5F2A" w:rsidRDefault="006E5F2A">
      <w:pPr>
        <w:pStyle w:val="FootnoteText"/>
      </w:pPr>
      <w:r>
        <w:rPr>
          <w:rStyle w:val="FootnoteReference"/>
        </w:rPr>
        <w:footnoteRef/>
      </w:r>
      <w:r>
        <w:t xml:space="preserve"> </w:t>
      </w:r>
      <w:r w:rsidRPr="00C739C0">
        <w:rPr>
          <w:i/>
          <w:iCs/>
        </w:rPr>
        <w:t>See</w:t>
      </w:r>
      <w:r>
        <w:t xml:space="preserve"> Ezra Klein</w:t>
      </w:r>
      <w:r w:rsidR="00574AEB">
        <w:t xml:space="preserve">, </w:t>
      </w:r>
      <w:r w:rsidR="00574AEB" w:rsidRPr="00574AEB">
        <w:rPr>
          <w:i/>
          <w:iCs/>
        </w:rPr>
        <w:t>The End of the Obama Coalition</w:t>
      </w:r>
      <w:r w:rsidR="00574AEB">
        <w:t xml:space="preserve">, </w:t>
      </w:r>
      <w:r w:rsidR="00574AEB" w:rsidRPr="007D5973">
        <w:rPr>
          <w:smallCaps/>
        </w:rPr>
        <w:t>N.Y. Times</w:t>
      </w:r>
      <w:r w:rsidR="00574AEB">
        <w:t>, Nov. 13, 2024</w:t>
      </w:r>
      <w:r w:rsidR="009D03D2">
        <w:t>;</w:t>
      </w:r>
      <w:r>
        <w:t xml:space="preserve"> </w:t>
      </w:r>
      <w:r w:rsidR="00DB76BF">
        <w:t xml:space="preserve">Chris Hayes, </w:t>
      </w:r>
      <w:r w:rsidR="00DB76BF" w:rsidRPr="00DB76BF">
        <w:rPr>
          <w:i/>
          <w:iCs/>
        </w:rPr>
        <w:t>Where Do We Go From Here? With Anna Galland</w:t>
      </w:r>
      <w:r w:rsidR="00835560">
        <w:t>, MSNBC, Nov. 13, 2024</w:t>
      </w:r>
      <w:r w:rsidR="009D03D2">
        <w:t xml:space="preserve">; Michael Barone, </w:t>
      </w:r>
      <w:r w:rsidR="009D03D2">
        <w:rPr>
          <w:i/>
          <w:iCs/>
        </w:rPr>
        <w:t>The Groups and Barista Proletariat of the Democratic Party</w:t>
      </w:r>
      <w:r w:rsidR="00F74037">
        <w:t xml:space="preserve">, </w:t>
      </w:r>
      <w:r w:rsidR="00F74037" w:rsidRPr="00F74037">
        <w:rPr>
          <w:smallCaps/>
        </w:rPr>
        <w:t>Washington Examiner</w:t>
      </w:r>
      <w:r w:rsidR="00F74037">
        <w:t>, Nov. 27, 202</w:t>
      </w:r>
      <w:r w:rsidR="000727C3">
        <w:t xml:space="preserve">4; Matthew </w:t>
      </w:r>
      <w:r w:rsidR="000727C3" w:rsidRPr="000727C3">
        <w:t>Yglesias</w:t>
      </w:r>
      <w:r w:rsidR="000727C3">
        <w:t xml:space="preserve">, </w:t>
      </w:r>
      <w:r w:rsidR="000727C3" w:rsidRPr="000727C3">
        <w:rPr>
          <w:i/>
          <w:iCs/>
        </w:rPr>
        <w:t>From the Veal Pen to the Groups</w:t>
      </w:r>
      <w:r w:rsidR="000727C3">
        <w:t xml:space="preserve">, </w:t>
      </w:r>
      <w:r w:rsidR="000727C3" w:rsidRPr="00F45F8B">
        <w:rPr>
          <w:smallCaps/>
        </w:rPr>
        <w:t>Slow Boring</w:t>
      </w:r>
      <w:r w:rsidR="00F45F8B">
        <w:t>, Dec. 18, 2024.</w:t>
      </w:r>
      <w:r w:rsidR="000727C3">
        <w:rPr>
          <w:i/>
          <w:iCs/>
        </w:rPr>
        <w:t xml:space="preserve"> </w:t>
      </w:r>
      <w:r w:rsidR="006B2AB3" w:rsidRPr="005511CB">
        <w:t>Some</w:t>
      </w:r>
      <w:r w:rsidR="006B2AB3">
        <w:t xml:space="preserve"> commentators have suggested that this set of organizations should be known as the groups “with a capital G</w:t>
      </w:r>
      <w:r w:rsidR="00385494">
        <w:t>.</w:t>
      </w:r>
      <w:r w:rsidR="006B2AB3">
        <w:t>”</w:t>
      </w:r>
      <w:r w:rsidR="00385494">
        <w:t xml:space="preserve"> Klein, </w:t>
      </w:r>
      <w:r w:rsidR="00385494">
        <w:rPr>
          <w:i/>
          <w:iCs/>
        </w:rPr>
        <w:t>supra</w:t>
      </w:r>
      <w:r w:rsidR="00385494">
        <w:t>.</w:t>
      </w:r>
      <w:r w:rsidR="006B2AB3">
        <w:t xml:space="preserve"> I adopt that approach here. </w:t>
      </w:r>
    </w:p>
  </w:footnote>
  <w:footnote w:id="6">
    <w:p w14:paraId="4D13B84E" w14:textId="4EB79075" w:rsidR="003C4624" w:rsidRDefault="003C4624">
      <w:pPr>
        <w:pStyle w:val="FootnoteText"/>
      </w:pPr>
      <w:r>
        <w:rPr>
          <w:rStyle w:val="FootnoteReference"/>
        </w:rPr>
        <w:footnoteRef/>
      </w:r>
      <w:r w:rsidR="00164403">
        <w:t xml:space="preserve"> See</w:t>
      </w:r>
      <w:r w:rsidR="008F7979">
        <w:t xml:space="preserve"> sources cited </w:t>
      </w:r>
      <w:r w:rsidR="00CE485D" w:rsidRPr="00CA233F">
        <w:rPr>
          <w:i/>
          <w:iCs/>
        </w:rPr>
        <w:t>supra</w:t>
      </w:r>
      <w:r w:rsidR="00CE485D">
        <w:t xml:space="preserve">, </w:t>
      </w:r>
      <w:r w:rsidR="008F7979">
        <w:t xml:space="preserve">note </w:t>
      </w:r>
      <w:r w:rsidR="008F7979">
        <w:fldChar w:fldCharType="begin"/>
      </w:r>
      <w:r w:rsidR="008F7979">
        <w:instrText xml:space="preserve"> NOTEREF _Ref185841261 \h </w:instrText>
      </w:r>
      <w:r w:rsidR="008F7979">
        <w:fldChar w:fldCharType="separate"/>
      </w:r>
      <w:r w:rsidR="00454C1B">
        <w:t>3</w:t>
      </w:r>
      <w:r w:rsidR="008F7979">
        <w:fldChar w:fldCharType="end"/>
      </w:r>
      <w:r>
        <w:t>.</w:t>
      </w:r>
    </w:p>
  </w:footnote>
  <w:footnote w:id="7">
    <w:p w14:paraId="1DB2056B" w14:textId="2B06DD9E" w:rsidR="008168B0" w:rsidRDefault="008168B0" w:rsidP="006D1FC9">
      <w:pPr>
        <w:pStyle w:val="FootnoteText"/>
      </w:pPr>
      <w:r>
        <w:rPr>
          <w:rStyle w:val="FootnoteReference"/>
        </w:rPr>
        <w:footnoteRef/>
      </w:r>
      <w:r>
        <w:t xml:space="preserve"> See</w:t>
      </w:r>
      <w:r w:rsidR="006D1FC9" w:rsidRPr="006D1FC9">
        <w:t xml:space="preserve"> </w:t>
      </w:r>
      <w:r w:rsidR="006D1FC9">
        <w:t xml:space="preserve">Steven Shepard, </w:t>
      </w:r>
      <w:r w:rsidR="006D1FC9" w:rsidRPr="006D1FC9">
        <w:rPr>
          <w:i/>
          <w:iCs/>
        </w:rPr>
        <w:t>The Supreme Court Dramatically Changed Public Opinion on Abortion</w:t>
      </w:r>
      <w:r w:rsidR="00351B0C">
        <w:t>,</w:t>
      </w:r>
      <w:r w:rsidR="006D1FC9">
        <w:t xml:space="preserve"> </w:t>
      </w:r>
      <w:r w:rsidR="006D1FC9" w:rsidRPr="00351B0C">
        <w:rPr>
          <w:smallCaps/>
        </w:rPr>
        <w:t>Politico</w:t>
      </w:r>
      <w:r w:rsidR="006D1FC9">
        <w:t xml:space="preserve"> (</w:t>
      </w:r>
      <w:r w:rsidR="00F928B8">
        <w:t xml:space="preserve">June 24, </w:t>
      </w:r>
      <w:r w:rsidR="006D1FC9">
        <w:t>2023)</w:t>
      </w:r>
      <w:r w:rsidR="003B0D82">
        <w:t>;</w:t>
      </w:r>
      <w:r>
        <w:t xml:space="preserve"> </w:t>
      </w:r>
      <w:r w:rsidR="0080336D">
        <w:t xml:space="preserve">Tara Leigh Grove, </w:t>
      </w:r>
      <w:r w:rsidR="0080336D">
        <w:rPr>
          <w:i/>
          <w:iCs/>
        </w:rPr>
        <w:t xml:space="preserve">The Supreme Court’s Legitimacy </w:t>
      </w:r>
      <w:r w:rsidR="0080336D" w:rsidRPr="0080336D">
        <w:rPr>
          <w:i/>
          <w:iCs/>
        </w:rPr>
        <w:t>Dilemma</w:t>
      </w:r>
      <w:r w:rsidR="0080336D">
        <w:t>,</w:t>
      </w:r>
      <w:r w:rsidR="00E03C90">
        <w:t xml:space="preserve"> 132 Harv. L. Rev. 2240, </w:t>
      </w:r>
      <w:r w:rsidR="000E1B07">
        <w:t>2240 (2019);</w:t>
      </w:r>
      <w:r w:rsidR="0080336D">
        <w:t xml:space="preserve"> </w:t>
      </w:r>
      <w:r w:rsidR="00FE51F1" w:rsidRPr="0080336D">
        <w:t>Mark</w:t>
      </w:r>
      <w:r w:rsidR="00FE51F1">
        <w:t xml:space="preserve"> Graber, </w:t>
      </w:r>
      <w:r w:rsidR="00FE51F1" w:rsidRPr="00FE51F1">
        <w:rPr>
          <w:i/>
          <w:iCs/>
        </w:rPr>
        <w:t>Judicial Supremacy and the Structure of Partisan Conflict</w:t>
      </w:r>
      <w:r w:rsidR="00FE51F1">
        <w:t xml:space="preserve">, 50 </w:t>
      </w:r>
      <w:r w:rsidR="00DA09CC" w:rsidRPr="00690933">
        <w:rPr>
          <w:smallCaps/>
        </w:rPr>
        <w:t xml:space="preserve">Ind. L. Rev. </w:t>
      </w:r>
      <w:r w:rsidR="00FE51F1">
        <w:t>141, 149-52 (2016)</w:t>
      </w:r>
      <w:r>
        <w:t xml:space="preserve">, </w:t>
      </w:r>
      <w:r w:rsidR="001A2C70" w:rsidRPr="001A2C70">
        <w:t>Kevin J.</w:t>
      </w:r>
      <w:r w:rsidR="00ED3CAC">
        <w:t xml:space="preserve"> </w:t>
      </w:r>
      <w:r w:rsidR="00ED3CAC" w:rsidRPr="001A2C70">
        <w:t>McMahon</w:t>
      </w:r>
      <w:r w:rsidR="00ED3CAC">
        <w:t>,</w:t>
      </w:r>
      <w:r w:rsidR="001A2C70" w:rsidRPr="001A2C70">
        <w:t xml:space="preserve"> </w:t>
      </w:r>
      <w:r w:rsidR="001A2C70" w:rsidRPr="002062E6">
        <w:rPr>
          <w:i/>
          <w:iCs/>
        </w:rPr>
        <w:t>Will the Supreme Court Still Seldom Stray Very Far: Regime Politics in a Polarized America</w:t>
      </w:r>
      <w:r w:rsidR="002062E6">
        <w:t xml:space="preserve">, </w:t>
      </w:r>
      <w:r w:rsidR="0066175B">
        <w:t xml:space="preserve">93 </w:t>
      </w:r>
      <w:r w:rsidR="001A2C70" w:rsidRPr="002062E6">
        <w:rPr>
          <w:smallCaps/>
        </w:rPr>
        <w:t>Chi.-Kent L. Rev.</w:t>
      </w:r>
      <w:r w:rsidR="0066175B">
        <w:t xml:space="preserve"> 343 </w:t>
      </w:r>
      <w:r w:rsidR="001A2C70" w:rsidRPr="001A2C70">
        <w:t>(2018)</w:t>
      </w:r>
      <w:r w:rsidR="00151D17">
        <w:t>.</w:t>
      </w:r>
    </w:p>
  </w:footnote>
  <w:footnote w:id="8">
    <w:p w14:paraId="23E5CC38" w14:textId="05CC8B90" w:rsidR="0065496F" w:rsidRDefault="0065496F">
      <w:pPr>
        <w:pStyle w:val="FootnoteText"/>
      </w:pPr>
      <w:r>
        <w:rPr>
          <w:rStyle w:val="FootnoteReference"/>
        </w:rPr>
        <w:footnoteRef/>
      </w:r>
      <w:r>
        <w:t xml:space="preserve"> </w:t>
      </w:r>
      <w:r w:rsidR="002F2B49" w:rsidRPr="002F2B49">
        <w:t>Ryan D.</w:t>
      </w:r>
      <w:r w:rsidR="002F2B49">
        <w:t xml:space="preserve"> </w:t>
      </w:r>
      <w:r w:rsidR="00346E3E" w:rsidRPr="002F2B49">
        <w:t>Doerfler</w:t>
      </w:r>
      <w:r w:rsidR="00346E3E">
        <w:t xml:space="preserve"> </w:t>
      </w:r>
      <w:r w:rsidR="002F2B49">
        <w:t xml:space="preserve">&amp; </w:t>
      </w:r>
      <w:r w:rsidR="002F2B49" w:rsidRPr="002F2B49">
        <w:t xml:space="preserve">Samuel </w:t>
      </w:r>
      <w:proofErr w:type="spellStart"/>
      <w:r w:rsidR="002F2B49" w:rsidRPr="002F2B49">
        <w:t>Moyn</w:t>
      </w:r>
      <w:proofErr w:type="spellEnd"/>
      <w:r w:rsidR="00346E3E">
        <w:t>,</w:t>
      </w:r>
      <w:r w:rsidR="002F2B49" w:rsidRPr="002F2B49">
        <w:t xml:space="preserve"> </w:t>
      </w:r>
      <w:r w:rsidR="002F2B49" w:rsidRPr="00346E3E">
        <w:rPr>
          <w:i/>
          <w:iCs/>
        </w:rPr>
        <w:t>Democratizing the Supreme Court</w:t>
      </w:r>
      <w:r w:rsidR="00346E3E">
        <w:t xml:space="preserve">, 109 </w:t>
      </w:r>
      <w:r w:rsidR="002F2B49" w:rsidRPr="00346E3E">
        <w:rPr>
          <w:smallCaps/>
        </w:rPr>
        <w:t>Cal. L. Rev.</w:t>
      </w:r>
      <w:r w:rsidR="00346E3E">
        <w:t xml:space="preserve"> 1703, 1738-46</w:t>
      </w:r>
      <w:r w:rsidR="00346E3E" w:rsidRPr="002F2B49">
        <w:t xml:space="preserve"> </w:t>
      </w:r>
      <w:r w:rsidR="002F2B49" w:rsidRPr="002F2B49">
        <w:t>(2021)</w:t>
      </w:r>
      <w:r w:rsidR="002F2B49">
        <w:t xml:space="preserve">; </w:t>
      </w:r>
      <w:r w:rsidRPr="00294B13">
        <w:t>Ryan D.</w:t>
      </w:r>
      <w:r>
        <w:t xml:space="preserve"> </w:t>
      </w:r>
      <w:r w:rsidRPr="00294B13">
        <w:t>Doerfler</w:t>
      </w:r>
      <w:r>
        <w:t xml:space="preserve"> &amp; </w:t>
      </w:r>
      <w:r w:rsidRPr="00294B13">
        <w:t xml:space="preserve">Samuel </w:t>
      </w:r>
      <w:proofErr w:type="spellStart"/>
      <w:r w:rsidRPr="00294B13">
        <w:t>Moyn</w:t>
      </w:r>
      <w:proofErr w:type="spellEnd"/>
      <w:r>
        <w:t>,</w:t>
      </w:r>
      <w:r w:rsidRPr="00294B13">
        <w:t xml:space="preserve"> </w:t>
      </w:r>
      <w:r w:rsidRPr="00A6190E">
        <w:rPr>
          <w:i/>
          <w:iCs/>
        </w:rPr>
        <w:t xml:space="preserve">The Ghost of John Hart </w:t>
      </w:r>
      <w:r w:rsidRPr="00A6190E">
        <w:t>Ely</w:t>
      </w:r>
      <w:r>
        <w:t xml:space="preserve">, 75 </w:t>
      </w:r>
      <w:r w:rsidRPr="00A6190E">
        <w:rPr>
          <w:smallCaps/>
        </w:rPr>
        <w:t>Vand. L. Rev.</w:t>
      </w:r>
      <w:r w:rsidR="003B007F">
        <w:t xml:space="preserve"> </w:t>
      </w:r>
      <w:r w:rsidRPr="00294B13">
        <w:t>7</w:t>
      </w:r>
      <w:r>
        <w:t>69</w:t>
      </w:r>
      <w:r w:rsidR="0051185F">
        <w:t>,</w:t>
      </w:r>
      <w:r>
        <w:t xml:space="preserve"> 820-21 </w:t>
      </w:r>
      <w:r w:rsidRPr="00294B13">
        <w:t>(2022)</w:t>
      </w:r>
      <w:r w:rsidR="002F2B49">
        <w:t>.</w:t>
      </w:r>
    </w:p>
  </w:footnote>
  <w:footnote w:id="9">
    <w:p w14:paraId="2627596E" w14:textId="08D5B23F" w:rsidR="00574D32" w:rsidRDefault="00574D32">
      <w:pPr>
        <w:pStyle w:val="FootnoteText"/>
      </w:pPr>
      <w:r>
        <w:rPr>
          <w:rStyle w:val="FootnoteReference"/>
        </w:rPr>
        <w:footnoteRef/>
      </w:r>
      <w:r w:rsidR="00A54A88">
        <w:t xml:space="preserve"> </w:t>
      </w:r>
      <w:r w:rsidR="00A54A88" w:rsidRPr="00A54A88">
        <w:t xml:space="preserve">Maggie Blackhawk, </w:t>
      </w:r>
      <w:r w:rsidR="00A54A88" w:rsidRPr="00A54A88">
        <w:rPr>
          <w:i/>
          <w:iCs/>
        </w:rPr>
        <w:t>Legislative Constitutionalism and Federal Indian Law</w:t>
      </w:r>
      <w:r w:rsidR="00A54A88" w:rsidRPr="00A54A88">
        <w:t xml:space="preserve">, 132 </w:t>
      </w:r>
      <w:r w:rsidR="00690933" w:rsidRPr="00690933">
        <w:rPr>
          <w:smallCaps/>
        </w:rPr>
        <w:t xml:space="preserve">Yale </w:t>
      </w:r>
      <w:r w:rsidR="00A54A88" w:rsidRPr="00A54A88">
        <w:t>L.J. 2217-</w:t>
      </w:r>
      <w:r w:rsidR="004D57A7">
        <w:t>1</w:t>
      </w:r>
      <w:r w:rsidR="00A54A88" w:rsidRPr="00A54A88">
        <w:t>8 (2023).</w:t>
      </w:r>
    </w:p>
  </w:footnote>
  <w:footnote w:id="10">
    <w:p w14:paraId="35AFA512" w14:textId="43F90DB0" w:rsidR="00926A65" w:rsidRDefault="00926A65">
      <w:pPr>
        <w:pStyle w:val="FootnoteText"/>
      </w:pPr>
      <w:r>
        <w:rPr>
          <w:rStyle w:val="FootnoteReference"/>
        </w:rPr>
        <w:footnoteRef/>
      </w:r>
      <w:r>
        <w:t xml:space="preserve"> </w:t>
      </w:r>
      <w:r w:rsidR="007D79CD">
        <w:t>L</w:t>
      </w:r>
      <w:r w:rsidR="007D79CD">
        <w:rPr>
          <w:sz w:val="16"/>
        </w:rPr>
        <w:t>OUIS</w:t>
      </w:r>
      <w:r w:rsidR="007D79CD">
        <w:rPr>
          <w:spacing w:val="1"/>
          <w:sz w:val="16"/>
        </w:rPr>
        <w:t xml:space="preserve"> </w:t>
      </w:r>
      <w:r w:rsidR="007D79CD">
        <w:t>F</w:t>
      </w:r>
      <w:r w:rsidR="007D79CD">
        <w:rPr>
          <w:sz w:val="16"/>
        </w:rPr>
        <w:t>ISHER</w:t>
      </w:r>
      <w:r w:rsidR="007D79CD">
        <w:t>,</w:t>
      </w:r>
      <w:r w:rsidR="007D79CD">
        <w:rPr>
          <w:spacing w:val="1"/>
        </w:rPr>
        <w:t xml:space="preserve"> </w:t>
      </w:r>
      <w:r w:rsidR="007D79CD">
        <w:t>C</w:t>
      </w:r>
      <w:r w:rsidR="007D79CD">
        <w:rPr>
          <w:sz w:val="16"/>
        </w:rPr>
        <w:t>ONGRESS</w:t>
      </w:r>
      <w:r w:rsidR="007D79CD">
        <w:t>:</w:t>
      </w:r>
      <w:r w:rsidR="007D79CD">
        <w:rPr>
          <w:spacing w:val="1"/>
        </w:rPr>
        <w:t xml:space="preserve"> </w:t>
      </w:r>
      <w:r w:rsidR="007D79CD">
        <w:t>P</w:t>
      </w:r>
      <w:r w:rsidR="007D79CD">
        <w:rPr>
          <w:sz w:val="16"/>
        </w:rPr>
        <w:t>ROTECTING</w:t>
      </w:r>
      <w:r w:rsidR="007D79CD">
        <w:rPr>
          <w:spacing w:val="1"/>
          <w:sz w:val="16"/>
        </w:rPr>
        <w:t xml:space="preserve"> </w:t>
      </w:r>
      <w:r w:rsidR="007D79CD">
        <w:t>I</w:t>
      </w:r>
      <w:r w:rsidR="007D79CD">
        <w:rPr>
          <w:sz w:val="16"/>
        </w:rPr>
        <w:t>NDIVIDUAL</w:t>
      </w:r>
      <w:r w:rsidR="007D79CD">
        <w:rPr>
          <w:spacing w:val="1"/>
          <w:sz w:val="16"/>
        </w:rPr>
        <w:t xml:space="preserve"> </w:t>
      </w:r>
      <w:r w:rsidR="007D79CD">
        <w:t>R</w:t>
      </w:r>
      <w:r w:rsidR="007D79CD">
        <w:rPr>
          <w:sz w:val="16"/>
        </w:rPr>
        <w:t>IGHTS</w:t>
      </w:r>
      <w:r w:rsidR="007D79CD">
        <w:rPr>
          <w:spacing w:val="1"/>
          <w:sz w:val="16"/>
        </w:rPr>
        <w:t xml:space="preserve"> </w:t>
      </w:r>
      <w:r w:rsidR="007D79CD">
        <w:t>286 (2016)</w:t>
      </w:r>
      <w:r>
        <w:t>.</w:t>
      </w:r>
    </w:p>
  </w:footnote>
  <w:footnote w:id="11">
    <w:p w14:paraId="586CFF13" w14:textId="2847EAA6" w:rsidR="000C29D6" w:rsidRDefault="000C29D6">
      <w:pPr>
        <w:pStyle w:val="FootnoteText"/>
      </w:pPr>
      <w:r>
        <w:rPr>
          <w:rStyle w:val="FootnoteReference"/>
        </w:rPr>
        <w:footnoteRef/>
      </w:r>
      <w:r>
        <w:t xml:space="preserve"> For the sake of brevity, I will call this “political constitutionalism.”</w:t>
      </w:r>
    </w:p>
  </w:footnote>
  <w:footnote w:id="12">
    <w:p w14:paraId="7F46CCFD" w14:textId="0ADC3E80" w:rsidR="001338AD" w:rsidRPr="00A93DA1" w:rsidRDefault="001338AD">
      <w:pPr>
        <w:pStyle w:val="FootnoteText"/>
      </w:pPr>
      <w:r>
        <w:rPr>
          <w:rStyle w:val="FootnoteReference"/>
        </w:rPr>
        <w:footnoteRef/>
      </w:r>
      <w:r>
        <w:t xml:space="preserve"> </w:t>
      </w:r>
      <w:r w:rsidR="00B2430D">
        <w:t>The seminal work</w:t>
      </w:r>
      <w:r w:rsidR="00D976A1">
        <w:t xml:space="preserve"> is </w:t>
      </w:r>
      <w:r w:rsidRPr="003275D6">
        <w:rPr>
          <w:smallCaps/>
        </w:rPr>
        <w:t xml:space="preserve">Alexander M. Bickel, The Least Dangerous Branch </w:t>
      </w:r>
      <w:r w:rsidRPr="00D77796">
        <w:t>(1962)</w:t>
      </w:r>
      <w:r w:rsidR="00D976A1">
        <w:t xml:space="preserve">, but the </w:t>
      </w:r>
      <w:proofErr w:type="spellStart"/>
      <w:r w:rsidR="00D976A1">
        <w:t>countermajoritarian</w:t>
      </w:r>
      <w:proofErr w:type="spellEnd"/>
      <w:r w:rsidR="00D976A1">
        <w:t xml:space="preserve"> difficulty that Bickel identified has been, as one scholar called it, an “obsession” of legal academia.</w:t>
      </w:r>
      <w:r w:rsidR="00CE49B2">
        <w:t xml:space="preserve"> </w:t>
      </w:r>
      <w:r w:rsidR="00A93DA1" w:rsidRPr="00A93DA1">
        <w:t>Barry Friedman</w:t>
      </w:r>
      <w:r w:rsidR="00A93DA1" w:rsidRPr="00A93DA1">
        <w:rPr>
          <w:i/>
          <w:iCs/>
        </w:rPr>
        <w:t xml:space="preserve">, The </w:t>
      </w:r>
      <w:r w:rsidR="00A93DA1">
        <w:rPr>
          <w:i/>
          <w:iCs/>
        </w:rPr>
        <w:t>B</w:t>
      </w:r>
      <w:r w:rsidR="00A93DA1" w:rsidRPr="00A93DA1">
        <w:rPr>
          <w:i/>
          <w:iCs/>
        </w:rPr>
        <w:t xml:space="preserve">irth of an </w:t>
      </w:r>
      <w:r w:rsidR="00A93DA1">
        <w:rPr>
          <w:i/>
          <w:iCs/>
        </w:rPr>
        <w:t>A</w:t>
      </w:r>
      <w:r w:rsidR="00A93DA1" w:rsidRPr="00A93DA1">
        <w:rPr>
          <w:i/>
          <w:iCs/>
        </w:rPr>
        <w:t xml:space="preserve">cademic </w:t>
      </w:r>
      <w:r w:rsidR="00A93DA1">
        <w:rPr>
          <w:i/>
          <w:iCs/>
        </w:rPr>
        <w:t>O</w:t>
      </w:r>
      <w:r w:rsidR="00A93DA1" w:rsidRPr="00A93DA1">
        <w:rPr>
          <w:i/>
          <w:iCs/>
        </w:rPr>
        <w:t xml:space="preserve">bsession: The </w:t>
      </w:r>
      <w:r w:rsidR="00A93DA1">
        <w:rPr>
          <w:i/>
          <w:iCs/>
        </w:rPr>
        <w:t>H</w:t>
      </w:r>
      <w:r w:rsidR="00A93DA1" w:rsidRPr="00A93DA1">
        <w:rPr>
          <w:i/>
          <w:iCs/>
        </w:rPr>
        <w:t xml:space="preserve">istory of the </w:t>
      </w:r>
      <w:proofErr w:type="spellStart"/>
      <w:r w:rsidR="00A93DA1">
        <w:rPr>
          <w:i/>
          <w:iCs/>
        </w:rPr>
        <w:t>C</w:t>
      </w:r>
      <w:r w:rsidR="00A93DA1" w:rsidRPr="00A93DA1">
        <w:rPr>
          <w:i/>
          <w:iCs/>
        </w:rPr>
        <w:t>ountermajoritarian</w:t>
      </w:r>
      <w:proofErr w:type="spellEnd"/>
      <w:r w:rsidR="00A93DA1" w:rsidRPr="00A93DA1">
        <w:rPr>
          <w:i/>
          <w:iCs/>
        </w:rPr>
        <w:t xml:space="preserve"> </w:t>
      </w:r>
      <w:r w:rsidR="00A93DA1">
        <w:rPr>
          <w:i/>
          <w:iCs/>
        </w:rPr>
        <w:t>D</w:t>
      </w:r>
      <w:r w:rsidR="00A93DA1" w:rsidRPr="00A93DA1">
        <w:rPr>
          <w:i/>
          <w:iCs/>
        </w:rPr>
        <w:t xml:space="preserve">ifficulty, </w:t>
      </w:r>
      <w:r w:rsidR="00A93DA1">
        <w:rPr>
          <w:i/>
          <w:iCs/>
        </w:rPr>
        <w:t>P</w:t>
      </w:r>
      <w:r w:rsidR="00A93DA1" w:rsidRPr="00A93DA1">
        <w:rPr>
          <w:i/>
          <w:iCs/>
        </w:rPr>
        <w:t xml:space="preserve">art </w:t>
      </w:r>
      <w:r w:rsidR="00A93DA1">
        <w:rPr>
          <w:i/>
          <w:iCs/>
        </w:rPr>
        <w:t>F</w:t>
      </w:r>
      <w:r w:rsidR="00A93DA1" w:rsidRPr="00A93DA1">
        <w:rPr>
          <w:i/>
          <w:iCs/>
        </w:rPr>
        <w:t>ive</w:t>
      </w:r>
      <w:r w:rsidR="00A93DA1">
        <w:t xml:space="preserve">, </w:t>
      </w:r>
      <w:r w:rsidR="004C7710">
        <w:t>112</w:t>
      </w:r>
      <w:r w:rsidR="00A93DA1" w:rsidRPr="004C7710">
        <w:rPr>
          <w:smallCaps/>
        </w:rPr>
        <w:t xml:space="preserve"> Yale L</w:t>
      </w:r>
      <w:r w:rsidR="004C7710">
        <w:rPr>
          <w:smallCaps/>
        </w:rPr>
        <w:t>.</w:t>
      </w:r>
      <w:r w:rsidR="00A93DA1" w:rsidRPr="004C7710">
        <w:rPr>
          <w:smallCaps/>
        </w:rPr>
        <w:t>J</w:t>
      </w:r>
      <w:r w:rsidR="004C7710">
        <w:rPr>
          <w:smallCaps/>
        </w:rPr>
        <w:t>. 153, 153</w:t>
      </w:r>
      <w:r w:rsidR="00A93DA1" w:rsidRPr="004C7710">
        <w:t xml:space="preserve"> (2002)</w:t>
      </w:r>
      <w:r w:rsidR="004C7710">
        <w:t>.</w:t>
      </w:r>
    </w:p>
  </w:footnote>
  <w:footnote w:id="13">
    <w:p w14:paraId="47EE1D4B" w14:textId="063947B2" w:rsidR="009D3B22" w:rsidRDefault="009D3B22">
      <w:pPr>
        <w:pStyle w:val="FootnoteText"/>
      </w:pPr>
      <w:r>
        <w:rPr>
          <w:rStyle w:val="FootnoteReference"/>
        </w:rPr>
        <w:footnoteRef/>
      </w:r>
      <w:r>
        <w:t xml:space="preserve"> See, e.g., </w:t>
      </w:r>
      <w:r w:rsidR="00F76C8F" w:rsidRPr="00F76C8F">
        <w:t xml:space="preserve">Robert A. Dahl, </w:t>
      </w:r>
      <w:r w:rsidR="00F76C8F" w:rsidRPr="008A4708">
        <w:rPr>
          <w:i/>
          <w:iCs/>
        </w:rPr>
        <w:t xml:space="preserve">Decision-Making in a Democracy: The Supreme Court as </w:t>
      </w:r>
      <w:r w:rsidR="008A4708" w:rsidRPr="008A4708">
        <w:rPr>
          <w:i/>
          <w:iCs/>
        </w:rPr>
        <w:t>National Policy-Maker</w:t>
      </w:r>
      <w:r w:rsidR="008A4708" w:rsidRPr="008A4708">
        <w:t xml:space="preserve">, 6 </w:t>
      </w:r>
      <w:r w:rsidR="008A4708" w:rsidRPr="008A4708">
        <w:rPr>
          <w:smallCaps/>
        </w:rPr>
        <w:t xml:space="preserve">J. </w:t>
      </w:r>
      <w:r w:rsidR="009E638D" w:rsidRPr="008A4708">
        <w:rPr>
          <w:smallCaps/>
        </w:rPr>
        <w:t>Pub</w:t>
      </w:r>
      <w:r w:rsidR="008A4708" w:rsidRPr="008A4708">
        <w:rPr>
          <w:smallCaps/>
        </w:rPr>
        <w:t>. L</w:t>
      </w:r>
      <w:r w:rsidR="008A4708" w:rsidRPr="008A4708">
        <w:t>. 279 (1957)</w:t>
      </w:r>
      <w:r w:rsidR="008A4708">
        <w:t xml:space="preserve">; </w:t>
      </w:r>
      <w:r w:rsidR="00893446">
        <w:t xml:space="preserve">Mark A. Graber, </w:t>
      </w:r>
      <w:r w:rsidR="00893446">
        <w:rPr>
          <w:i/>
          <w:iCs/>
        </w:rPr>
        <w:t xml:space="preserve">The </w:t>
      </w:r>
      <w:proofErr w:type="spellStart"/>
      <w:r w:rsidR="00893446">
        <w:rPr>
          <w:i/>
          <w:iCs/>
        </w:rPr>
        <w:t>Nonmajoritarian</w:t>
      </w:r>
      <w:proofErr w:type="spellEnd"/>
      <w:r w:rsidR="00893446">
        <w:rPr>
          <w:i/>
          <w:iCs/>
        </w:rPr>
        <w:t xml:space="preserve"> Difficulty: Legislative Deference to the </w:t>
      </w:r>
      <w:r w:rsidR="00893446" w:rsidRPr="00C00A5E">
        <w:rPr>
          <w:i/>
          <w:iCs/>
        </w:rPr>
        <w:t>Judiciary</w:t>
      </w:r>
      <w:r w:rsidR="00893446">
        <w:t xml:space="preserve">, 7 </w:t>
      </w:r>
      <w:r w:rsidR="00893446" w:rsidRPr="0058107C">
        <w:rPr>
          <w:smallCaps/>
        </w:rPr>
        <w:t>Stud. Am. Pol. Dev.</w:t>
      </w:r>
      <w:r w:rsidR="00893446">
        <w:t xml:space="preserve"> 35 (1993); </w:t>
      </w:r>
      <w:r w:rsidR="00893446" w:rsidRPr="00C00A5E">
        <w:t>Keith</w:t>
      </w:r>
      <w:r w:rsidR="00893446">
        <w:t xml:space="preserve"> Whittington, </w:t>
      </w:r>
      <w:r w:rsidR="00893446" w:rsidRPr="00BB4E11">
        <w:rPr>
          <w:i/>
          <w:iCs/>
        </w:rPr>
        <w:t>“Interpose Your Friendly Hand”: Political Supports for the Exercise of Judicial Review by the United States Supreme Court</w:t>
      </w:r>
      <w:r w:rsidR="00893446">
        <w:t xml:space="preserve">, 99 </w:t>
      </w:r>
      <w:r w:rsidR="00893446" w:rsidRPr="00760BAA">
        <w:rPr>
          <w:smallCaps/>
        </w:rPr>
        <w:t>Am. Pol. Sci. Rev.</w:t>
      </w:r>
      <w:r w:rsidR="00893446">
        <w:t xml:space="preserve"> 583</w:t>
      </w:r>
      <w:r w:rsidR="00893446" w:rsidRPr="00BB4E11">
        <w:t xml:space="preserve"> (2005)</w:t>
      </w:r>
      <w:r w:rsidR="00893446">
        <w:t>.</w:t>
      </w:r>
    </w:p>
  </w:footnote>
  <w:footnote w:id="14">
    <w:p w14:paraId="63CC7232" w14:textId="06F02243" w:rsidR="006D1048" w:rsidRDefault="006D1048" w:rsidP="006D1048">
      <w:pPr>
        <w:pStyle w:val="FootnoteText"/>
      </w:pPr>
      <w:r>
        <w:rPr>
          <w:rStyle w:val="FootnoteReference"/>
        </w:rPr>
        <w:footnoteRef/>
      </w:r>
      <w:r>
        <w:t xml:space="preserve"> See e.g., </w:t>
      </w:r>
      <w:r w:rsidRPr="00690933">
        <w:rPr>
          <w:smallCaps/>
        </w:rPr>
        <w:t xml:space="preserve">Josh Chafetz, Congress’s Constitution: Legislative Authority </w:t>
      </w:r>
      <w:r>
        <w:rPr>
          <w:smallCaps/>
        </w:rPr>
        <w:t>a</w:t>
      </w:r>
      <w:r w:rsidRPr="00690933">
        <w:rPr>
          <w:smallCaps/>
        </w:rPr>
        <w:t xml:space="preserve">nd The Separation </w:t>
      </w:r>
      <w:r>
        <w:rPr>
          <w:smallCaps/>
        </w:rPr>
        <w:t>o</w:t>
      </w:r>
      <w:r w:rsidRPr="00690933">
        <w:rPr>
          <w:smallCaps/>
        </w:rPr>
        <w:t xml:space="preserve">f Powers </w:t>
      </w:r>
      <w:r>
        <w:t xml:space="preserve">(2017); </w:t>
      </w:r>
      <w:r w:rsidRPr="00690933">
        <w:rPr>
          <w:smallCaps/>
        </w:rPr>
        <w:t xml:space="preserve">Neal Devins &amp; Louis Fisher, The Democratic Constitution </w:t>
      </w:r>
      <w:r>
        <w:t xml:space="preserve">(2015); </w:t>
      </w:r>
      <w:r w:rsidRPr="00E613DA">
        <w:rPr>
          <w:smallCaps/>
        </w:rPr>
        <w:t xml:space="preserve">Congress </w:t>
      </w:r>
      <w:r>
        <w:rPr>
          <w:smallCaps/>
        </w:rPr>
        <w:t>a</w:t>
      </w:r>
      <w:r w:rsidRPr="00E613DA">
        <w:rPr>
          <w:smallCaps/>
        </w:rPr>
        <w:t xml:space="preserve">nd </w:t>
      </w:r>
      <w:r>
        <w:rPr>
          <w:smallCaps/>
        </w:rPr>
        <w:t>t</w:t>
      </w:r>
      <w:r w:rsidRPr="00E613DA">
        <w:rPr>
          <w:smallCaps/>
        </w:rPr>
        <w:t xml:space="preserve">he Constitution </w:t>
      </w:r>
      <w:r>
        <w:t xml:space="preserve">(Neal Devins &amp; Keith Whittington, eds.) (2005); </w:t>
      </w:r>
      <w:r w:rsidRPr="005D2D04">
        <w:rPr>
          <w:smallCaps/>
        </w:rPr>
        <w:t xml:space="preserve">David P. Currie, The Constitution </w:t>
      </w:r>
      <w:r>
        <w:rPr>
          <w:smallCaps/>
        </w:rPr>
        <w:t>i</w:t>
      </w:r>
      <w:r w:rsidRPr="005D2D04">
        <w:rPr>
          <w:smallCaps/>
        </w:rPr>
        <w:t xml:space="preserve">n Congress: Democrats </w:t>
      </w:r>
      <w:r>
        <w:rPr>
          <w:smallCaps/>
        </w:rPr>
        <w:t>a</w:t>
      </w:r>
      <w:r w:rsidRPr="005D2D04">
        <w:rPr>
          <w:smallCaps/>
        </w:rPr>
        <w:t>nd Whigs</w:t>
      </w:r>
      <w:r>
        <w:t xml:space="preserve">, 1829-1861 (2005) [hereinafter </w:t>
      </w:r>
      <w:r w:rsidRPr="00A53F0B">
        <w:rPr>
          <w:smallCaps/>
        </w:rPr>
        <w:t xml:space="preserve">Currie, Democrats </w:t>
      </w:r>
      <w:r>
        <w:rPr>
          <w:smallCaps/>
        </w:rPr>
        <w:t>a</w:t>
      </w:r>
      <w:r w:rsidRPr="00A53F0B">
        <w:rPr>
          <w:smallCaps/>
        </w:rPr>
        <w:t>nd Whigs</w:t>
      </w:r>
      <w:r>
        <w:t xml:space="preserve">]; </w:t>
      </w:r>
      <w:r w:rsidRPr="003E7456">
        <w:rPr>
          <w:smallCaps/>
        </w:rPr>
        <w:t xml:space="preserve">Mark </w:t>
      </w:r>
      <w:proofErr w:type="spellStart"/>
      <w:r w:rsidRPr="003E7456">
        <w:rPr>
          <w:smallCaps/>
        </w:rPr>
        <w:t>Tushnet</w:t>
      </w:r>
      <w:proofErr w:type="spellEnd"/>
      <w:r w:rsidRPr="003E7456">
        <w:rPr>
          <w:smallCaps/>
        </w:rPr>
        <w:t xml:space="preserve">, Taking The Constitution Away From The Courts </w:t>
      </w:r>
      <w:r>
        <w:t xml:space="preserve">(1999) [hereinafter </w:t>
      </w:r>
      <w:proofErr w:type="spellStart"/>
      <w:r w:rsidRPr="00743A8A">
        <w:rPr>
          <w:smallCaps/>
        </w:rPr>
        <w:t>Tushnet</w:t>
      </w:r>
      <w:proofErr w:type="spellEnd"/>
      <w:r w:rsidRPr="00743A8A">
        <w:rPr>
          <w:smallCaps/>
        </w:rPr>
        <w:t xml:space="preserve">, Taking The Constitution]; Susan Burgess, Contest For Constitutional Authority: The Abortion </w:t>
      </w:r>
      <w:r>
        <w:rPr>
          <w:smallCaps/>
        </w:rPr>
        <w:t>a</w:t>
      </w:r>
      <w:r w:rsidRPr="00743A8A">
        <w:rPr>
          <w:smallCaps/>
        </w:rPr>
        <w:t xml:space="preserve">nd War Powers Debates </w:t>
      </w:r>
      <w:r>
        <w:t xml:space="preserve">(1992); </w:t>
      </w:r>
      <w:r w:rsidRPr="001C2244">
        <w:rPr>
          <w:smallCaps/>
        </w:rPr>
        <w:t xml:space="preserve">Donald Morgan, Congress And The Constitution: A Study Of Responsibility </w:t>
      </w:r>
      <w:r>
        <w:t xml:space="preserve">(1966); Blackhawk, supra note 6, at 2205-28; Sam Simon, </w:t>
      </w:r>
      <w:r w:rsidRPr="002E3648">
        <w:rPr>
          <w:i/>
          <w:iCs/>
        </w:rPr>
        <w:t>How Statutes Create Rights: The Case of the National Labor Relations Act</w:t>
      </w:r>
      <w:r>
        <w:t xml:space="preserve">, 15 </w:t>
      </w:r>
      <w:r w:rsidRPr="002E3648">
        <w:rPr>
          <w:smallCaps/>
        </w:rPr>
        <w:t>U. Pa. J. Const. L</w:t>
      </w:r>
      <w:r>
        <w:t xml:space="preserve">. 1503 (2012); Mark </w:t>
      </w:r>
      <w:proofErr w:type="spellStart"/>
      <w:r>
        <w:t>Tushnet</w:t>
      </w:r>
      <w:proofErr w:type="spellEnd"/>
      <w:r>
        <w:t xml:space="preserve">, </w:t>
      </w:r>
      <w:r w:rsidRPr="002E3648">
        <w:rPr>
          <w:i/>
          <w:iCs/>
        </w:rPr>
        <w:t>Some Notes on Congressional Capacity to Interpret the Constitution</w:t>
      </w:r>
      <w:r>
        <w:t xml:space="preserve">, 89 </w:t>
      </w:r>
      <w:r w:rsidRPr="002E3648">
        <w:rPr>
          <w:smallCaps/>
        </w:rPr>
        <w:t>Boston U. L. Rev</w:t>
      </w:r>
      <w:r>
        <w:t xml:space="preserve">. 499 (2009)[hereinafter </w:t>
      </w:r>
      <w:proofErr w:type="spellStart"/>
      <w:r>
        <w:t>Tushnet</w:t>
      </w:r>
      <w:proofErr w:type="spellEnd"/>
      <w:r>
        <w:t xml:space="preserve">, </w:t>
      </w:r>
      <w:r w:rsidRPr="007C6B50">
        <w:rPr>
          <w:i/>
          <w:iCs/>
        </w:rPr>
        <w:t>Some Notes</w:t>
      </w:r>
      <w:r>
        <w:t xml:space="preserve">]; Walter Murphy, </w:t>
      </w:r>
      <w:r w:rsidRPr="007C6B50">
        <w:rPr>
          <w:i/>
          <w:iCs/>
        </w:rPr>
        <w:t>Who Shall Interpret? The Quest for the Ultimate Constitutional Interpreter</w:t>
      </w:r>
      <w:r>
        <w:t xml:space="preserve">, 48 </w:t>
      </w:r>
      <w:r w:rsidRPr="007C6B50">
        <w:rPr>
          <w:smallCaps/>
        </w:rPr>
        <w:t>Rev. Pol</w:t>
      </w:r>
      <w:r>
        <w:t>. 401, 411-12 (1986)</w:t>
      </w:r>
      <w:r w:rsidR="00702373">
        <w:t>.</w:t>
      </w:r>
    </w:p>
  </w:footnote>
  <w:footnote w:id="15">
    <w:p w14:paraId="3D4E72A0" w14:textId="3B19EBE6" w:rsidR="0004222D" w:rsidRDefault="0004222D">
      <w:pPr>
        <w:pStyle w:val="FootnoteText"/>
      </w:pPr>
      <w:r>
        <w:rPr>
          <w:rStyle w:val="FootnoteReference"/>
        </w:rPr>
        <w:footnoteRef/>
      </w:r>
      <w:r>
        <w:t xml:space="preserve"> See, e.g., </w:t>
      </w:r>
      <w:r w:rsidR="00395A9F" w:rsidRPr="00395A9F">
        <w:rPr>
          <w:smallCaps/>
        </w:rPr>
        <w:t>Henry Steele Commager, Majority Rule and Minority Rights</w:t>
      </w:r>
      <w:r w:rsidR="00395A9F">
        <w:t xml:space="preserve"> (1943); </w:t>
      </w:r>
      <w:r w:rsidR="000D47F6" w:rsidRPr="0043462A">
        <w:rPr>
          <w:smallCaps/>
        </w:rPr>
        <w:t>Fisher</w:t>
      </w:r>
      <w:r w:rsidR="000D47F6">
        <w:t xml:space="preserve">, </w:t>
      </w:r>
      <w:r w:rsidR="000D47F6">
        <w:rPr>
          <w:i/>
          <w:iCs/>
        </w:rPr>
        <w:t xml:space="preserve">supra </w:t>
      </w:r>
      <w:r w:rsidR="000D47F6">
        <w:t xml:space="preserve">note </w:t>
      </w:r>
      <w:r w:rsidR="000D47F6">
        <w:fldChar w:fldCharType="begin"/>
      </w:r>
      <w:r w:rsidR="000D47F6">
        <w:instrText xml:space="preserve"> NOTEREF _Ref186363916 \h </w:instrText>
      </w:r>
      <w:r w:rsidR="000D47F6">
        <w:fldChar w:fldCharType="separate"/>
      </w:r>
      <w:r w:rsidR="00454C1B">
        <w:t>8</w:t>
      </w:r>
      <w:r w:rsidR="000D47F6">
        <w:fldChar w:fldCharType="end"/>
      </w:r>
      <w:r w:rsidR="000D47F6">
        <w:t xml:space="preserve">; </w:t>
      </w:r>
      <w:r w:rsidRPr="001C2244">
        <w:rPr>
          <w:smallCaps/>
        </w:rPr>
        <w:t xml:space="preserve">Louis Fisher, Constitutional Dialogues: Interpretation As Political Process </w:t>
      </w:r>
      <w:r>
        <w:t xml:space="preserve">(1988) [hereinafter </w:t>
      </w:r>
      <w:r w:rsidRPr="001C2244">
        <w:rPr>
          <w:smallCaps/>
        </w:rPr>
        <w:t>Fisher, Dialogues</w:t>
      </w:r>
      <w:r>
        <w:t xml:space="preserve">]; Louis Fisher, </w:t>
      </w:r>
      <w:r w:rsidRPr="007C6B50">
        <w:rPr>
          <w:i/>
          <w:iCs/>
        </w:rPr>
        <w:t>Constitutional Interpretation by Members of Congress</w:t>
      </w:r>
      <w:r>
        <w:t xml:space="preserve">, 63 </w:t>
      </w:r>
      <w:r w:rsidRPr="007C6B50">
        <w:rPr>
          <w:smallCaps/>
        </w:rPr>
        <w:t>N.C. L. Rev</w:t>
      </w:r>
      <w:r>
        <w:t xml:space="preserve">. 707 (1985) [hereinafter Fisher, </w:t>
      </w:r>
      <w:r w:rsidRPr="007C6B50">
        <w:rPr>
          <w:i/>
          <w:iCs/>
        </w:rPr>
        <w:t>Constitutional Interpretation</w:t>
      </w:r>
      <w:r>
        <w:t>]</w:t>
      </w:r>
      <w:r w:rsidR="007A1ACC">
        <w:t>.</w:t>
      </w:r>
    </w:p>
  </w:footnote>
  <w:footnote w:id="16">
    <w:p w14:paraId="08F48E10" w14:textId="53F1D36B" w:rsidR="006A3BFB" w:rsidRDefault="006A3BFB">
      <w:pPr>
        <w:pStyle w:val="FootnoteText"/>
      </w:pPr>
      <w:r>
        <w:rPr>
          <w:rStyle w:val="FootnoteReference"/>
        </w:rPr>
        <w:footnoteRef/>
      </w:r>
      <w:r>
        <w:t xml:space="preserve"> See discussion below. </w:t>
      </w:r>
    </w:p>
  </w:footnote>
  <w:footnote w:id="17">
    <w:p w14:paraId="0C9FCE00" w14:textId="5A495248" w:rsidR="00BD5D43" w:rsidRDefault="00BD5D43">
      <w:pPr>
        <w:pStyle w:val="FootnoteText"/>
      </w:pPr>
      <w:r>
        <w:rPr>
          <w:rStyle w:val="FootnoteReference"/>
        </w:rPr>
        <w:footnoteRef/>
      </w:r>
      <w:r>
        <w:t xml:space="preserve"> These terms have been used to mean different things by different scholars.</w:t>
      </w:r>
      <w:r w:rsidR="00F53A48">
        <w:t xml:space="preserve"> Compare</w:t>
      </w:r>
      <w:r>
        <w:t xml:space="preserve"> </w:t>
      </w:r>
      <w:r w:rsidR="00A47F08" w:rsidRPr="009C3416">
        <w:rPr>
          <w:smallCaps/>
        </w:rPr>
        <w:t>William N.</w:t>
      </w:r>
      <w:r w:rsidR="009C3416" w:rsidRPr="009C3416">
        <w:rPr>
          <w:smallCaps/>
        </w:rPr>
        <w:t xml:space="preserve"> </w:t>
      </w:r>
      <w:proofErr w:type="spellStart"/>
      <w:r w:rsidR="009C3416" w:rsidRPr="009C3416">
        <w:rPr>
          <w:smallCaps/>
        </w:rPr>
        <w:t>Esrkidge</w:t>
      </w:r>
      <w:proofErr w:type="spellEnd"/>
      <w:r w:rsidR="00A47F08" w:rsidRPr="009C3416">
        <w:rPr>
          <w:smallCaps/>
        </w:rPr>
        <w:t xml:space="preserve"> </w:t>
      </w:r>
      <w:r w:rsidR="009C3416" w:rsidRPr="009C3416">
        <w:rPr>
          <w:smallCaps/>
        </w:rPr>
        <w:t xml:space="preserve">&amp; </w:t>
      </w:r>
      <w:r w:rsidR="00A47F08" w:rsidRPr="009C3416">
        <w:rPr>
          <w:smallCaps/>
        </w:rPr>
        <w:t xml:space="preserve">John A. </w:t>
      </w:r>
      <w:proofErr w:type="spellStart"/>
      <w:r w:rsidR="00A47F08" w:rsidRPr="009C3416">
        <w:rPr>
          <w:smallCaps/>
        </w:rPr>
        <w:t>Ferejohn</w:t>
      </w:r>
      <w:proofErr w:type="spellEnd"/>
      <w:r w:rsidR="00A47F08" w:rsidRPr="009C3416">
        <w:rPr>
          <w:smallCaps/>
        </w:rPr>
        <w:t>. A Republic of Statutes: The New American Constitution</w:t>
      </w:r>
      <w:r w:rsidR="009C3416">
        <w:t xml:space="preserve"> (</w:t>
      </w:r>
      <w:r w:rsidR="00A47F08" w:rsidRPr="00A47F08">
        <w:t>2010</w:t>
      </w:r>
      <w:r w:rsidR="009C3416">
        <w:t>)</w:t>
      </w:r>
      <w:r w:rsidR="00F53A48">
        <w:t xml:space="preserve"> </w:t>
      </w:r>
      <w:r w:rsidR="00F53A48">
        <w:rPr>
          <w:i/>
          <w:iCs/>
        </w:rPr>
        <w:t>to</w:t>
      </w:r>
      <w:r w:rsidR="00F53A48" w:rsidRPr="00F53A48">
        <w:t xml:space="preserve"> </w:t>
      </w:r>
      <w:r w:rsidR="00F53A48" w:rsidRPr="004B3130">
        <w:t>Chilton, A., &amp; Versteeg, M.</w:t>
      </w:r>
      <w:r w:rsidR="00F53A48" w:rsidRPr="00F53A48">
        <w:rPr>
          <w:i/>
          <w:iCs/>
        </w:rPr>
        <w:t xml:space="preserve"> Small-c </w:t>
      </w:r>
      <w:r w:rsidR="0017786A">
        <w:rPr>
          <w:i/>
          <w:iCs/>
        </w:rPr>
        <w:t>C</w:t>
      </w:r>
      <w:r w:rsidR="00F53A48" w:rsidRPr="00F53A48">
        <w:rPr>
          <w:i/>
          <w:iCs/>
        </w:rPr>
        <w:t xml:space="preserve">onstitutional </w:t>
      </w:r>
      <w:r w:rsidR="0017786A">
        <w:rPr>
          <w:i/>
          <w:iCs/>
        </w:rPr>
        <w:t>R</w:t>
      </w:r>
      <w:r w:rsidR="00F53A48" w:rsidRPr="00F53A48">
        <w:rPr>
          <w:i/>
          <w:iCs/>
        </w:rPr>
        <w:t>ights</w:t>
      </w:r>
      <w:r w:rsidR="0017786A">
        <w:rPr>
          <w:smallCaps/>
        </w:rPr>
        <w:t>,</w:t>
      </w:r>
      <w:r w:rsidR="00F53A48" w:rsidRPr="0017786A">
        <w:rPr>
          <w:smallCaps/>
        </w:rPr>
        <w:t xml:space="preserve"> </w:t>
      </w:r>
      <w:r w:rsidR="0017786A" w:rsidRPr="0017786A">
        <w:rPr>
          <w:smallCaps/>
        </w:rPr>
        <w:t xml:space="preserve">Int. J. </w:t>
      </w:r>
      <w:r w:rsidR="00F53A48" w:rsidRPr="0017786A">
        <w:rPr>
          <w:smallCaps/>
        </w:rPr>
        <w:t>Con</w:t>
      </w:r>
      <w:r w:rsidR="0017786A" w:rsidRPr="0017786A">
        <w:rPr>
          <w:smallCaps/>
        </w:rPr>
        <w:t xml:space="preserve">. </w:t>
      </w:r>
      <w:r w:rsidR="00F53A48" w:rsidRPr="0017786A">
        <w:rPr>
          <w:smallCaps/>
        </w:rPr>
        <w:t>Law</w:t>
      </w:r>
      <w:r w:rsidR="00F53A48" w:rsidRPr="0017786A">
        <w:t>, 20(1), 141-176</w:t>
      </w:r>
      <w:r w:rsidR="004B3130">
        <w:t xml:space="preserve"> (</w:t>
      </w:r>
      <w:r w:rsidR="004B3130" w:rsidRPr="004B3130">
        <w:t>2022)</w:t>
      </w:r>
      <w:r>
        <w:t>. My definitions resemble those used by Eskridge</w:t>
      </w:r>
      <w:r w:rsidR="002305BB">
        <w:t xml:space="preserve"> and </w:t>
      </w:r>
      <w:proofErr w:type="spellStart"/>
      <w:r w:rsidR="002305BB">
        <w:t>Ferejohn</w:t>
      </w:r>
      <w:proofErr w:type="spellEnd"/>
      <w:r>
        <w:t xml:space="preserve">, but </w:t>
      </w:r>
      <w:r w:rsidR="004B0466">
        <w:t>the fit is not perfect.</w:t>
      </w:r>
    </w:p>
  </w:footnote>
  <w:footnote w:id="18">
    <w:p w14:paraId="6ECF0E85" w14:textId="6155D6E9" w:rsidR="003C387B" w:rsidRDefault="003C387B">
      <w:pPr>
        <w:pStyle w:val="FootnoteText"/>
      </w:pPr>
      <w:r>
        <w:rPr>
          <w:rStyle w:val="FootnoteReference"/>
        </w:rPr>
        <w:footnoteRef/>
      </w:r>
      <w:r>
        <w:t xml:space="preserve"> This is just one of the purposes that constitutions can serve. They also</w:t>
      </w:r>
      <w:r w:rsidR="001E7839">
        <w:t>, for example, determine procedures for legislative (and other forms of) action</w:t>
      </w:r>
      <w:r w:rsidR="00F16F7D">
        <w:t xml:space="preserve"> and answer a variety of questions about governmental structure. </w:t>
      </w:r>
      <w:r w:rsidR="000A096E">
        <w:rPr>
          <w:i/>
          <w:iCs/>
        </w:rPr>
        <w:t>See, e.g.</w:t>
      </w:r>
      <w:r w:rsidR="000A096E">
        <w:t xml:space="preserve">, </w:t>
      </w:r>
      <w:r w:rsidR="005A612D" w:rsidRPr="000A096E">
        <w:rPr>
          <w:smallCaps/>
        </w:rPr>
        <w:t>Chafetz</w:t>
      </w:r>
      <w:r w:rsidR="000A096E">
        <w:t xml:space="preserve">, </w:t>
      </w:r>
      <w:r w:rsidR="000A096E">
        <w:rPr>
          <w:i/>
          <w:iCs/>
        </w:rPr>
        <w:t xml:space="preserve">supra </w:t>
      </w:r>
      <w:r w:rsidR="000A096E">
        <w:t xml:space="preserve">note </w:t>
      </w:r>
      <w:r w:rsidR="000A096E">
        <w:fldChar w:fldCharType="begin"/>
      </w:r>
      <w:r w:rsidR="000A096E">
        <w:instrText xml:space="preserve"> NOTEREF _Ref185842536 \h </w:instrText>
      </w:r>
      <w:r w:rsidR="000A096E">
        <w:fldChar w:fldCharType="separate"/>
      </w:r>
      <w:r w:rsidR="00454C1B">
        <w:t>10</w:t>
      </w:r>
      <w:r w:rsidR="000A096E">
        <w:fldChar w:fldCharType="end"/>
      </w:r>
      <w:r w:rsidR="000E1D57">
        <w:t xml:space="preserve">; </w:t>
      </w:r>
      <w:r w:rsidR="002F7D3A">
        <w:t>C</w:t>
      </w:r>
      <w:r w:rsidR="002F7D3A">
        <w:rPr>
          <w:sz w:val="16"/>
        </w:rPr>
        <w:t xml:space="preserve">HRIS </w:t>
      </w:r>
      <w:r w:rsidR="002F7D3A">
        <w:t>E</w:t>
      </w:r>
      <w:r w:rsidR="002F7D3A">
        <w:rPr>
          <w:sz w:val="16"/>
        </w:rPr>
        <w:t>ISGRUBER</w:t>
      </w:r>
      <w:r w:rsidR="002F7D3A">
        <w:t>, C</w:t>
      </w:r>
      <w:r w:rsidR="002F7D3A">
        <w:rPr>
          <w:sz w:val="16"/>
        </w:rPr>
        <w:t xml:space="preserve">ONSTITUTIONAL </w:t>
      </w:r>
      <w:r w:rsidR="002F7D3A">
        <w:t>S</w:t>
      </w:r>
      <w:r w:rsidR="002F7D3A">
        <w:rPr>
          <w:sz w:val="16"/>
        </w:rPr>
        <w:t>ELF</w:t>
      </w:r>
      <w:r w:rsidR="002F7D3A">
        <w:t>-G</w:t>
      </w:r>
      <w:r w:rsidR="002F7D3A">
        <w:rPr>
          <w:sz w:val="16"/>
        </w:rPr>
        <w:t>OVERNMENT</w:t>
      </w:r>
      <w:r w:rsidR="002F7D3A">
        <w:t xml:space="preserve"> 35 (2001)</w:t>
      </w:r>
      <w:r w:rsidR="000A096E">
        <w:t>.</w:t>
      </w:r>
      <w:r w:rsidR="005A612D">
        <w:t xml:space="preserve"> </w:t>
      </w:r>
      <w:r w:rsidR="00F16F7D">
        <w:t xml:space="preserve">However, for my purposes it is helpful to simplify. </w:t>
      </w:r>
    </w:p>
  </w:footnote>
  <w:footnote w:id="19">
    <w:p w14:paraId="2CB87A8A" w14:textId="0CABEA68" w:rsidR="00AA6308" w:rsidRPr="00AA6308" w:rsidRDefault="00AA6308">
      <w:pPr>
        <w:pStyle w:val="FootnoteText"/>
      </w:pPr>
      <w:r>
        <w:rPr>
          <w:rStyle w:val="FootnoteReference"/>
        </w:rPr>
        <w:footnoteRef/>
      </w:r>
      <w:r>
        <w:t xml:space="preserve"> </w:t>
      </w:r>
      <w:r w:rsidRPr="002F53D7">
        <w:t>See</w:t>
      </w:r>
      <w:r w:rsidR="002F53D7">
        <w:rPr>
          <w:i/>
          <w:iCs/>
        </w:rPr>
        <w:t xml:space="preserve"> </w:t>
      </w:r>
      <w:r w:rsidR="002F53D7" w:rsidRPr="000A096E">
        <w:rPr>
          <w:smallCaps/>
        </w:rPr>
        <w:t>Chafetz</w:t>
      </w:r>
      <w:r w:rsidR="002F53D7">
        <w:rPr>
          <w:smallCaps/>
        </w:rPr>
        <w:t>,</w:t>
      </w:r>
      <w:r>
        <w:t xml:space="preserve"> </w:t>
      </w:r>
      <w:r w:rsidR="002F53D7">
        <w:rPr>
          <w:i/>
          <w:iCs/>
        </w:rPr>
        <w:t xml:space="preserve">supra </w:t>
      </w:r>
      <w:r w:rsidR="002F53D7">
        <w:t xml:space="preserve">note </w:t>
      </w:r>
      <w:r w:rsidR="002F53D7">
        <w:fldChar w:fldCharType="begin"/>
      </w:r>
      <w:r w:rsidR="002F53D7">
        <w:instrText xml:space="preserve"> NOTEREF _Ref185842536 \h </w:instrText>
      </w:r>
      <w:r w:rsidR="002F53D7">
        <w:fldChar w:fldCharType="separate"/>
      </w:r>
      <w:r w:rsidR="00454C1B">
        <w:t>10</w:t>
      </w:r>
      <w:r w:rsidR="002F53D7">
        <w:fldChar w:fldCharType="end"/>
      </w:r>
      <w:r w:rsidR="002F53D7">
        <w:t xml:space="preserve">, </w:t>
      </w:r>
      <w:r>
        <w:t>at xx.</w:t>
      </w:r>
    </w:p>
  </w:footnote>
  <w:footnote w:id="20">
    <w:p w14:paraId="5A5FF5AA" w14:textId="53DD1C3B" w:rsidR="00C911A8" w:rsidRDefault="00C911A8">
      <w:pPr>
        <w:pStyle w:val="FootnoteText"/>
      </w:pPr>
      <w:r>
        <w:rPr>
          <w:rStyle w:val="FootnoteReference"/>
        </w:rPr>
        <w:footnoteRef/>
      </w:r>
      <w:r>
        <w:t xml:space="preserve"> Committee </w:t>
      </w:r>
      <w:r w:rsidR="00CE1D5D">
        <w:t xml:space="preserve">and conference reports can be seen as performing something like this function, as can rulings in response to constitutional points of order. See </w:t>
      </w:r>
      <w:r w:rsidR="006D388F">
        <w:t xml:space="preserve">Mark </w:t>
      </w:r>
      <w:proofErr w:type="spellStart"/>
      <w:r w:rsidR="00CE1D5D">
        <w:t>Tushnet</w:t>
      </w:r>
      <w:proofErr w:type="spellEnd"/>
      <w:r w:rsidR="002F7E24">
        <w:t xml:space="preserve">, </w:t>
      </w:r>
      <w:r w:rsidR="006D388F" w:rsidRPr="0059361E">
        <w:rPr>
          <w:i/>
          <w:iCs/>
        </w:rPr>
        <w:t>Non-</w:t>
      </w:r>
      <w:r w:rsidR="002F7E24" w:rsidRPr="0059361E">
        <w:rPr>
          <w:i/>
          <w:iCs/>
        </w:rPr>
        <w:t>J</w:t>
      </w:r>
      <w:r w:rsidR="006D388F" w:rsidRPr="0059361E">
        <w:rPr>
          <w:i/>
          <w:iCs/>
        </w:rPr>
        <w:t xml:space="preserve">udicial </w:t>
      </w:r>
      <w:r w:rsidR="002F7E24" w:rsidRPr="0059361E">
        <w:rPr>
          <w:i/>
          <w:iCs/>
        </w:rPr>
        <w:t>R</w:t>
      </w:r>
      <w:r w:rsidR="006D388F" w:rsidRPr="0059361E">
        <w:rPr>
          <w:i/>
          <w:iCs/>
        </w:rPr>
        <w:t>eview</w:t>
      </w:r>
      <w:r w:rsidR="002F7E24">
        <w:t xml:space="preserve">, 40 </w:t>
      </w:r>
      <w:r w:rsidR="006D388F" w:rsidRPr="002F7E24">
        <w:rPr>
          <w:smallCaps/>
        </w:rPr>
        <w:t>Harv. J. Legis.</w:t>
      </w:r>
      <w:r w:rsidR="002F7E24">
        <w:rPr>
          <w:smallCaps/>
        </w:rPr>
        <w:t xml:space="preserve"> </w:t>
      </w:r>
      <w:r w:rsidR="002F7E24">
        <w:t xml:space="preserve">453, </w:t>
      </w:r>
      <w:r w:rsidR="00E12214" w:rsidRPr="006D388F">
        <w:t>45</w:t>
      </w:r>
      <w:r w:rsidR="00E12214">
        <w:t>6-68</w:t>
      </w:r>
      <w:r w:rsidR="00E12214" w:rsidRPr="006D388F">
        <w:t xml:space="preserve"> </w:t>
      </w:r>
      <w:r w:rsidR="006D388F" w:rsidRPr="006D388F">
        <w:t>(2003)</w:t>
      </w:r>
      <w:r w:rsidR="00CE1D5D">
        <w:t xml:space="preserve">. </w:t>
      </w:r>
      <w:r w:rsidR="00F96286">
        <w:t xml:space="preserve">However, there is no reason to think that the principles included in these sources exhaust Congress’s </w:t>
      </w:r>
      <w:r w:rsidR="00B25FFE">
        <w:t xml:space="preserve">stock of generally-accepted principles. </w:t>
      </w:r>
      <w:r w:rsidR="000A529D">
        <w:t xml:space="preserve">Unlike judges, </w:t>
      </w:r>
      <w:r w:rsidR="009B6DE6">
        <w:t xml:space="preserve">MCs must explain themselves in a wide variety of settings in order to get reelected. </w:t>
      </w:r>
      <w:r w:rsidR="009E1BF0" w:rsidRPr="00FE5AD4">
        <w:rPr>
          <w:i/>
          <w:iCs/>
        </w:rPr>
        <w:t>See</w:t>
      </w:r>
      <w:r w:rsidR="009E1BF0">
        <w:t xml:space="preserve"> </w:t>
      </w:r>
      <w:r w:rsidR="00F57112">
        <w:t>Keith</w:t>
      </w:r>
      <w:r w:rsidR="00F57112">
        <w:rPr>
          <w:spacing w:val="-8"/>
        </w:rPr>
        <w:t xml:space="preserve"> </w:t>
      </w:r>
      <w:r w:rsidR="00F57112">
        <w:t>E.</w:t>
      </w:r>
      <w:r w:rsidR="00F57112">
        <w:rPr>
          <w:spacing w:val="-8"/>
        </w:rPr>
        <w:t xml:space="preserve"> </w:t>
      </w:r>
      <w:r w:rsidR="00F57112">
        <w:t>Whittington,</w:t>
      </w:r>
      <w:r w:rsidR="00F57112">
        <w:rPr>
          <w:spacing w:val="-8"/>
        </w:rPr>
        <w:t xml:space="preserve"> </w:t>
      </w:r>
      <w:r w:rsidR="00F57112">
        <w:rPr>
          <w:i/>
        </w:rPr>
        <w:t>Extrajudicial</w:t>
      </w:r>
      <w:r w:rsidR="00F57112">
        <w:rPr>
          <w:i/>
          <w:spacing w:val="-9"/>
        </w:rPr>
        <w:t xml:space="preserve"> </w:t>
      </w:r>
      <w:r w:rsidR="00F57112">
        <w:rPr>
          <w:i/>
        </w:rPr>
        <w:t>Constitutional</w:t>
      </w:r>
      <w:r w:rsidR="00F57112">
        <w:rPr>
          <w:i/>
          <w:spacing w:val="-8"/>
        </w:rPr>
        <w:t xml:space="preserve"> </w:t>
      </w:r>
      <w:r w:rsidR="00F57112">
        <w:rPr>
          <w:i/>
        </w:rPr>
        <w:t>Interpretation:</w:t>
      </w:r>
      <w:r w:rsidR="00F57112">
        <w:rPr>
          <w:i/>
          <w:spacing w:val="2"/>
        </w:rPr>
        <w:t xml:space="preserve"> </w:t>
      </w:r>
      <w:r w:rsidR="00F57112">
        <w:rPr>
          <w:i/>
        </w:rPr>
        <w:t>Three</w:t>
      </w:r>
      <w:r w:rsidR="00F57112">
        <w:rPr>
          <w:i/>
          <w:spacing w:val="-8"/>
        </w:rPr>
        <w:t xml:space="preserve"> </w:t>
      </w:r>
      <w:r w:rsidR="00F57112">
        <w:rPr>
          <w:i/>
        </w:rPr>
        <w:t>Objections</w:t>
      </w:r>
      <w:r w:rsidR="00F57112">
        <w:rPr>
          <w:i/>
          <w:spacing w:val="-8"/>
        </w:rPr>
        <w:t xml:space="preserve"> </w:t>
      </w:r>
      <w:r w:rsidR="00F57112">
        <w:rPr>
          <w:i/>
        </w:rPr>
        <w:t>and</w:t>
      </w:r>
      <w:r w:rsidR="00F57112">
        <w:rPr>
          <w:i/>
          <w:spacing w:val="-8"/>
        </w:rPr>
        <w:t xml:space="preserve"> </w:t>
      </w:r>
      <w:r w:rsidR="00F57112">
        <w:rPr>
          <w:i/>
        </w:rPr>
        <w:t>Responses</w:t>
      </w:r>
      <w:r w:rsidR="00F57112">
        <w:t>,</w:t>
      </w:r>
      <w:r w:rsidR="00F57112">
        <w:rPr>
          <w:spacing w:val="-48"/>
        </w:rPr>
        <w:t xml:space="preserve"> </w:t>
      </w:r>
      <w:r w:rsidR="00F57112">
        <w:t>80</w:t>
      </w:r>
      <w:r w:rsidR="00F57112">
        <w:rPr>
          <w:spacing w:val="4"/>
        </w:rPr>
        <w:t xml:space="preserve"> </w:t>
      </w:r>
      <w:r w:rsidR="00F57112">
        <w:t>N.C.</w:t>
      </w:r>
      <w:r w:rsidR="00F57112">
        <w:rPr>
          <w:spacing w:val="9"/>
        </w:rPr>
        <w:t xml:space="preserve"> </w:t>
      </w:r>
      <w:r w:rsidR="00F57112">
        <w:t>L.</w:t>
      </w:r>
      <w:r w:rsidR="00F57112">
        <w:rPr>
          <w:spacing w:val="9"/>
        </w:rPr>
        <w:t xml:space="preserve"> </w:t>
      </w:r>
      <w:r w:rsidR="00F57112">
        <w:t>R</w:t>
      </w:r>
      <w:r w:rsidR="00F57112">
        <w:rPr>
          <w:sz w:val="16"/>
        </w:rPr>
        <w:t>EV</w:t>
      </w:r>
      <w:r w:rsidR="00F57112">
        <w:t>.</w:t>
      </w:r>
      <w:r w:rsidR="00F57112">
        <w:rPr>
          <w:spacing w:val="17"/>
        </w:rPr>
        <w:t xml:space="preserve"> </w:t>
      </w:r>
      <w:r w:rsidR="00F57112">
        <w:t>773,</w:t>
      </w:r>
      <w:r w:rsidR="00F57112">
        <w:rPr>
          <w:spacing w:val="-1"/>
        </w:rPr>
        <w:t xml:space="preserve"> </w:t>
      </w:r>
      <w:r w:rsidR="00F57112">
        <w:t>82</w:t>
      </w:r>
      <w:r w:rsidR="00AD40C5">
        <w:t>2-24</w:t>
      </w:r>
      <w:r w:rsidR="00F57112">
        <w:rPr>
          <w:spacing w:val="-1"/>
        </w:rPr>
        <w:t xml:space="preserve"> </w:t>
      </w:r>
      <w:r w:rsidR="00F57112">
        <w:t>(2002)</w:t>
      </w:r>
      <w:r w:rsidR="009E1BF0">
        <w:t xml:space="preserve">. </w:t>
      </w:r>
      <w:r w:rsidR="000A529D">
        <w:t>They do not need to speak through official documents</w:t>
      </w:r>
      <w:r w:rsidR="00EA645E">
        <w:t xml:space="preserve"> to express themselves.</w:t>
      </w:r>
    </w:p>
  </w:footnote>
  <w:footnote w:id="21">
    <w:p w14:paraId="2669FD71" w14:textId="1A38FA63" w:rsidR="008415E8" w:rsidRDefault="008415E8">
      <w:pPr>
        <w:pStyle w:val="FootnoteText"/>
      </w:pPr>
      <w:r>
        <w:rPr>
          <w:rStyle w:val="FootnoteReference"/>
        </w:rPr>
        <w:footnoteRef/>
      </w:r>
      <w:r>
        <w:t xml:space="preserve"> </w:t>
      </w:r>
      <w:r w:rsidR="0029304B" w:rsidRPr="0029304B">
        <w:t>M. Todd.</w:t>
      </w:r>
      <w:r w:rsidR="00D171FE">
        <w:t xml:space="preserve"> </w:t>
      </w:r>
      <w:r w:rsidR="00D171FE" w:rsidRPr="0029304B">
        <w:t>Henderson,</w:t>
      </w:r>
      <w:r w:rsidR="0029304B" w:rsidRPr="0029304B">
        <w:t xml:space="preserve"> </w:t>
      </w:r>
      <w:r w:rsidR="0029304B" w:rsidRPr="00D171FE">
        <w:rPr>
          <w:i/>
          <w:iCs/>
        </w:rPr>
        <w:t xml:space="preserve">From </w:t>
      </w:r>
      <w:r w:rsidR="00D171FE" w:rsidRPr="00D171FE">
        <w:rPr>
          <w:i/>
          <w:iCs/>
        </w:rPr>
        <w:t>S</w:t>
      </w:r>
      <w:r w:rsidR="0029304B" w:rsidRPr="00D171FE">
        <w:rPr>
          <w:i/>
          <w:iCs/>
        </w:rPr>
        <w:t xml:space="preserve">eriatim to </w:t>
      </w:r>
      <w:r w:rsidR="00D171FE" w:rsidRPr="00D171FE">
        <w:rPr>
          <w:i/>
          <w:iCs/>
        </w:rPr>
        <w:t>C</w:t>
      </w:r>
      <w:r w:rsidR="0029304B" w:rsidRPr="00D171FE">
        <w:rPr>
          <w:i/>
          <w:iCs/>
        </w:rPr>
        <w:t xml:space="preserve">onsensus and </w:t>
      </w:r>
      <w:r w:rsidR="00D171FE" w:rsidRPr="00D171FE">
        <w:rPr>
          <w:i/>
          <w:iCs/>
        </w:rPr>
        <w:t>B</w:t>
      </w:r>
      <w:r w:rsidR="0029304B" w:rsidRPr="00D171FE">
        <w:rPr>
          <w:i/>
          <w:iCs/>
        </w:rPr>
        <w:t xml:space="preserve">ack </w:t>
      </w:r>
      <w:r w:rsidR="00D171FE" w:rsidRPr="00D171FE">
        <w:rPr>
          <w:i/>
          <w:iCs/>
        </w:rPr>
        <w:t>A</w:t>
      </w:r>
      <w:r w:rsidR="0029304B" w:rsidRPr="00D171FE">
        <w:rPr>
          <w:i/>
          <w:iCs/>
        </w:rPr>
        <w:t xml:space="preserve">gain: </w:t>
      </w:r>
      <w:r w:rsidR="00D171FE" w:rsidRPr="00D171FE">
        <w:rPr>
          <w:i/>
          <w:iCs/>
        </w:rPr>
        <w:t>A</w:t>
      </w:r>
      <w:r w:rsidR="0029304B" w:rsidRPr="00D171FE">
        <w:rPr>
          <w:i/>
          <w:iCs/>
        </w:rPr>
        <w:t xml:space="preserve"> </w:t>
      </w:r>
      <w:r w:rsidR="00D171FE" w:rsidRPr="00D171FE">
        <w:rPr>
          <w:i/>
          <w:iCs/>
        </w:rPr>
        <w:t>T</w:t>
      </w:r>
      <w:r w:rsidR="0029304B" w:rsidRPr="00D171FE">
        <w:rPr>
          <w:i/>
          <w:iCs/>
        </w:rPr>
        <w:t xml:space="preserve">heory of </w:t>
      </w:r>
      <w:r w:rsidR="00D171FE" w:rsidRPr="00D171FE">
        <w:rPr>
          <w:i/>
          <w:iCs/>
        </w:rPr>
        <w:t>D</w:t>
      </w:r>
      <w:r w:rsidR="0029304B" w:rsidRPr="00D171FE">
        <w:rPr>
          <w:i/>
          <w:iCs/>
        </w:rPr>
        <w:t>issent</w:t>
      </w:r>
      <w:r w:rsidR="00D171FE">
        <w:t xml:space="preserve">, </w:t>
      </w:r>
      <w:r w:rsidR="00D171FE" w:rsidRPr="0029304B">
        <w:t>2007</w:t>
      </w:r>
      <w:r w:rsidR="00D171FE">
        <w:rPr>
          <w:smallCaps/>
        </w:rPr>
        <w:t xml:space="preserve"> </w:t>
      </w:r>
      <w:r w:rsidR="0029304B" w:rsidRPr="00D171FE">
        <w:rPr>
          <w:smallCaps/>
        </w:rPr>
        <w:t>Sup</w:t>
      </w:r>
      <w:r w:rsidR="00D171FE">
        <w:rPr>
          <w:smallCaps/>
        </w:rPr>
        <w:t xml:space="preserve">. </w:t>
      </w:r>
      <w:r w:rsidR="0029304B" w:rsidRPr="00D171FE">
        <w:rPr>
          <w:smallCaps/>
        </w:rPr>
        <w:t>C</w:t>
      </w:r>
      <w:r w:rsidR="00D171FE">
        <w:rPr>
          <w:smallCaps/>
        </w:rPr>
        <w:t xml:space="preserve">t. </w:t>
      </w:r>
      <w:r w:rsidR="0029304B" w:rsidRPr="00D171FE">
        <w:rPr>
          <w:smallCaps/>
        </w:rPr>
        <w:t>Rev</w:t>
      </w:r>
      <w:r w:rsidR="00D171FE">
        <w:rPr>
          <w:smallCaps/>
        </w:rPr>
        <w:t>.</w:t>
      </w:r>
      <w:r w:rsidR="0029304B" w:rsidRPr="0029304B">
        <w:t xml:space="preserve"> </w:t>
      </w:r>
      <w:r w:rsidR="00721209">
        <w:t xml:space="preserve">283, </w:t>
      </w:r>
      <w:r w:rsidR="008265C2">
        <w:t>292</w:t>
      </w:r>
      <w:r w:rsidR="00B5483B">
        <w:t>-</w:t>
      </w:r>
      <w:r w:rsidR="008265C2">
        <w:t>3</w:t>
      </w:r>
      <w:r w:rsidR="00B5483B">
        <w:t>11</w:t>
      </w:r>
      <w:r w:rsidR="00721209">
        <w:t xml:space="preserve"> (2007)</w:t>
      </w:r>
      <w:r>
        <w:t>.</w:t>
      </w:r>
    </w:p>
  </w:footnote>
  <w:footnote w:id="22">
    <w:p w14:paraId="68DFD773" w14:textId="17224673" w:rsidR="008346CC" w:rsidRDefault="008346CC">
      <w:pPr>
        <w:pStyle w:val="FootnoteText"/>
      </w:pPr>
      <w:r>
        <w:rPr>
          <w:rStyle w:val="FootnoteReference"/>
        </w:rPr>
        <w:footnoteRef/>
      </w:r>
      <w:r w:rsidR="00706E68" w:rsidRPr="00706E68">
        <w:t xml:space="preserve"> Kenneth A.</w:t>
      </w:r>
      <w:r w:rsidR="00612392">
        <w:t xml:space="preserve"> </w:t>
      </w:r>
      <w:proofErr w:type="spellStart"/>
      <w:r w:rsidR="00612392" w:rsidRPr="00706E68">
        <w:t>Shepsle</w:t>
      </w:r>
      <w:proofErr w:type="spellEnd"/>
      <w:r w:rsidR="00612392">
        <w:t>,</w:t>
      </w:r>
      <w:r w:rsidR="00706E68" w:rsidRPr="00706E68">
        <w:t xml:space="preserve"> </w:t>
      </w:r>
      <w:r w:rsidR="00706E68" w:rsidRPr="00612392">
        <w:rPr>
          <w:i/>
          <w:iCs/>
        </w:rPr>
        <w:t>Congress is a “</w:t>
      </w:r>
      <w:r w:rsidR="00612392" w:rsidRPr="00612392">
        <w:rPr>
          <w:i/>
          <w:iCs/>
        </w:rPr>
        <w:t>T</w:t>
      </w:r>
      <w:r w:rsidR="00706E68" w:rsidRPr="00612392">
        <w:rPr>
          <w:i/>
          <w:iCs/>
        </w:rPr>
        <w:t xml:space="preserve">hey,” </w:t>
      </w:r>
      <w:r w:rsidR="00612392" w:rsidRPr="00612392">
        <w:rPr>
          <w:i/>
          <w:iCs/>
        </w:rPr>
        <w:t>N</w:t>
      </w:r>
      <w:r w:rsidR="00706E68" w:rsidRPr="00612392">
        <w:rPr>
          <w:i/>
          <w:iCs/>
        </w:rPr>
        <w:t xml:space="preserve">ot </w:t>
      </w:r>
      <w:r w:rsidR="00612392" w:rsidRPr="00612392">
        <w:rPr>
          <w:i/>
          <w:iCs/>
        </w:rPr>
        <w:t>a</w:t>
      </w:r>
      <w:r w:rsidR="00706E68" w:rsidRPr="00612392">
        <w:rPr>
          <w:i/>
          <w:iCs/>
        </w:rPr>
        <w:t>n “</w:t>
      </w:r>
      <w:r w:rsidR="00612392" w:rsidRPr="00612392">
        <w:rPr>
          <w:i/>
          <w:iCs/>
        </w:rPr>
        <w:t>I</w:t>
      </w:r>
      <w:r w:rsidR="00706E68" w:rsidRPr="00612392">
        <w:rPr>
          <w:i/>
          <w:iCs/>
        </w:rPr>
        <w:t>t”</w:t>
      </w:r>
      <w:r w:rsidR="004931D0" w:rsidRPr="004931D0">
        <w:rPr>
          <w:i/>
          <w:iCs/>
        </w:rPr>
        <w:t>:</w:t>
      </w:r>
      <w:r w:rsidR="004931D0">
        <w:rPr>
          <w:i/>
          <w:iCs/>
        </w:rPr>
        <w:t xml:space="preserve"> </w:t>
      </w:r>
      <w:r w:rsidR="00706E68" w:rsidRPr="004931D0">
        <w:rPr>
          <w:i/>
          <w:iCs/>
        </w:rPr>
        <w:t xml:space="preserve">Legislative </w:t>
      </w:r>
      <w:r w:rsidR="004931D0">
        <w:rPr>
          <w:i/>
          <w:iCs/>
        </w:rPr>
        <w:t>I</w:t>
      </w:r>
      <w:r w:rsidR="00706E68" w:rsidRPr="004931D0">
        <w:rPr>
          <w:i/>
          <w:iCs/>
        </w:rPr>
        <w:t xml:space="preserve">ntent as </w:t>
      </w:r>
      <w:r w:rsidR="004931D0" w:rsidRPr="000F1B2E">
        <w:rPr>
          <w:i/>
          <w:iCs/>
        </w:rPr>
        <w:t>O</w:t>
      </w:r>
      <w:r w:rsidR="00706E68" w:rsidRPr="000F1B2E">
        <w:rPr>
          <w:i/>
          <w:iCs/>
        </w:rPr>
        <w:t>xymoron</w:t>
      </w:r>
      <w:r w:rsidR="000F1B2E">
        <w:t xml:space="preserve">, 12 </w:t>
      </w:r>
      <w:r w:rsidR="00210768" w:rsidRPr="00210768">
        <w:rPr>
          <w:smallCaps/>
        </w:rPr>
        <w:t>Int. Rev. L. Econ. 239 (1992)</w:t>
      </w:r>
      <w:r w:rsidR="00706E68" w:rsidRPr="00706E68">
        <w:t>.</w:t>
      </w:r>
    </w:p>
  </w:footnote>
  <w:footnote w:id="23">
    <w:p w14:paraId="2080C971" w14:textId="2560B7B3" w:rsidR="004B0605" w:rsidRDefault="004B0605">
      <w:pPr>
        <w:pStyle w:val="FootnoteText"/>
      </w:pPr>
      <w:r>
        <w:rPr>
          <w:rStyle w:val="FootnoteReference"/>
        </w:rPr>
        <w:footnoteRef/>
      </w:r>
      <w:r>
        <w:t xml:space="preserve"> </w:t>
      </w:r>
      <w:r w:rsidRPr="00A223F6">
        <w:rPr>
          <w:i/>
          <w:iCs/>
        </w:rPr>
        <w:t>See</w:t>
      </w:r>
      <w:r>
        <w:t xml:space="preserve"> </w:t>
      </w:r>
      <w:r w:rsidR="00A223F6" w:rsidRPr="00A223F6">
        <w:rPr>
          <w:smallCaps/>
        </w:rPr>
        <w:t xml:space="preserve">David </w:t>
      </w:r>
      <w:r w:rsidRPr="00A223F6">
        <w:rPr>
          <w:smallCaps/>
        </w:rPr>
        <w:t xml:space="preserve">Mayhew, </w:t>
      </w:r>
      <w:r w:rsidR="00A223F6" w:rsidRPr="00A223F6">
        <w:rPr>
          <w:smallCaps/>
        </w:rPr>
        <w:t>T</w:t>
      </w:r>
      <w:r w:rsidRPr="00A223F6">
        <w:rPr>
          <w:smallCaps/>
        </w:rPr>
        <w:t>he Imprint of Congress</w:t>
      </w:r>
      <w:r w:rsidR="00A223F6">
        <w:t xml:space="preserve"> (2017)</w:t>
      </w:r>
      <w:r>
        <w:t>.</w:t>
      </w:r>
    </w:p>
  </w:footnote>
  <w:footnote w:id="24">
    <w:p w14:paraId="5CDEB3E1" w14:textId="1B323D30" w:rsidR="00D13FC9" w:rsidRDefault="00D13FC9" w:rsidP="00F71D5E">
      <w:pPr>
        <w:pStyle w:val="FootnoteText"/>
      </w:pPr>
      <w:r>
        <w:rPr>
          <w:rStyle w:val="FootnoteReference"/>
        </w:rPr>
        <w:footnoteRef/>
      </w:r>
      <w:r>
        <w:t xml:space="preserve"> </w:t>
      </w:r>
      <w:r w:rsidR="006C3F66" w:rsidRPr="006C3F66">
        <w:rPr>
          <w:smallCaps/>
        </w:rPr>
        <w:t>A Matter of Principle</w:t>
      </w:r>
      <w:r w:rsidR="006C3F66">
        <w:t xml:space="preserve"> 33-34 (1985); </w:t>
      </w:r>
      <w:r w:rsidR="00F71D5E" w:rsidRPr="00F71D5E">
        <w:rPr>
          <w:smallCaps/>
        </w:rPr>
        <w:t>Taking Rights Seriously</w:t>
      </w:r>
      <w:r w:rsidR="00EC0BDA">
        <w:rPr>
          <w:smallCaps/>
        </w:rPr>
        <w:t xml:space="preserve"> [</w:t>
      </w:r>
      <w:r w:rsidR="00EC0BDA">
        <w:t>hereafter TRS]</w:t>
      </w:r>
      <w:r w:rsidR="00F71D5E">
        <w:t xml:space="preserve"> </w:t>
      </w:r>
      <w:r w:rsidR="00D605F0">
        <w:t xml:space="preserve">22, </w:t>
      </w:r>
      <w:r w:rsidR="00BF38C9">
        <w:t xml:space="preserve">33-34, </w:t>
      </w:r>
      <w:r w:rsidR="00F71D5E">
        <w:t>90</w:t>
      </w:r>
      <w:r w:rsidR="00DA5F6E">
        <w:t xml:space="preserve"> (1978)</w:t>
      </w:r>
      <w:r w:rsidR="00D8117E">
        <w:t xml:space="preserve">; </w:t>
      </w:r>
      <w:r w:rsidR="00D8117E" w:rsidRPr="003E4D78">
        <w:rPr>
          <w:smallCaps/>
        </w:rPr>
        <w:t>Freedom’s Law</w:t>
      </w:r>
      <w:r w:rsidR="003E4D78" w:rsidRPr="003E4D78">
        <w:rPr>
          <w:smallCaps/>
        </w:rPr>
        <w:t xml:space="preserve">: </w:t>
      </w:r>
      <w:r w:rsidR="001900BC" w:rsidRPr="003E4D78">
        <w:rPr>
          <w:smallCaps/>
        </w:rPr>
        <w:t xml:space="preserve">A Moral Reading </w:t>
      </w:r>
      <w:r w:rsidR="003E4D78" w:rsidRPr="003E4D78">
        <w:rPr>
          <w:smallCaps/>
        </w:rPr>
        <w:t xml:space="preserve">Of The </w:t>
      </w:r>
      <w:r w:rsidR="001900BC" w:rsidRPr="003E4D78">
        <w:rPr>
          <w:smallCaps/>
        </w:rPr>
        <w:t>United States Constitution</w:t>
      </w:r>
      <w:r w:rsidR="00D8117E">
        <w:t xml:space="preserve"> 34 (1996)</w:t>
      </w:r>
      <w:r w:rsidR="00F71D5E">
        <w:t xml:space="preserve">. </w:t>
      </w:r>
      <w:r w:rsidR="00383B85">
        <w:t xml:space="preserve">See also </w:t>
      </w:r>
      <w:r w:rsidR="00B16A5B" w:rsidRPr="00B16A5B">
        <w:rPr>
          <w:smallCaps/>
        </w:rPr>
        <w:t>Edward S. Corwin, The Doctrine of Judicial Review</w:t>
      </w:r>
      <w:r w:rsidR="00B16A5B">
        <w:t xml:space="preserve"> 64 (1914)</w:t>
      </w:r>
      <w:r w:rsidR="00517A3D">
        <w:t xml:space="preserve">; </w:t>
      </w:r>
      <w:r w:rsidR="00517A3D" w:rsidRPr="00517A3D">
        <w:t xml:space="preserve">Herbert Wechsler, </w:t>
      </w:r>
      <w:r w:rsidR="00517A3D" w:rsidRPr="00FE4059">
        <w:rPr>
          <w:i/>
          <w:iCs/>
        </w:rPr>
        <w:t>Toward Neutral Principles</w:t>
      </w:r>
      <w:r w:rsidR="00FE4059" w:rsidRPr="00FE4059">
        <w:rPr>
          <w:i/>
          <w:iCs/>
        </w:rPr>
        <w:t xml:space="preserve"> </w:t>
      </w:r>
      <w:r w:rsidR="00517A3D" w:rsidRPr="00FE4059">
        <w:rPr>
          <w:i/>
          <w:iCs/>
        </w:rPr>
        <w:t>of Constitutional</w:t>
      </w:r>
      <w:r w:rsidR="00FE4059" w:rsidRPr="00FE4059">
        <w:rPr>
          <w:i/>
          <w:iCs/>
        </w:rPr>
        <w:t xml:space="preserve"> </w:t>
      </w:r>
      <w:r w:rsidR="00517A3D" w:rsidRPr="00FE4059">
        <w:rPr>
          <w:i/>
          <w:iCs/>
        </w:rPr>
        <w:t>Law</w:t>
      </w:r>
      <w:r w:rsidR="00517A3D" w:rsidRPr="00517A3D">
        <w:t xml:space="preserve">, 73 </w:t>
      </w:r>
      <w:r w:rsidR="00FE4059" w:rsidRPr="00FE4059">
        <w:rPr>
          <w:smallCaps/>
        </w:rPr>
        <w:t>Harv. L. Rev</w:t>
      </w:r>
      <w:r w:rsidR="00517A3D" w:rsidRPr="00517A3D">
        <w:t>. 1, 19 (1959) ("[The courts] are bound to function otherwise than as a naked power organ; they participate as courts of law</w:t>
      </w:r>
      <w:r w:rsidR="003E4D78">
        <w:t xml:space="preserve"> . . .</w:t>
      </w:r>
      <w:r w:rsidR="00517A3D" w:rsidRPr="00517A3D">
        <w:t xml:space="preserve"> in that they are</w:t>
      </w:r>
      <w:r w:rsidR="00B65F22">
        <w:t xml:space="preserve"> – </w:t>
      </w:r>
      <w:r w:rsidR="00517A3D" w:rsidRPr="00517A3D">
        <w:t>or are obliged to be</w:t>
      </w:r>
      <w:r w:rsidR="00B65F22">
        <w:t xml:space="preserve"> – </w:t>
      </w:r>
      <w:r w:rsidR="00517A3D" w:rsidRPr="00517A3D">
        <w:t>entirely principled.</w:t>
      </w:r>
      <w:r w:rsidR="00B65F22">
        <w:t>”</w:t>
      </w:r>
      <w:r w:rsidR="00517A3D" w:rsidRPr="00517A3D">
        <w:t>)</w:t>
      </w:r>
      <w:r w:rsidR="001E2460">
        <w:t xml:space="preserve">; </w:t>
      </w:r>
      <w:r w:rsidR="001E2460" w:rsidRPr="001E2460">
        <w:t xml:space="preserve">Henry M. Hart, Jr., </w:t>
      </w:r>
      <w:r w:rsidR="001E2460" w:rsidRPr="00F85C4D">
        <w:rPr>
          <w:i/>
          <w:iCs/>
        </w:rPr>
        <w:t>The Time Chart</w:t>
      </w:r>
      <w:r w:rsidR="00F85C4D" w:rsidRPr="00F85C4D">
        <w:rPr>
          <w:i/>
          <w:iCs/>
        </w:rPr>
        <w:t xml:space="preserve"> </w:t>
      </w:r>
      <w:r w:rsidR="001E2460" w:rsidRPr="00F85C4D">
        <w:rPr>
          <w:i/>
          <w:iCs/>
        </w:rPr>
        <w:t>of the Justices</w:t>
      </w:r>
      <w:r w:rsidR="001E2460" w:rsidRPr="001E2460">
        <w:t xml:space="preserve">, 73 </w:t>
      </w:r>
      <w:r w:rsidR="00F85C4D" w:rsidRPr="00F85C4D">
        <w:rPr>
          <w:smallCaps/>
        </w:rPr>
        <w:t xml:space="preserve">Harv. L. Rev. </w:t>
      </w:r>
      <w:r w:rsidR="001E2460" w:rsidRPr="001E2460">
        <w:t>84, 99 (1959) (</w:t>
      </w:r>
      <w:r w:rsidR="001E2460">
        <w:t>“</w:t>
      </w:r>
      <w:r w:rsidR="001E2460" w:rsidRPr="001E2460">
        <w:t>Only opinions which are grounded in reason</w:t>
      </w:r>
      <w:r w:rsidR="001E2460">
        <w:t xml:space="preserve"> . . .</w:t>
      </w:r>
      <w:r w:rsidR="001E2460" w:rsidRPr="001E2460">
        <w:t>, can do the job which the Supreme Court of the United States has to do.</w:t>
      </w:r>
      <w:r w:rsidR="001E2460">
        <w:t>”</w:t>
      </w:r>
      <w:r w:rsidR="001E2460" w:rsidRPr="001E2460">
        <w:t>)</w:t>
      </w:r>
      <w:r w:rsidR="00BD59F9">
        <w:t xml:space="preserve">; </w:t>
      </w:r>
      <w:r w:rsidR="00BD59F9" w:rsidRPr="00BD59F9">
        <w:t xml:space="preserve">Harry H. Wellington, </w:t>
      </w:r>
      <w:r w:rsidR="00BD59F9" w:rsidRPr="00D77796">
        <w:rPr>
          <w:i/>
          <w:iCs/>
        </w:rPr>
        <w:t>Common Law Rules and Constitutional</w:t>
      </w:r>
      <w:r w:rsidR="00D77796" w:rsidRPr="00D77796">
        <w:rPr>
          <w:i/>
          <w:iCs/>
        </w:rPr>
        <w:t xml:space="preserve"> </w:t>
      </w:r>
      <w:r w:rsidR="00BD59F9" w:rsidRPr="00D77796">
        <w:rPr>
          <w:i/>
          <w:iCs/>
        </w:rPr>
        <w:t>Double Standards: Some Notes on Adjudication</w:t>
      </w:r>
      <w:r w:rsidR="00BD59F9" w:rsidRPr="00BD59F9">
        <w:t xml:space="preserve">, 83 </w:t>
      </w:r>
      <w:r w:rsidR="009F2EA1" w:rsidRPr="009F2EA1">
        <w:rPr>
          <w:smallCaps/>
        </w:rPr>
        <w:t>Yale</w:t>
      </w:r>
      <w:r w:rsidR="009F2EA1" w:rsidRPr="00BD59F9">
        <w:t xml:space="preserve"> </w:t>
      </w:r>
      <w:r w:rsidR="00BD59F9" w:rsidRPr="00BD59F9">
        <w:t xml:space="preserve">LJ. 221, 246-47 (1973) (A legislature </w:t>
      </w:r>
      <w:r w:rsidR="00BD59F9">
        <w:t>“</w:t>
      </w:r>
      <w:r w:rsidR="00BD59F9" w:rsidRPr="00BD59F9">
        <w:t>would be constructed with the understanding that it was to respond to the people's exercise of political power.</w:t>
      </w:r>
      <w:r w:rsidR="00BD59F9">
        <w:t>”</w:t>
      </w:r>
      <w:r w:rsidR="00BD59F9" w:rsidRPr="00BD59F9">
        <w:t xml:space="preserve"> The judiciary should </w:t>
      </w:r>
      <w:r w:rsidR="00BD59F9">
        <w:t>“</w:t>
      </w:r>
      <w:r w:rsidR="00BD59F9" w:rsidRPr="00BD59F9">
        <w:t xml:space="preserve">be insulated from such pressure. It would provide an environment conducive to rumination, reflection, and analysis. </w:t>
      </w:r>
      <w:r w:rsidR="00BD59F9">
        <w:t>‘</w:t>
      </w:r>
      <w:r w:rsidR="00BD59F9" w:rsidRPr="00BD59F9">
        <w:t>Reason, not power</w:t>
      </w:r>
      <w:r w:rsidR="00BD59F9">
        <w:t>’</w:t>
      </w:r>
      <w:r w:rsidR="00BD59F9" w:rsidRPr="00BD59F9">
        <w:t xml:space="preserve"> would be the motto over its door.</w:t>
      </w:r>
      <w:r w:rsidR="00BD59F9">
        <w:t>”</w:t>
      </w:r>
      <w:r w:rsidR="00BD59F9" w:rsidRPr="00BD59F9">
        <w:t>)</w:t>
      </w:r>
      <w:r w:rsidR="00D77796">
        <w:t xml:space="preserve">; </w:t>
      </w:r>
      <w:r w:rsidR="003275D6" w:rsidRPr="003275D6">
        <w:rPr>
          <w:smallCaps/>
        </w:rPr>
        <w:t xml:space="preserve">Alexander M. Bickel, The Least Dangerous Branch </w:t>
      </w:r>
      <w:r w:rsidR="00D77796" w:rsidRPr="00D77796">
        <w:t xml:space="preserve">58 (1962) (Judicial review </w:t>
      </w:r>
      <w:r w:rsidR="00431374">
        <w:t>“</w:t>
      </w:r>
      <w:r w:rsidR="00D77796" w:rsidRPr="00D77796">
        <w:t>is justified only if it injects into representative government something that is not already there; and that is principle, standards of action that derive their worth from a long view of society's spiritual as well as material needs that command adherence whether or not the immediate outcome is</w:t>
      </w:r>
      <w:r w:rsidR="003275D6">
        <w:t xml:space="preserve"> </w:t>
      </w:r>
      <w:r w:rsidR="00D77796" w:rsidRPr="00D77796">
        <w:t>expedient or agreeable.</w:t>
      </w:r>
      <w:r w:rsidR="003275D6">
        <w:t>”</w:t>
      </w:r>
      <w:r w:rsidR="00D77796" w:rsidRPr="00D77796">
        <w:t>)</w:t>
      </w:r>
      <w:r w:rsidR="009C4B3C">
        <w:t xml:space="preserve">. See discussion in Whittington, </w:t>
      </w:r>
      <w:r w:rsidR="009C4B3C">
        <w:rPr>
          <w:i/>
          <w:iCs/>
        </w:rPr>
        <w:t>supra</w:t>
      </w:r>
      <w:r w:rsidR="009C4B3C">
        <w:t xml:space="preserve"> note </w:t>
      </w:r>
      <w:r w:rsidR="00510963">
        <w:fldChar w:fldCharType="begin"/>
      </w:r>
      <w:r w:rsidR="00510963">
        <w:instrText xml:space="preserve"> NOTEREF _Ref185842536 \h </w:instrText>
      </w:r>
      <w:r w:rsidR="00510963">
        <w:fldChar w:fldCharType="separate"/>
      </w:r>
      <w:r w:rsidR="00454C1B">
        <w:t>10</w:t>
      </w:r>
      <w:r w:rsidR="00510963">
        <w:fldChar w:fldCharType="end"/>
      </w:r>
      <w:r w:rsidR="00510963">
        <w:t xml:space="preserve">, at </w:t>
      </w:r>
      <w:r w:rsidR="006F0A7E">
        <w:t>810-12</w:t>
      </w:r>
      <w:r w:rsidR="00B16A5B">
        <w:t xml:space="preserve">. </w:t>
      </w:r>
      <w:r w:rsidR="00F71D5E">
        <w:t xml:space="preserve">Generations of scholars have debated what exactly Dworkin meant by this and whether this idea holds water. See, e.g., Dimitrios Kyritsis, </w:t>
      </w:r>
      <w:r w:rsidR="00F71D5E" w:rsidRPr="00DB0394">
        <w:rPr>
          <w:i/>
          <w:iCs/>
        </w:rPr>
        <w:t>Principles, Policies and the Power of Courts</w:t>
      </w:r>
      <w:r w:rsidR="00F71D5E">
        <w:t xml:space="preserve">, 20 </w:t>
      </w:r>
      <w:r w:rsidR="00DB0394" w:rsidRPr="00DB0394">
        <w:rPr>
          <w:smallCaps/>
        </w:rPr>
        <w:t xml:space="preserve">Can. J. L. &amp; Jurisprudence </w:t>
      </w:r>
      <w:r w:rsidR="00F71D5E">
        <w:t xml:space="preserve">379 (2007); Donald H. Regan, </w:t>
      </w:r>
      <w:r w:rsidR="00F71D5E" w:rsidRPr="00DB0394">
        <w:rPr>
          <w:i/>
          <w:iCs/>
        </w:rPr>
        <w:t>Glosses on Dworkin: Rights, Principles, and Policies</w:t>
      </w:r>
      <w:r w:rsidR="00F71D5E">
        <w:t xml:space="preserve">, 76 </w:t>
      </w:r>
      <w:r w:rsidR="00DB0394" w:rsidRPr="00DB0394">
        <w:rPr>
          <w:smallCaps/>
        </w:rPr>
        <w:t xml:space="preserve">Mich. L. Rev. </w:t>
      </w:r>
      <w:r w:rsidR="00F71D5E">
        <w:t xml:space="preserve">1213 (1978); </w:t>
      </w:r>
      <w:r w:rsidR="00DB0394" w:rsidRPr="00FC54EF">
        <w:rPr>
          <w:smallCaps/>
        </w:rPr>
        <w:t xml:space="preserve">H.L.A. Hart, Essays </w:t>
      </w:r>
      <w:r w:rsidR="00FC54EF">
        <w:rPr>
          <w:smallCaps/>
        </w:rPr>
        <w:t>i</w:t>
      </w:r>
      <w:r w:rsidR="00DB0394" w:rsidRPr="00FC54EF">
        <w:rPr>
          <w:smallCaps/>
        </w:rPr>
        <w:t xml:space="preserve">n Jurisprudence </w:t>
      </w:r>
      <w:r w:rsidR="00FC54EF">
        <w:rPr>
          <w:smallCaps/>
        </w:rPr>
        <w:t>a</w:t>
      </w:r>
      <w:r w:rsidR="00DB0394" w:rsidRPr="00FC54EF">
        <w:rPr>
          <w:smallCaps/>
        </w:rPr>
        <w:t xml:space="preserve">nd Philosophy </w:t>
      </w:r>
      <w:r w:rsidR="00F71D5E">
        <w:t xml:space="preserve">208-22 (1983), Joseph Raz, </w:t>
      </w:r>
      <w:r w:rsidR="00F71D5E" w:rsidRPr="00C016A4">
        <w:rPr>
          <w:i/>
          <w:iCs/>
        </w:rPr>
        <w:t>Professor Dworkin’s Theory of Rights</w:t>
      </w:r>
      <w:r w:rsidR="00F71D5E">
        <w:t xml:space="preserve">, 26 </w:t>
      </w:r>
      <w:r w:rsidR="00C016A4" w:rsidRPr="00C016A4">
        <w:rPr>
          <w:smallCaps/>
        </w:rPr>
        <w:t xml:space="preserve">Pol. Stud. </w:t>
      </w:r>
      <w:r w:rsidR="00F71D5E">
        <w:t>123 (1978). My goal is not to perfectly encapsulate Dworkin’s idea in all its detail. It is to use Dworkin to develop a definition of “principle” that can make congressional constitutionalism attractive. TRS, supra note 140, at 90-94.</w:t>
      </w:r>
    </w:p>
  </w:footnote>
  <w:footnote w:id="25">
    <w:p w14:paraId="66A798BA" w14:textId="5A2F9681" w:rsidR="00D13FC9" w:rsidRDefault="00D13FC9" w:rsidP="00D13FC9">
      <w:pPr>
        <w:pStyle w:val="FootnoteText"/>
      </w:pPr>
      <w:r>
        <w:rPr>
          <w:rStyle w:val="FootnoteReference"/>
        </w:rPr>
        <w:footnoteRef/>
      </w:r>
      <w:r>
        <w:t xml:space="preserve"> </w:t>
      </w:r>
      <w:r w:rsidR="00A30AB5">
        <w:t>E</w:t>
      </w:r>
      <w:r w:rsidR="00A30AB5">
        <w:rPr>
          <w:sz w:val="16"/>
        </w:rPr>
        <w:t>ISGRUBER</w:t>
      </w:r>
      <w:r w:rsidR="00A30AB5">
        <w:t xml:space="preserve">, </w:t>
      </w:r>
      <w:r w:rsidR="00BF2AD8">
        <w:rPr>
          <w:i/>
          <w:iCs/>
        </w:rPr>
        <w:t>supra</w:t>
      </w:r>
      <w:r w:rsidR="00BF2AD8">
        <w:t xml:space="preserve"> note </w:t>
      </w:r>
      <w:r w:rsidR="00BF2AD8">
        <w:fldChar w:fldCharType="begin"/>
      </w:r>
      <w:r w:rsidR="00BF2AD8">
        <w:instrText xml:space="preserve"> NOTEREF _Ref185842536 \h </w:instrText>
      </w:r>
      <w:r w:rsidR="00BF2AD8">
        <w:fldChar w:fldCharType="separate"/>
      </w:r>
      <w:r w:rsidR="00454C1B">
        <w:t>10</w:t>
      </w:r>
      <w:r w:rsidR="00BF2AD8">
        <w:fldChar w:fldCharType="end"/>
      </w:r>
      <w:r w:rsidR="00BF2AD8">
        <w:t xml:space="preserve">, at </w:t>
      </w:r>
      <w:r w:rsidR="00E4337F">
        <w:t>67</w:t>
      </w:r>
      <w:r w:rsidR="00A30AB5">
        <w:t>.</w:t>
      </w:r>
    </w:p>
  </w:footnote>
  <w:footnote w:id="26">
    <w:p w14:paraId="51882748" w14:textId="0CFF830C" w:rsidR="009C2C32" w:rsidRPr="00256884" w:rsidRDefault="009C2C32" w:rsidP="009C2C32">
      <w:pPr>
        <w:pStyle w:val="FootnoteText"/>
      </w:pPr>
      <w:r>
        <w:rPr>
          <w:rStyle w:val="FootnoteReference"/>
        </w:rPr>
        <w:footnoteRef/>
      </w:r>
      <w:r>
        <w:t xml:space="preserve"> </w:t>
      </w:r>
      <w:proofErr w:type="spellStart"/>
      <w:r w:rsidR="0052209E">
        <w:t>Mikva</w:t>
      </w:r>
      <w:proofErr w:type="spellEnd"/>
      <w:r w:rsidR="0052209E">
        <w:t xml:space="preserve">, </w:t>
      </w:r>
      <w:r w:rsidR="0052209E">
        <w:rPr>
          <w:i/>
          <w:iCs/>
        </w:rPr>
        <w:t xml:space="preserve">supra </w:t>
      </w:r>
      <w:r w:rsidR="0052209E">
        <w:t xml:space="preserve">note </w:t>
      </w:r>
      <w:r w:rsidR="00BE4691">
        <w:fldChar w:fldCharType="begin"/>
      </w:r>
      <w:r w:rsidR="00BE4691">
        <w:instrText xml:space="preserve"> NOTEREF _Ref185842536 \h </w:instrText>
      </w:r>
      <w:r w:rsidR="00BE4691">
        <w:fldChar w:fldCharType="separate"/>
      </w:r>
      <w:r w:rsidR="00454C1B">
        <w:t>10</w:t>
      </w:r>
      <w:r w:rsidR="00BE4691">
        <w:fldChar w:fldCharType="end"/>
      </w:r>
      <w:r w:rsidR="00BE4691">
        <w:t xml:space="preserve">, at </w:t>
      </w:r>
      <w:r w:rsidR="002F7A53">
        <w:t>587</w:t>
      </w:r>
      <w:r w:rsidR="00256884">
        <w:t xml:space="preserve">; see also </w:t>
      </w:r>
      <w:proofErr w:type="spellStart"/>
      <w:r w:rsidR="00256884">
        <w:t>Mikva</w:t>
      </w:r>
      <w:proofErr w:type="spellEnd"/>
      <w:r w:rsidR="00256884">
        <w:t xml:space="preserve"> &amp; Lundy, </w:t>
      </w:r>
      <w:r w:rsidR="00256884">
        <w:rPr>
          <w:i/>
          <w:iCs/>
        </w:rPr>
        <w:t xml:space="preserve">supra </w:t>
      </w:r>
      <w:r w:rsidR="00256884">
        <w:t xml:space="preserve">note </w:t>
      </w:r>
      <w:r w:rsidR="00256884">
        <w:fldChar w:fldCharType="begin"/>
      </w:r>
      <w:r w:rsidR="00256884">
        <w:instrText xml:space="preserve"> NOTEREF _Ref185842536 \h </w:instrText>
      </w:r>
      <w:r w:rsidR="00256884">
        <w:fldChar w:fldCharType="separate"/>
      </w:r>
      <w:r w:rsidR="00454C1B">
        <w:t>10</w:t>
      </w:r>
      <w:r w:rsidR="00256884">
        <w:fldChar w:fldCharType="end"/>
      </w:r>
      <w:r w:rsidR="00256884">
        <w:t>.</w:t>
      </w:r>
    </w:p>
  </w:footnote>
  <w:footnote w:id="27">
    <w:p w14:paraId="6F57D4FD" w14:textId="2A1EB2BF" w:rsidR="009C2C32" w:rsidRPr="009750DA" w:rsidRDefault="009C2C32" w:rsidP="009C2C32">
      <w:pPr>
        <w:pStyle w:val="FootnoteText"/>
      </w:pPr>
      <w:r>
        <w:rPr>
          <w:rStyle w:val="FootnoteReference"/>
        </w:rPr>
        <w:footnoteRef/>
      </w:r>
      <w:r>
        <w:t xml:space="preserve"> </w:t>
      </w:r>
      <w:r w:rsidR="009750DA">
        <w:t xml:space="preserve">Brest, </w:t>
      </w:r>
      <w:r w:rsidR="009750DA" w:rsidRPr="00F13F51">
        <w:rPr>
          <w:i/>
          <w:iCs/>
        </w:rPr>
        <w:t>Conscientious Legislator’s Guide</w:t>
      </w:r>
      <w:r w:rsidR="009750DA">
        <w:t xml:space="preserve">, </w:t>
      </w:r>
      <w:r w:rsidR="009750DA">
        <w:rPr>
          <w:i/>
          <w:iCs/>
        </w:rPr>
        <w:t>supra</w:t>
      </w:r>
      <w:r w:rsidR="009750DA">
        <w:t xml:space="preserve"> note </w:t>
      </w:r>
      <w:r w:rsidR="009750DA">
        <w:fldChar w:fldCharType="begin"/>
      </w:r>
      <w:r w:rsidR="009750DA">
        <w:instrText xml:space="preserve"> NOTEREF _Ref185842536 \h </w:instrText>
      </w:r>
      <w:r w:rsidR="009750DA">
        <w:fldChar w:fldCharType="separate"/>
      </w:r>
      <w:r w:rsidR="00454C1B">
        <w:t>10</w:t>
      </w:r>
      <w:r w:rsidR="009750DA">
        <w:fldChar w:fldCharType="end"/>
      </w:r>
      <w:r w:rsidR="009750DA">
        <w:t>.</w:t>
      </w:r>
    </w:p>
  </w:footnote>
  <w:footnote w:id="28">
    <w:p w14:paraId="1792D3F7" w14:textId="2713E29C" w:rsidR="009C2C32" w:rsidRPr="00BE5DCE" w:rsidRDefault="009C2C32" w:rsidP="009C2C32">
      <w:pPr>
        <w:pStyle w:val="FootnoteText"/>
      </w:pPr>
      <w:r>
        <w:rPr>
          <w:rStyle w:val="FootnoteReference"/>
        </w:rPr>
        <w:footnoteRef/>
      </w:r>
      <w:r>
        <w:t xml:space="preserve"> </w:t>
      </w:r>
      <w:r w:rsidR="00784D5B">
        <w:t xml:space="preserve">Brest, </w:t>
      </w:r>
      <w:r w:rsidR="00BE5DCE" w:rsidRPr="00F13F51">
        <w:rPr>
          <w:i/>
          <w:iCs/>
        </w:rPr>
        <w:t>Congress as a Constitutional Decisionmaker</w:t>
      </w:r>
      <w:r w:rsidR="00BE5DCE">
        <w:t xml:space="preserve">, </w:t>
      </w:r>
      <w:r w:rsidR="00BE5DCE">
        <w:rPr>
          <w:i/>
          <w:iCs/>
        </w:rPr>
        <w:t xml:space="preserve">supra </w:t>
      </w:r>
      <w:r w:rsidR="00BE5DCE">
        <w:t xml:space="preserve">note </w:t>
      </w:r>
      <w:r w:rsidR="00BE5DCE">
        <w:fldChar w:fldCharType="begin"/>
      </w:r>
      <w:r w:rsidR="00BE5DCE">
        <w:instrText xml:space="preserve"> NOTEREF _Ref185842536 \h </w:instrText>
      </w:r>
      <w:r w:rsidR="00BE5DCE">
        <w:fldChar w:fldCharType="separate"/>
      </w:r>
      <w:r w:rsidR="00454C1B">
        <w:t>10</w:t>
      </w:r>
      <w:r w:rsidR="00BE5DCE">
        <w:fldChar w:fldCharType="end"/>
      </w:r>
      <w:r w:rsidR="00BE5DCE">
        <w:t>.</w:t>
      </w:r>
    </w:p>
  </w:footnote>
  <w:footnote w:id="29">
    <w:p w14:paraId="34A74E8B" w14:textId="507E5912" w:rsidR="009C2C32" w:rsidRDefault="009C2C32" w:rsidP="009C2C32">
      <w:pPr>
        <w:pStyle w:val="FootnoteText"/>
      </w:pPr>
      <w:r>
        <w:rPr>
          <w:rStyle w:val="FootnoteReference"/>
        </w:rPr>
        <w:footnoteRef/>
      </w:r>
      <w:r>
        <w:t xml:space="preserve"> </w:t>
      </w:r>
      <w:r w:rsidR="007957B1">
        <w:t xml:space="preserve">See, e.g., </w:t>
      </w:r>
      <w:r w:rsidR="0027575F" w:rsidRPr="0027575F">
        <w:t xml:space="preserve">Oona A. Hathaway, </w:t>
      </w:r>
      <w:r w:rsidR="0027575F" w:rsidRPr="00A14790">
        <w:rPr>
          <w:i/>
          <w:iCs/>
        </w:rPr>
        <w:t>National Security Lawyering in the Post-War Era: Can Law Constrain Power?,</w:t>
      </w:r>
      <w:r w:rsidR="0027575F" w:rsidRPr="0027575F">
        <w:t xml:space="preserve"> 68 </w:t>
      </w:r>
      <w:r w:rsidR="00CB6081" w:rsidRPr="00A14790">
        <w:rPr>
          <w:smallCaps/>
        </w:rPr>
        <w:t xml:space="preserve">UCLA </w:t>
      </w:r>
      <w:r w:rsidR="00A14790" w:rsidRPr="00A14790">
        <w:rPr>
          <w:smallCaps/>
        </w:rPr>
        <w:t xml:space="preserve">L. Rev. </w:t>
      </w:r>
      <w:r w:rsidR="0027575F" w:rsidRPr="0027575F">
        <w:t>2, 85 (2021)</w:t>
      </w:r>
      <w:r w:rsidR="0027575F">
        <w:t xml:space="preserve">, </w:t>
      </w:r>
      <w:r w:rsidR="0057238F" w:rsidRPr="0057238F">
        <w:t xml:space="preserve">Emily Berman, </w:t>
      </w:r>
      <w:r w:rsidR="0057238F" w:rsidRPr="00A14790">
        <w:rPr>
          <w:i/>
          <w:iCs/>
        </w:rPr>
        <w:t>Weaponizing the Office of Legal Counsel</w:t>
      </w:r>
      <w:r w:rsidR="0057238F" w:rsidRPr="0057238F">
        <w:t xml:space="preserve">, 63 </w:t>
      </w:r>
      <w:r w:rsidR="0057238F" w:rsidRPr="00A14790">
        <w:rPr>
          <w:smallCaps/>
        </w:rPr>
        <w:t>B.C. L. REV</w:t>
      </w:r>
      <w:r w:rsidR="0057238F" w:rsidRPr="0057238F">
        <w:t>. 515, 562 (2021)</w:t>
      </w:r>
    </w:p>
  </w:footnote>
  <w:footnote w:id="30">
    <w:p w14:paraId="117D0756" w14:textId="548714C3" w:rsidR="009C2C32" w:rsidRPr="00A249E7" w:rsidRDefault="009C2C32" w:rsidP="009C2C32">
      <w:pPr>
        <w:pStyle w:val="FootnoteText"/>
      </w:pPr>
      <w:r>
        <w:rPr>
          <w:rStyle w:val="FootnoteReference"/>
        </w:rPr>
        <w:footnoteRef/>
      </w:r>
      <w:r>
        <w:t xml:space="preserve"> </w:t>
      </w:r>
      <w:r w:rsidR="00A249E7">
        <w:t xml:space="preserve">Beau </w:t>
      </w:r>
      <w:r>
        <w:t>Baumann</w:t>
      </w:r>
      <w:r w:rsidR="00A249E7">
        <w:t xml:space="preserve">, </w:t>
      </w:r>
      <w:r w:rsidR="00A249E7" w:rsidRPr="00A249E7">
        <w:rPr>
          <w:i/>
          <w:iCs/>
        </w:rPr>
        <w:t>Resurrecting the Trinity of Legislative Constitutionalism</w:t>
      </w:r>
      <w:r w:rsidR="00A249E7">
        <w:t xml:space="preserve">, </w:t>
      </w:r>
      <w:r w:rsidR="003E3E29">
        <w:t xml:space="preserve">134 </w:t>
      </w:r>
      <w:r w:rsidR="003B7ECD" w:rsidRPr="00B24427">
        <w:rPr>
          <w:smallCaps/>
        </w:rPr>
        <w:t>Yale L.J.</w:t>
      </w:r>
      <w:r w:rsidR="003B7ECD">
        <w:t xml:space="preserve"> (forthcoming).</w:t>
      </w:r>
    </w:p>
  </w:footnote>
  <w:footnote w:id="31">
    <w:p w14:paraId="048F23BF" w14:textId="2A978703" w:rsidR="009C2C32" w:rsidRDefault="009C2C32" w:rsidP="009C2C32">
      <w:pPr>
        <w:pStyle w:val="FootnoteText"/>
      </w:pPr>
      <w:r>
        <w:rPr>
          <w:rStyle w:val="FootnoteReference"/>
        </w:rPr>
        <w:footnoteRef/>
      </w:r>
      <w:r>
        <w:t xml:space="preserve"> </w:t>
      </w:r>
      <w:r w:rsidR="00207BD6" w:rsidRPr="00207BD6">
        <w:t xml:space="preserve">See, e.g., </w:t>
      </w:r>
      <w:r w:rsidR="005265E9">
        <w:t xml:space="preserve">Larry </w:t>
      </w:r>
      <w:r w:rsidR="00207BD6" w:rsidRPr="00207BD6">
        <w:t xml:space="preserve">Alexander &amp; </w:t>
      </w:r>
      <w:r w:rsidR="005265E9">
        <w:t xml:space="preserve">Federick </w:t>
      </w:r>
      <w:r w:rsidR="00207BD6" w:rsidRPr="00207BD6">
        <w:t>Schauer</w:t>
      </w:r>
      <w:r w:rsidR="00D46B81">
        <w:t>,</w:t>
      </w:r>
      <w:r w:rsidR="00D46B81">
        <w:rPr>
          <w:spacing w:val="-11"/>
        </w:rPr>
        <w:t xml:space="preserve"> </w:t>
      </w:r>
      <w:r w:rsidR="00D46B81">
        <w:rPr>
          <w:i/>
        </w:rPr>
        <w:t>On</w:t>
      </w:r>
      <w:r w:rsidR="00D46B81">
        <w:rPr>
          <w:i/>
          <w:spacing w:val="-11"/>
        </w:rPr>
        <w:t xml:space="preserve"> </w:t>
      </w:r>
      <w:r w:rsidR="00D46B81">
        <w:rPr>
          <w:i/>
        </w:rPr>
        <w:t>Extrajudicial</w:t>
      </w:r>
      <w:r w:rsidR="00D46B81">
        <w:rPr>
          <w:i/>
          <w:spacing w:val="-11"/>
        </w:rPr>
        <w:t xml:space="preserve"> </w:t>
      </w:r>
      <w:r w:rsidR="00D46B81">
        <w:rPr>
          <w:i/>
        </w:rPr>
        <w:t>Constitutional</w:t>
      </w:r>
      <w:r w:rsidR="00D46B81">
        <w:rPr>
          <w:i/>
          <w:spacing w:val="-11"/>
        </w:rPr>
        <w:t xml:space="preserve"> </w:t>
      </w:r>
      <w:r w:rsidR="00D46B81">
        <w:rPr>
          <w:i/>
        </w:rPr>
        <w:t>Interpretation</w:t>
      </w:r>
      <w:r w:rsidR="00D46B81">
        <w:t>,</w:t>
      </w:r>
      <w:r w:rsidR="00D46B81">
        <w:rPr>
          <w:spacing w:val="-11"/>
        </w:rPr>
        <w:t xml:space="preserve"> </w:t>
      </w:r>
      <w:r w:rsidR="00D46B81">
        <w:t>110</w:t>
      </w:r>
      <w:r w:rsidR="00D46B81">
        <w:rPr>
          <w:spacing w:val="-7"/>
        </w:rPr>
        <w:t xml:space="preserve"> </w:t>
      </w:r>
      <w:r w:rsidR="00D46B81">
        <w:t>H</w:t>
      </w:r>
      <w:r w:rsidR="00D46B81">
        <w:rPr>
          <w:sz w:val="16"/>
        </w:rPr>
        <w:t>ARV</w:t>
      </w:r>
      <w:r w:rsidR="00D46B81">
        <w:t>.</w:t>
      </w:r>
      <w:r w:rsidR="00D46B81">
        <w:rPr>
          <w:spacing w:val="7"/>
        </w:rPr>
        <w:t xml:space="preserve"> </w:t>
      </w:r>
      <w:r w:rsidR="00D46B81">
        <w:t>L.</w:t>
      </w:r>
      <w:r w:rsidR="00D46B81">
        <w:rPr>
          <w:spacing w:val="-48"/>
        </w:rPr>
        <w:t xml:space="preserve"> </w:t>
      </w:r>
      <w:r w:rsidR="00D46B81">
        <w:rPr>
          <w:w w:val="95"/>
        </w:rPr>
        <w:t>R</w:t>
      </w:r>
      <w:r w:rsidR="00D46B81">
        <w:rPr>
          <w:w w:val="95"/>
          <w:sz w:val="16"/>
        </w:rPr>
        <w:t>EV</w:t>
      </w:r>
      <w:r w:rsidR="00D46B81">
        <w:rPr>
          <w:w w:val="95"/>
        </w:rPr>
        <w:t>.</w:t>
      </w:r>
      <w:r w:rsidR="00D46B81">
        <w:rPr>
          <w:spacing w:val="45"/>
        </w:rPr>
        <w:t xml:space="preserve"> </w:t>
      </w:r>
      <w:r w:rsidR="00D46B81">
        <w:rPr>
          <w:w w:val="95"/>
        </w:rPr>
        <w:t>1359, 1368 (1996)</w:t>
      </w:r>
      <w:r w:rsidR="00207BD6" w:rsidRPr="00207BD6">
        <w:t xml:space="preserve"> (“Occasional rhetoric notwithstanding, there are few examples of Congress subjugating its own policy views to its views about constitutional constraints.</w:t>
      </w:r>
      <w:r w:rsidR="000430AD">
        <w:t>”</w:t>
      </w:r>
      <w:r w:rsidR="00207BD6" w:rsidRPr="00207BD6">
        <w:t>)</w:t>
      </w:r>
      <w:r>
        <w:t xml:space="preserve">. </w:t>
      </w:r>
    </w:p>
  </w:footnote>
  <w:footnote w:id="32">
    <w:p w14:paraId="025AFE07" w14:textId="51FFFB66" w:rsidR="009C2C32" w:rsidRPr="00AE33ED" w:rsidRDefault="009C2C32" w:rsidP="009C2C32">
      <w:pPr>
        <w:pStyle w:val="FootnoteText"/>
      </w:pPr>
      <w:r>
        <w:rPr>
          <w:rStyle w:val="FootnoteReference"/>
        </w:rPr>
        <w:footnoteRef/>
      </w:r>
      <w:r>
        <w:t xml:space="preserve"> </w:t>
      </w:r>
      <w:r w:rsidR="00AE33ED">
        <w:rPr>
          <w:i/>
          <w:iCs/>
        </w:rPr>
        <w:t xml:space="preserve">Supra </w:t>
      </w:r>
      <w:r w:rsidR="00AE33ED">
        <w:t>note</w:t>
      </w:r>
      <w:r w:rsidR="0024485E">
        <w:t xml:space="preserve"> </w:t>
      </w:r>
      <w:r w:rsidR="0024485E">
        <w:fldChar w:fldCharType="begin"/>
      </w:r>
      <w:r w:rsidR="0024485E">
        <w:instrText xml:space="preserve"> NOTEREF _Ref186366920 \h </w:instrText>
      </w:r>
      <w:r w:rsidR="0024485E">
        <w:fldChar w:fldCharType="separate"/>
      </w:r>
      <w:r w:rsidR="00454C1B">
        <w:t>12</w:t>
      </w:r>
      <w:r w:rsidR="0024485E">
        <w:fldChar w:fldCharType="end"/>
      </w:r>
      <w:r w:rsidR="0024485E">
        <w:t>, at xx</w:t>
      </w:r>
      <w:r w:rsidR="00AE33ED">
        <w:t>.</w:t>
      </w:r>
    </w:p>
  </w:footnote>
  <w:footnote w:id="33">
    <w:p w14:paraId="1EEC069F" w14:textId="473133AC" w:rsidR="00215957" w:rsidRDefault="00215957">
      <w:pPr>
        <w:pStyle w:val="FootnoteText"/>
      </w:pPr>
      <w:r>
        <w:rPr>
          <w:rStyle w:val="FootnoteReference"/>
        </w:rPr>
        <w:footnoteRef/>
      </w:r>
      <w:r>
        <w:t xml:space="preserve"> </w:t>
      </w:r>
      <w:r w:rsidR="00E02F9B">
        <w:t xml:space="preserve">Brest, </w:t>
      </w:r>
      <w:r w:rsidR="00FA692F" w:rsidRPr="00E02F9B">
        <w:rPr>
          <w:i/>
          <w:iCs/>
        </w:rPr>
        <w:t>Conscientious Legislator’s Guide</w:t>
      </w:r>
      <w:r w:rsidR="00FA692F">
        <w:t xml:space="preserve">, </w:t>
      </w:r>
      <w:r w:rsidR="00FA692F">
        <w:rPr>
          <w:i/>
          <w:iCs/>
        </w:rPr>
        <w:t>supra</w:t>
      </w:r>
      <w:r w:rsidR="00FA692F">
        <w:t xml:space="preserve"> note </w:t>
      </w:r>
      <w:r w:rsidR="00FA692F">
        <w:fldChar w:fldCharType="begin"/>
      </w:r>
      <w:r w:rsidR="00FA692F">
        <w:instrText xml:space="preserve"> NOTEREF _Ref185842536 \h </w:instrText>
      </w:r>
      <w:r w:rsidR="00FA692F">
        <w:fldChar w:fldCharType="separate"/>
      </w:r>
      <w:r w:rsidR="00454C1B">
        <w:t>10</w:t>
      </w:r>
      <w:r w:rsidR="00FA692F">
        <w:fldChar w:fldCharType="end"/>
      </w:r>
      <w:r w:rsidR="00FA692F">
        <w:t>.</w:t>
      </w:r>
    </w:p>
  </w:footnote>
  <w:footnote w:id="34">
    <w:p w14:paraId="77D00963" w14:textId="76B10946" w:rsidR="009C2C32" w:rsidRDefault="009C2C32" w:rsidP="009C2C32">
      <w:pPr>
        <w:pStyle w:val="FootnoteText"/>
      </w:pPr>
      <w:r>
        <w:rPr>
          <w:rStyle w:val="FootnoteReference"/>
        </w:rPr>
        <w:footnoteRef/>
      </w:r>
      <w:r>
        <w:t xml:space="preserve"> </w:t>
      </w:r>
      <w:r w:rsidR="0059515E">
        <w:t xml:space="preserve">Brest, </w:t>
      </w:r>
      <w:r w:rsidR="00B21452" w:rsidRPr="00FB77FE">
        <w:rPr>
          <w:i/>
          <w:iCs/>
        </w:rPr>
        <w:t>Congress as a Constitutional Decisionmaker</w:t>
      </w:r>
      <w:r w:rsidR="00B21452">
        <w:t xml:space="preserve">, </w:t>
      </w:r>
      <w:r w:rsidR="00B21452">
        <w:rPr>
          <w:i/>
          <w:iCs/>
        </w:rPr>
        <w:t xml:space="preserve">supra </w:t>
      </w:r>
      <w:r w:rsidR="00B21452">
        <w:t xml:space="preserve">note </w:t>
      </w:r>
      <w:r w:rsidR="00B21452">
        <w:fldChar w:fldCharType="begin"/>
      </w:r>
      <w:r w:rsidR="00B21452">
        <w:instrText xml:space="preserve"> NOTEREF _Ref185842536 \h </w:instrText>
      </w:r>
      <w:r w:rsidR="00B21452">
        <w:fldChar w:fldCharType="separate"/>
      </w:r>
      <w:r w:rsidR="00454C1B">
        <w:t>10</w:t>
      </w:r>
      <w:r w:rsidR="00B21452">
        <w:fldChar w:fldCharType="end"/>
      </w:r>
      <w:r w:rsidR="00B21452">
        <w:t>.</w:t>
      </w:r>
    </w:p>
  </w:footnote>
  <w:footnote w:id="35">
    <w:p w14:paraId="030519AD" w14:textId="0BE846D3" w:rsidR="009C2C32" w:rsidRDefault="009C2C32" w:rsidP="009C2C32">
      <w:pPr>
        <w:pStyle w:val="FootnoteText"/>
      </w:pPr>
      <w:r>
        <w:rPr>
          <w:rStyle w:val="FootnoteReference"/>
        </w:rPr>
        <w:footnoteRef/>
      </w:r>
      <w:r>
        <w:t xml:space="preserve"> </w:t>
      </w:r>
      <w:r w:rsidR="0045421C" w:rsidRPr="00B21452">
        <w:rPr>
          <w:smallCaps/>
        </w:rPr>
        <w:t>Burgess</w:t>
      </w:r>
      <w:r w:rsidR="0045421C">
        <w:t xml:space="preserve">, </w:t>
      </w:r>
      <w:r w:rsidR="00B21452">
        <w:rPr>
          <w:i/>
          <w:iCs/>
        </w:rPr>
        <w:t xml:space="preserve">supra </w:t>
      </w:r>
      <w:r w:rsidR="00B21452">
        <w:t xml:space="preserve">note </w:t>
      </w:r>
      <w:r w:rsidR="00B21452">
        <w:fldChar w:fldCharType="begin"/>
      </w:r>
      <w:r w:rsidR="00B21452">
        <w:instrText xml:space="preserve"> NOTEREF _Ref185842536 \h </w:instrText>
      </w:r>
      <w:r w:rsidR="00B21452">
        <w:fldChar w:fldCharType="separate"/>
      </w:r>
      <w:r w:rsidR="00454C1B">
        <w:t>10</w:t>
      </w:r>
      <w:r w:rsidR="00B21452">
        <w:fldChar w:fldCharType="end"/>
      </w:r>
      <w:r>
        <w:t>.</w:t>
      </w:r>
      <w:r w:rsidR="00C16376">
        <w:t xml:space="preserve"> Beau Baumann, </w:t>
      </w:r>
      <w:r w:rsidR="00C16376">
        <w:rPr>
          <w:i/>
          <w:iCs/>
        </w:rPr>
        <w:t xml:space="preserve">supra </w:t>
      </w:r>
      <w:r w:rsidR="00C16376">
        <w:t xml:space="preserve">note </w:t>
      </w:r>
      <w:r w:rsidR="00A337AA">
        <w:fldChar w:fldCharType="begin"/>
      </w:r>
      <w:r w:rsidR="00A337AA">
        <w:instrText xml:space="preserve"> NOTEREF _Ref185847818 \h </w:instrText>
      </w:r>
      <w:r w:rsidR="00A337AA">
        <w:fldChar w:fldCharType="separate"/>
      </w:r>
      <w:r w:rsidR="00454C1B">
        <w:t>28</w:t>
      </w:r>
      <w:r w:rsidR="00A337AA">
        <w:fldChar w:fldCharType="end"/>
      </w:r>
      <w:r w:rsidR="00A337AA">
        <w:t xml:space="preserve">, </w:t>
      </w:r>
      <w:r w:rsidR="00E46926">
        <w:t>at xx, has unearthed a practice among congressional legislative drafters of</w:t>
      </w:r>
      <w:r w:rsidR="00E27E11">
        <w:t xml:space="preserve"> accepting a legislative proposal’s constitutionality unless judicial doctrine </w:t>
      </w:r>
      <w:r w:rsidR="00062B56">
        <w:t xml:space="preserve">clearly precludes such acceptance. But </w:t>
      </w:r>
      <w:r w:rsidR="003E7998">
        <w:t>while this clarifies how Congress should respond to judicial assertions of constitutionality, it does not explain how Congress should form its own views.</w:t>
      </w:r>
    </w:p>
  </w:footnote>
  <w:footnote w:id="36">
    <w:p w14:paraId="72157573" w14:textId="3D1BAAEA" w:rsidR="00154591" w:rsidRDefault="00154591" w:rsidP="00154591">
      <w:pPr>
        <w:pStyle w:val="FootnoteText"/>
      </w:pPr>
      <w:r>
        <w:rPr>
          <w:rStyle w:val="FootnoteReference"/>
        </w:rPr>
        <w:footnoteRef/>
      </w:r>
      <w:r w:rsidR="00017E4B">
        <w:t xml:space="preserve"> </w:t>
      </w:r>
      <w:r w:rsidR="00E30208">
        <w:t xml:space="preserve">Ryan Lizza &amp; </w:t>
      </w:r>
      <w:r w:rsidR="005A7489">
        <w:t>Eugene Daniels</w:t>
      </w:r>
      <w:r w:rsidR="00E30208">
        <w:t xml:space="preserve">, </w:t>
      </w:r>
      <w:r w:rsidR="00017E4B" w:rsidRPr="00E30208">
        <w:rPr>
          <w:i/>
          <w:iCs/>
        </w:rPr>
        <w:t xml:space="preserve">POLITICO Playbook: The </w:t>
      </w:r>
      <w:r w:rsidR="005A7489" w:rsidRPr="00E30208">
        <w:rPr>
          <w:i/>
          <w:iCs/>
        </w:rPr>
        <w:t>A</w:t>
      </w:r>
      <w:r w:rsidR="00017E4B" w:rsidRPr="00E30208">
        <w:rPr>
          <w:i/>
          <w:iCs/>
        </w:rPr>
        <w:t xml:space="preserve">lmighty vs. the </w:t>
      </w:r>
      <w:r w:rsidR="005A7489" w:rsidRPr="00E30208">
        <w:rPr>
          <w:i/>
          <w:iCs/>
        </w:rPr>
        <w:t>A</w:t>
      </w:r>
      <w:r w:rsidR="00017E4B" w:rsidRPr="00E30208">
        <w:rPr>
          <w:i/>
          <w:iCs/>
        </w:rPr>
        <w:t>lternative</w:t>
      </w:r>
      <w:r w:rsidR="005A7489">
        <w:t xml:space="preserve">, </w:t>
      </w:r>
      <w:r w:rsidR="005A7489" w:rsidRPr="00E30208">
        <w:rPr>
          <w:smallCaps/>
        </w:rPr>
        <w:t>Politico</w:t>
      </w:r>
      <w:r w:rsidR="005A7489">
        <w:t xml:space="preserve"> (Aug. 29, 2022)</w:t>
      </w:r>
      <w:r w:rsidR="00E30208">
        <w:t xml:space="preserve"> (</w:t>
      </w:r>
      <w:r w:rsidR="000015C9">
        <w:t>discussing Joe Biden)</w:t>
      </w:r>
      <w:r w:rsidR="005A7489">
        <w:t>.</w:t>
      </w:r>
      <w:r>
        <w:t xml:space="preserve"> </w:t>
      </w:r>
      <w:r w:rsidR="000015C9">
        <w:t>For a more scholarly articulation of this principle, s</w:t>
      </w:r>
      <w:r w:rsidR="00082B29">
        <w:t xml:space="preserve">ee, e.g., </w:t>
      </w:r>
      <w:r w:rsidR="001F578E" w:rsidRPr="001F578E">
        <w:t>Ryan D.</w:t>
      </w:r>
      <w:r w:rsidR="00495095">
        <w:t xml:space="preserve"> </w:t>
      </w:r>
      <w:r w:rsidR="00495095" w:rsidRPr="001F578E">
        <w:t>Doerfler</w:t>
      </w:r>
      <w:r w:rsidR="001F578E" w:rsidRPr="001F578E">
        <w:t xml:space="preserve"> </w:t>
      </w:r>
      <w:r w:rsidR="00495095">
        <w:t xml:space="preserve">&amp; </w:t>
      </w:r>
      <w:r w:rsidR="001F578E" w:rsidRPr="001F578E">
        <w:t xml:space="preserve">Samuel </w:t>
      </w:r>
      <w:proofErr w:type="spellStart"/>
      <w:r w:rsidR="001F578E" w:rsidRPr="001F578E">
        <w:t>Moyn</w:t>
      </w:r>
      <w:proofErr w:type="spellEnd"/>
      <w:r w:rsidR="001F578E" w:rsidRPr="001F578E">
        <w:t xml:space="preserve">. </w:t>
      </w:r>
      <w:r w:rsidR="001F578E" w:rsidRPr="003C03A2">
        <w:rPr>
          <w:i/>
          <w:iCs/>
        </w:rPr>
        <w:t>The Ghost of John Hart Ely</w:t>
      </w:r>
      <w:r w:rsidR="003C03A2">
        <w:t xml:space="preserve">, 75 </w:t>
      </w:r>
      <w:r w:rsidR="001F578E" w:rsidRPr="00CF3A85">
        <w:rPr>
          <w:smallCaps/>
        </w:rPr>
        <w:t>Vand. L. Rev.</w:t>
      </w:r>
      <w:r w:rsidR="003C03A2">
        <w:t xml:space="preserve"> </w:t>
      </w:r>
      <w:r w:rsidR="00FD588F">
        <w:t xml:space="preserve">769, 772 </w:t>
      </w:r>
      <w:r w:rsidR="001F578E" w:rsidRPr="001F578E">
        <w:t>(2022)</w:t>
      </w:r>
      <w:r>
        <w:t xml:space="preserve">, </w:t>
      </w:r>
      <w:r w:rsidR="00E915FF" w:rsidRPr="00E915FF">
        <w:t>Jeremy</w:t>
      </w:r>
      <w:r w:rsidR="00CF3A85">
        <w:t xml:space="preserve"> </w:t>
      </w:r>
      <w:r w:rsidR="00CF3A85" w:rsidRPr="00E915FF">
        <w:t>Waldron</w:t>
      </w:r>
      <w:r w:rsidR="00CF3A85">
        <w:t>,</w:t>
      </w:r>
      <w:r w:rsidR="00E915FF" w:rsidRPr="00E915FF">
        <w:t xml:space="preserve"> </w:t>
      </w:r>
      <w:r w:rsidR="00E915FF" w:rsidRPr="00CF3A85">
        <w:rPr>
          <w:i/>
          <w:iCs/>
        </w:rPr>
        <w:t>The Core of the Case against Judicial Review</w:t>
      </w:r>
      <w:r w:rsidR="003E40B2">
        <w:t xml:space="preserve">, </w:t>
      </w:r>
      <w:r w:rsidR="003E40B2" w:rsidRPr="003E40B2">
        <w:rPr>
          <w:smallCaps/>
        </w:rPr>
        <w:t>Yale L.J.</w:t>
      </w:r>
      <w:r w:rsidR="003E40B2">
        <w:rPr>
          <w:i/>
          <w:iCs/>
        </w:rPr>
        <w:t xml:space="preserve"> </w:t>
      </w:r>
      <w:r w:rsidR="00E915FF" w:rsidRPr="00E915FF">
        <w:t>1346</w:t>
      </w:r>
      <w:r w:rsidR="00E915FF">
        <w:t>, 1389</w:t>
      </w:r>
      <w:r w:rsidR="003E40B2">
        <w:t xml:space="preserve"> (2006)</w:t>
      </w:r>
      <w:r w:rsidR="00E915FF">
        <w:t>.</w:t>
      </w:r>
    </w:p>
  </w:footnote>
  <w:footnote w:id="37">
    <w:p w14:paraId="2725A7D6" w14:textId="5FBC552B" w:rsidR="000C0D3A" w:rsidRDefault="000C0D3A">
      <w:pPr>
        <w:pStyle w:val="FootnoteText"/>
      </w:pPr>
      <w:r>
        <w:rPr>
          <w:rStyle w:val="FootnoteReference"/>
        </w:rPr>
        <w:footnoteRef/>
      </w:r>
      <w:r>
        <w:t xml:space="preserve"> </w:t>
      </w:r>
      <w:r w:rsidR="00302A04">
        <w:rPr>
          <w:i/>
        </w:rPr>
        <w:t>See,</w:t>
      </w:r>
      <w:r w:rsidR="00302A04">
        <w:rPr>
          <w:i/>
          <w:spacing w:val="-3"/>
        </w:rPr>
        <w:t xml:space="preserve"> </w:t>
      </w:r>
      <w:r w:rsidR="00302A04">
        <w:rPr>
          <w:i/>
        </w:rPr>
        <w:t>e.g.</w:t>
      </w:r>
      <w:r w:rsidR="00302A04">
        <w:t>,</w:t>
      </w:r>
      <w:r w:rsidR="00302A04">
        <w:rPr>
          <w:spacing w:val="-3"/>
        </w:rPr>
        <w:t xml:space="preserve"> </w:t>
      </w:r>
      <w:r w:rsidR="00302A04">
        <w:t>Jeffrey</w:t>
      </w:r>
      <w:r w:rsidR="00302A04">
        <w:rPr>
          <w:spacing w:val="-2"/>
        </w:rPr>
        <w:t xml:space="preserve"> </w:t>
      </w:r>
      <w:r w:rsidR="00302A04">
        <w:t>Segal</w:t>
      </w:r>
      <w:r w:rsidR="00302A04">
        <w:rPr>
          <w:spacing w:val="-2"/>
        </w:rPr>
        <w:t xml:space="preserve"> </w:t>
      </w:r>
      <w:r w:rsidR="00302A04">
        <w:t>and</w:t>
      </w:r>
      <w:r w:rsidR="00302A04">
        <w:rPr>
          <w:spacing w:val="-3"/>
        </w:rPr>
        <w:t xml:space="preserve"> </w:t>
      </w:r>
      <w:r w:rsidR="00302A04">
        <w:t>Harold</w:t>
      </w:r>
      <w:r w:rsidR="00302A04">
        <w:rPr>
          <w:spacing w:val="-2"/>
        </w:rPr>
        <w:t xml:space="preserve"> </w:t>
      </w:r>
      <w:r w:rsidR="00302A04">
        <w:t>Spaeth,</w:t>
      </w:r>
      <w:r w:rsidR="00302A04">
        <w:rPr>
          <w:spacing w:val="-3"/>
        </w:rPr>
        <w:t xml:space="preserve"> </w:t>
      </w:r>
      <w:r w:rsidR="00302A04">
        <w:rPr>
          <w:i/>
        </w:rPr>
        <w:t>The</w:t>
      </w:r>
      <w:r w:rsidR="00302A04">
        <w:rPr>
          <w:i/>
          <w:spacing w:val="-3"/>
        </w:rPr>
        <w:t xml:space="preserve"> </w:t>
      </w:r>
      <w:r w:rsidR="00302A04">
        <w:rPr>
          <w:i/>
        </w:rPr>
        <w:t>Influence</w:t>
      </w:r>
      <w:r w:rsidR="00302A04">
        <w:rPr>
          <w:i/>
          <w:spacing w:val="-2"/>
        </w:rPr>
        <w:t xml:space="preserve"> </w:t>
      </w:r>
      <w:r w:rsidR="00302A04">
        <w:rPr>
          <w:i/>
        </w:rPr>
        <w:t>of</w:t>
      </w:r>
      <w:r w:rsidR="00302A04">
        <w:rPr>
          <w:i/>
          <w:spacing w:val="-3"/>
        </w:rPr>
        <w:t xml:space="preserve"> </w:t>
      </w:r>
      <w:r w:rsidR="00302A04">
        <w:rPr>
          <w:i/>
        </w:rPr>
        <w:t>Stare</w:t>
      </w:r>
      <w:r w:rsidR="00302A04">
        <w:rPr>
          <w:i/>
          <w:spacing w:val="-2"/>
        </w:rPr>
        <w:t xml:space="preserve"> </w:t>
      </w:r>
      <w:r w:rsidR="00302A04">
        <w:rPr>
          <w:i/>
        </w:rPr>
        <w:t>Decisis</w:t>
      </w:r>
      <w:r w:rsidR="00302A04">
        <w:rPr>
          <w:i/>
          <w:spacing w:val="-2"/>
        </w:rPr>
        <w:t xml:space="preserve"> </w:t>
      </w:r>
      <w:r w:rsidR="00302A04">
        <w:rPr>
          <w:i/>
        </w:rPr>
        <w:t>on</w:t>
      </w:r>
      <w:r w:rsidR="00302A04">
        <w:rPr>
          <w:i/>
          <w:spacing w:val="-3"/>
        </w:rPr>
        <w:t xml:space="preserve"> </w:t>
      </w:r>
      <w:r w:rsidR="00302A04">
        <w:rPr>
          <w:i/>
        </w:rPr>
        <w:t>the</w:t>
      </w:r>
      <w:r w:rsidR="00302A04">
        <w:rPr>
          <w:i/>
          <w:spacing w:val="-3"/>
        </w:rPr>
        <w:t xml:space="preserve"> </w:t>
      </w:r>
      <w:r w:rsidR="00302A04">
        <w:rPr>
          <w:i/>
        </w:rPr>
        <w:t>Votes</w:t>
      </w:r>
      <w:r w:rsidR="00302A04">
        <w:rPr>
          <w:i/>
          <w:spacing w:val="-2"/>
        </w:rPr>
        <w:t xml:space="preserve"> </w:t>
      </w:r>
      <w:r w:rsidR="00302A04">
        <w:rPr>
          <w:i/>
        </w:rPr>
        <w:t>of</w:t>
      </w:r>
      <w:r w:rsidR="00302A04">
        <w:rPr>
          <w:i/>
          <w:spacing w:val="-3"/>
        </w:rPr>
        <w:t xml:space="preserve"> </w:t>
      </w:r>
      <w:r w:rsidR="00302A04">
        <w:rPr>
          <w:i/>
        </w:rPr>
        <w:t>U.S.</w:t>
      </w:r>
      <w:r w:rsidR="00302A04">
        <w:rPr>
          <w:i/>
          <w:spacing w:val="-3"/>
        </w:rPr>
        <w:t xml:space="preserve"> </w:t>
      </w:r>
      <w:r w:rsidR="00302A04">
        <w:rPr>
          <w:i/>
        </w:rPr>
        <w:t>Supreme</w:t>
      </w:r>
      <w:r w:rsidR="00413588">
        <w:rPr>
          <w:i/>
        </w:rPr>
        <w:t xml:space="preserve"> </w:t>
      </w:r>
      <w:r w:rsidR="00302A04">
        <w:rPr>
          <w:i/>
        </w:rPr>
        <w:t>Court Justices</w:t>
      </w:r>
      <w:r w:rsidR="00302A04">
        <w:t>, 40 A</w:t>
      </w:r>
      <w:r w:rsidR="00302A04">
        <w:rPr>
          <w:sz w:val="16"/>
        </w:rPr>
        <w:t>M</w:t>
      </w:r>
      <w:r w:rsidR="00302A04">
        <w:t>.</w:t>
      </w:r>
      <w:r w:rsidR="00302A04">
        <w:rPr>
          <w:spacing w:val="1"/>
        </w:rPr>
        <w:t xml:space="preserve"> </w:t>
      </w:r>
      <w:r w:rsidR="00302A04">
        <w:t>J. P</w:t>
      </w:r>
      <w:r w:rsidR="00302A04">
        <w:rPr>
          <w:sz w:val="16"/>
        </w:rPr>
        <w:t>OL</w:t>
      </w:r>
      <w:r w:rsidR="00302A04">
        <w:t>.</w:t>
      </w:r>
      <w:r w:rsidR="00302A04">
        <w:rPr>
          <w:spacing w:val="1"/>
        </w:rPr>
        <w:t xml:space="preserve"> </w:t>
      </w:r>
      <w:r w:rsidR="00302A04">
        <w:t>S</w:t>
      </w:r>
      <w:r w:rsidR="00302A04">
        <w:rPr>
          <w:sz w:val="16"/>
        </w:rPr>
        <w:t>CI</w:t>
      </w:r>
      <w:r w:rsidR="00302A04">
        <w:t>.</w:t>
      </w:r>
      <w:r w:rsidR="00302A04">
        <w:rPr>
          <w:spacing w:val="1"/>
        </w:rPr>
        <w:t xml:space="preserve"> </w:t>
      </w:r>
      <w:r w:rsidR="00302A04">
        <w:t xml:space="preserve">971, 971 (1996); Charles J. Cooper, </w:t>
      </w:r>
      <w:r w:rsidR="00302A04">
        <w:rPr>
          <w:i/>
        </w:rPr>
        <w:t>Stare Decisis: Precedent and</w:t>
      </w:r>
      <w:r w:rsidR="00302A04">
        <w:rPr>
          <w:i/>
          <w:spacing w:val="1"/>
        </w:rPr>
        <w:t xml:space="preserve"> </w:t>
      </w:r>
      <w:r w:rsidR="00302A04">
        <w:rPr>
          <w:i/>
        </w:rPr>
        <w:t>Principle</w:t>
      </w:r>
      <w:r w:rsidR="00302A04">
        <w:rPr>
          <w:i/>
          <w:spacing w:val="-1"/>
        </w:rPr>
        <w:t xml:space="preserve"> </w:t>
      </w:r>
      <w:r w:rsidR="00302A04">
        <w:rPr>
          <w:i/>
        </w:rPr>
        <w:t>in Constitutional Adjudication</w:t>
      </w:r>
      <w:r w:rsidR="00302A04">
        <w:t>, 73</w:t>
      </w:r>
      <w:r w:rsidR="00302A04">
        <w:rPr>
          <w:spacing w:val="5"/>
        </w:rPr>
        <w:t xml:space="preserve"> </w:t>
      </w:r>
      <w:r w:rsidR="00302A04">
        <w:t>C</w:t>
      </w:r>
      <w:r w:rsidR="00302A04">
        <w:rPr>
          <w:sz w:val="16"/>
        </w:rPr>
        <w:t>ORNELL</w:t>
      </w:r>
      <w:r w:rsidR="00302A04">
        <w:rPr>
          <w:spacing w:val="20"/>
          <w:sz w:val="16"/>
        </w:rPr>
        <w:t xml:space="preserve"> </w:t>
      </w:r>
      <w:r w:rsidR="00302A04">
        <w:t>L.</w:t>
      </w:r>
      <w:r w:rsidR="00302A04">
        <w:rPr>
          <w:spacing w:val="10"/>
        </w:rPr>
        <w:t xml:space="preserve"> </w:t>
      </w:r>
      <w:r w:rsidR="00302A04">
        <w:t>R</w:t>
      </w:r>
      <w:r w:rsidR="00302A04">
        <w:rPr>
          <w:sz w:val="16"/>
        </w:rPr>
        <w:t>EV</w:t>
      </w:r>
      <w:r w:rsidR="00302A04">
        <w:t>.</w:t>
      </w:r>
      <w:r w:rsidR="00302A04">
        <w:rPr>
          <w:spacing w:val="17"/>
        </w:rPr>
        <w:t xml:space="preserve"> </w:t>
      </w:r>
      <w:r w:rsidR="00302A04">
        <w:t>401, 402</w:t>
      </w:r>
      <w:r w:rsidR="00302A04">
        <w:rPr>
          <w:spacing w:val="-1"/>
        </w:rPr>
        <w:t xml:space="preserve"> </w:t>
      </w:r>
      <w:r w:rsidR="00302A04">
        <w:t>(1988)</w:t>
      </w:r>
      <w:r>
        <w:t>.</w:t>
      </w:r>
    </w:p>
  </w:footnote>
  <w:footnote w:id="38">
    <w:p w14:paraId="04ACF469" w14:textId="6EE305B8" w:rsidR="00767509" w:rsidRDefault="00767509">
      <w:pPr>
        <w:pStyle w:val="FootnoteText"/>
      </w:pPr>
      <w:r>
        <w:rPr>
          <w:rStyle w:val="FootnoteReference"/>
        </w:rPr>
        <w:footnoteRef/>
      </w:r>
      <w:r>
        <w:t xml:space="preserve"> See </w:t>
      </w:r>
      <w:r w:rsidR="00882583">
        <w:t xml:space="preserve">generally </w:t>
      </w:r>
      <w:r w:rsidR="00E36AFF" w:rsidRPr="00F9480D">
        <w:rPr>
          <w:smallCaps/>
        </w:rPr>
        <w:t>Bryan Garner, et al., Law of Judicial Precedent (2016)</w:t>
      </w:r>
      <w:r>
        <w:t>.</w:t>
      </w:r>
    </w:p>
  </w:footnote>
  <w:footnote w:id="39">
    <w:p w14:paraId="3F5DA851" w14:textId="1A5DE068" w:rsidR="00564213" w:rsidRDefault="00564213">
      <w:pPr>
        <w:pStyle w:val="FootnoteText"/>
      </w:pPr>
      <w:r>
        <w:rPr>
          <w:rStyle w:val="FootnoteReference"/>
        </w:rPr>
        <w:footnoteRef/>
      </w:r>
      <w:r>
        <w:t xml:space="preserve"> See </w:t>
      </w:r>
      <w:r w:rsidR="00D61441" w:rsidRPr="00D61441">
        <w:t>Frederick</w:t>
      </w:r>
      <w:r w:rsidR="00F9792E">
        <w:t xml:space="preserve"> </w:t>
      </w:r>
      <w:r w:rsidR="00F9792E" w:rsidRPr="00D61441">
        <w:t>Schauer</w:t>
      </w:r>
      <w:r w:rsidR="00F9792E">
        <w:t>,</w:t>
      </w:r>
      <w:r w:rsidR="00D61441" w:rsidRPr="00D61441">
        <w:t xml:space="preserve"> </w:t>
      </w:r>
      <w:r w:rsidR="00D61441" w:rsidRPr="00F9792E">
        <w:rPr>
          <w:i/>
          <w:iCs/>
        </w:rPr>
        <w:t xml:space="preserve">Giving </w:t>
      </w:r>
      <w:r w:rsidR="00F9792E" w:rsidRPr="00F9792E">
        <w:rPr>
          <w:i/>
          <w:iCs/>
        </w:rPr>
        <w:t>R</w:t>
      </w:r>
      <w:r w:rsidR="00D61441" w:rsidRPr="00F9792E">
        <w:rPr>
          <w:i/>
          <w:iCs/>
        </w:rPr>
        <w:t>easons</w:t>
      </w:r>
      <w:r w:rsidR="00F9792E">
        <w:t xml:space="preserve">, 47 </w:t>
      </w:r>
      <w:r w:rsidR="00D61441" w:rsidRPr="00F9792E">
        <w:rPr>
          <w:smallCaps/>
        </w:rPr>
        <w:t>Stan. L. Rev.</w:t>
      </w:r>
      <w:r w:rsidR="00F9792E">
        <w:t xml:space="preserve"> 633 </w:t>
      </w:r>
      <w:r w:rsidR="00D61441" w:rsidRPr="00D61441">
        <w:t>(1994).</w:t>
      </w:r>
    </w:p>
  </w:footnote>
  <w:footnote w:id="40">
    <w:p w14:paraId="1B2642BA" w14:textId="1C702EA8" w:rsidR="00E47774" w:rsidRPr="009959BA" w:rsidRDefault="00E47774">
      <w:pPr>
        <w:pStyle w:val="FootnoteText"/>
      </w:pPr>
      <w:r>
        <w:rPr>
          <w:rStyle w:val="FootnoteReference"/>
        </w:rPr>
        <w:footnoteRef/>
      </w:r>
      <w:r>
        <w:t xml:space="preserve"> See </w:t>
      </w:r>
      <w:r w:rsidRPr="00F30B7F">
        <w:rPr>
          <w:i/>
          <w:iCs/>
        </w:rPr>
        <w:t>Planned Parenthood</w:t>
      </w:r>
      <w:r w:rsidR="00D56364">
        <w:rPr>
          <w:i/>
          <w:iCs/>
        </w:rPr>
        <w:t xml:space="preserve"> of </w:t>
      </w:r>
      <w:proofErr w:type="spellStart"/>
      <w:r w:rsidR="00D56364">
        <w:rPr>
          <w:i/>
          <w:iCs/>
        </w:rPr>
        <w:t>Southeaster</w:t>
      </w:r>
      <w:proofErr w:type="spellEnd"/>
      <w:r w:rsidR="00D56364">
        <w:rPr>
          <w:i/>
          <w:iCs/>
        </w:rPr>
        <w:t xml:space="preserve"> Pennsylvania</w:t>
      </w:r>
      <w:r w:rsidRPr="00F30B7F">
        <w:rPr>
          <w:i/>
          <w:iCs/>
        </w:rPr>
        <w:t xml:space="preserve"> v. Casey</w:t>
      </w:r>
      <w:r w:rsidR="00F30B7F">
        <w:t xml:space="preserve">, </w:t>
      </w:r>
      <w:r w:rsidR="009474CF">
        <w:t xml:space="preserve">505 U.S. 833, </w:t>
      </w:r>
      <w:r w:rsidR="000A2303">
        <w:t>854-61 (1992)</w:t>
      </w:r>
      <w:r w:rsidR="00D97CFA">
        <w:t xml:space="preserve">; Alexander &amp; Schauer, </w:t>
      </w:r>
      <w:r w:rsidR="009959BA">
        <w:rPr>
          <w:i/>
          <w:iCs/>
        </w:rPr>
        <w:t xml:space="preserve">supra </w:t>
      </w:r>
      <w:r w:rsidR="009959BA">
        <w:t xml:space="preserve">note </w:t>
      </w:r>
      <w:r w:rsidR="009959BA">
        <w:fldChar w:fldCharType="begin"/>
      </w:r>
      <w:r w:rsidR="009959BA">
        <w:instrText xml:space="preserve"> NOTEREF _Ref186275237 \h </w:instrText>
      </w:r>
      <w:r w:rsidR="009959BA">
        <w:fldChar w:fldCharType="separate"/>
      </w:r>
      <w:r w:rsidR="00454C1B">
        <w:t>29</w:t>
      </w:r>
      <w:r w:rsidR="009959BA">
        <w:fldChar w:fldCharType="end"/>
      </w:r>
      <w:r w:rsidR="009959BA">
        <w:t>, at 1378 n. 80.</w:t>
      </w:r>
    </w:p>
  </w:footnote>
  <w:footnote w:id="41">
    <w:p w14:paraId="4BC4A241" w14:textId="0FDC2303" w:rsidR="00CD3F96" w:rsidRDefault="00CD3F96">
      <w:pPr>
        <w:pStyle w:val="FootnoteText"/>
      </w:pPr>
      <w:r>
        <w:rPr>
          <w:rStyle w:val="FootnoteReference"/>
        </w:rPr>
        <w:footnoteRef/>
      </w:r>
      <w:r>
        <w:t xml:space="preserve"> </w:t>
      </w:r>
      <w:r w:rsidR="0096332E">
        <w:t xml:space="preserve">See </w:t>
      </w:r>
      <w:r w:rsidR="00BB3AA0">
        <w:t xml:space="preserve">sources cited </w:t>
      </w:r>
      <w:r w:rsidR="003B055A" w:rsidRPr="003B055A">
        <w:rPr>
          <w:i/>
          <w:iCs/>
        </w:rPr>
        <w:t>supra</w:t>
      </w:r>
      <w:r w:rsidR="003B055A">
        <w:t xml:space="preserve">, </w:t>
      </w:r>
      <w:r w:rsidR="00BB3AA0">
        <w:t xml:space="preserve">note </w:t>
      </w:r>
      <w:r w:rsidR="00BB3AA0">
        <w:fldChar w:fldCharType="begin"/>
      </w:r>
      <w:r w:rsidR="00BB3AA0">
        <w:instrText xml:space="preserve"> NOTEREF _Ref185848881 \h </w:instrText>
      </w:r>
      <w:r w:rsidR="00BB3AA0">
        <w:fldChar w:fldCharType="separate"/>
      </w:r>
      <w:r w:rsidR="00454C1B">
        <w:t>35</w:t>
      </w:r>
      <w:r w:rsidR="00BB3AA0">
        <w:fldChar w:fldCharType="end"/>
      </w:r>
      <w:r>
        <w:t>.</w:t>
      </w:r>
    </w:p>
  </w:footnote>
  <w:footnote w:id="42">
    <w:p w14:paraId="7CB700EF" w14:textId="7BBCD881" w:rsidR="000E08E0" w:rsidRPr="000E08E0" w:rsidRDefault="000E08E0">
      <w:pPr>
        <w:pStyle w:val="FootnoteText"/>
      </w:pPr>
      <w:r>
        <w:rPr>
          <w:rStyle w:val="FootnoteReference"/>
        </w:rPr>
        <w:footnoteRef/>
      </w:r>
      <w:r>
        <w:t xml:space="preserve"> See Garner, </w:t>
      </w:r>
      <w:r>
        <w:rPr>
          <w:i/>
          <w:iCs/>
        </w:rPr>
        <w:t xml:space="preserve">supra </w:t>
      </w:r>
      <w:r>
        <w:t xml:space="preserve">note </w:t>
      </w:r>
      <w:r>
        <w:fldChar w:fldCharType="begin"/>
      </w:r>
      <w:r>
        <w:instrText xml:space="preserve"> NOTEREF _Ref186029072 \h </w:instrText>
      </w:r>
      <w:r>
        <w:fldChar w:fldCharType="separate"/>
      </w:r>
      <w:r w:rsidR="00454C1B">
        <w:t>36</w:t>
      </w:r>
      <w:r>
        <w:fldChar w:fldCharType="end"/>
      </w:r>
      <w:r>
        <w:t xml:space="preserve">, </w:t>
      </w:r>
      <w:r>
        <w:rPr>
          <w:i/>
          <w:iCs/>
        </w:rPr>
        <w:t>passim</w:t>
      </w:r>
      <w:r>
        <w:t>.</w:t>
      </w:r>
    </w:p>
  </w:footnote>
  <w:footnote w:id="43">
    <w:p w14:paraId="3562C5D2" w14:textId="06D13BDB" w:rsidR="00355275" w:rsidRDefault="00355275">
      <w:pPr>
        <w:pStyle w:val="FootnoteText"/>
      </w:pPr>
      <w:r>
        <w:rPr>
          <w:rStyle w:val="FootnoteReference"/>
        </w:rPr>
        <w:footnoteRef/>
      </w:r>
      <w:r>
        <w:t xml:space="preserve"> </w:t>
      </w:r>
      <w:r w:rsidR="00D335AF" w:rsidRPr="00DD438E">
        <w:rPr>
          <w:smallCaps/>
        </w:rPr>
        <w:t>Geoffrey Chaucer, Parlement of Foules</w:t>
      </w:r>
      <w:r w:rsidR="00D335AF">
        <w:t xml:space="preserve"> (</w:t>
      </w:r>
      <w:r w:rsidR="003664A9">
        <w:t>Drennan ed. 1914).</w:t>
      </w:r>
    </w:p>
  </w:footnote>
  <w:footnote w:id="44">
    <w:p w14:paraId="4104DB6D" w14:textId="444EDBB1" w:rsidR="002E17F4" w:rsidRDefault="002E17F4">
      <w:pPr>
        <w:pStyle w:val="FootnoteText"/>
      </w:pPr>
      <w:r>
        <w:rPr>
          <w:rStyle w:val="FootnoteReference"/>
        </w:rPr>
        <w:footnoteRef/>
      </w:r>
      <w:r>
        <w:t xml:space="preserve"> The observation that all models are wrong</w:t>
      </w:r>
      <w:r w:rsidR="008878E8">
        <w:t xml:space="preserve"> but some are useful</w:t>
      </w:r>
      <w:r>
        <w:t xml:space="preserve"> has become a cliché. The classic statement is fr</w:t>
      </w:r>
      <w:r w:rsidR="00FD1A22">
        <w:t>o</w:t>
      </w:r>
      <w:r>
        <w:t>m Ge</w:t>
      </w:r>
      <w:r w:rsidR="009F4A98">
        <w:t>orge Box</w:t>
      </w:r>
      <w:r w:rsidR="00F17C08">
        <w:t xml:space="preserve">, </w:t>
      </w:r>
      <w:r w:rsidR="009025FE" w:rsidRPr="00A51690">
        <w:rPr>
          <w:i/>
          <w:iCs/>
        </w:rPr>
        <w:t xml:space="preserve">Science and </w:t>
      </w:r>
      <w:r w:rsidR="00A51690" w:rsidRPr="00A51690">
        <w:rPr>
          <w:i/>
          <w:iCs/>
        </w:rPr>
        <w:t>S</w:t>
      </w:r>
      <w:r w:rsidR="009025FE" w:rsidRPr="00A51690">
        <w:rPr>
          <w:i/>
          <w:iCs/>
        </w:rPr>
        <w:t>tatistics</w:t>
      </w:r>
      <w:r w:rsidR="00A51690">
        <w:t>,</w:t>
      </w:r>
      <w:r w:rsidR="009025FE" w:rsidRPr="009025FE">
        <w:t xml:space="preserve"> </w:t>
      </w:r>
      <w:r w:rsidR="00A51690" w:rsidRPr="009025FE">
        <w:t>71</w:t>
      </w:r>
      <w:r w:rsidR="00A51690">
        <w:t xml:space="preserve"> </w:t>
      </w:r>
      <w:r w:rsidR="00A51690" w:rsidRPr="00A51690">
        <w:rPr>
          <w:smallCaps/>
        </w:rPr>
        <w:t>J. Am. Stat. Assoc.</w:t>
      </w:r>
      <w:r w:rsidR="00A3598C">
        <w:t xml:space="preserve"> 791, </w:t>
      </w:r>
      <w:r w:rsidR="00C35AAC">
        <w:t>792</w:t>
      </w:r>
      <w:r w:rsidR="009025FE" w:rsidRPr="009025FE">
        <w:t xml:space="preserve"> (</w:t>
      </w:r>
      <w:r w:rsidR="00641E43">
        <w:t>1976</w:t>
      </w:r>
      <w:r w:rsidR="009025FE" w:rsidRPr="009025FE">
        <w:t>)</w:t>
      </w:r>
      <w:r w:rsidR="00411D7F">
        <w:t>.</w:t>
      </w:r>
    </w:p>
  </w:footnote>
  <w:footnote w:id="45">
    <w:p w14:paraId="668FB734" w14:textId="667FC311" w:rsidR="00B75083" w:rsidRDefault="00B75083">
      <w:pPr>
        <w:pStyle w:val="FootnoteText"/>
      </w:pPr>
      <w:r>
        <w:rPr>
          <w:rStyle w:val="FootnoteReference"/>
        </w:rPr>
        <w:footnoteRef/>
      </w:r>
      <w:r>
        <w:t xml:space="preserve"> See R</w:t>
      </w:r>
      <w:r>
        <w:rPr>
          <w:sz w:val="16"/>
        </w:rPr>
        <w:t xml:space="preserve">ICHARD </w:t>
      </w:r>
      <w:r>
        <w:t>F. F</w:t>
      </w:r>
      <w:r>
        <w:rPr>
          <w:sz w:val="16"/>
        </w:rPr>
        <w:t>ENNO</w:t>
      </w:r>
      <w:r>
        <w:t>, C</w:t>
      </w:r>
      <w:r>
        <w:rPr>
          <w:sz w:val="16"/>
        </w:rPr>
        <w:t xml:space="preserve">ONGRESSMEN IN </w:t>
      </w:r>
      <w:r>
        <w:t>C</w:t>
      </w:r>
      <w:r>
        <w:rPr>
          <w:sz w:val="16"/>
        </w:rPr>
        <w:t xml:space="preserve">OMMITTEES </w:t>
      </w:r>
      <w:r>
        <w:t>(1973). See also D</w:t>
      </w:r>
      <w:r>
        <w:rPr>
          <w:sz w:val="16"/>
        </w:rPr>
        <w:t xml:space="preserve">AVID </w:t>
      </w:r>
      <w:r>
        <w:t>M</w:t>
      </w:r>
      <w:r>
        <w:rPr>
          <w:sz w:val="16"/>
        </w:rPr>
        <w:t>AYHEW</w:t>
      </w:r>
      <w:r>
        <w:t>, T</w:t>
      </w:r>
      <w:r>
        <w:rPr>
          <w:sz w:val="16"/>
        </w:rPr>
        <w:t xml:space="preserve">HE </w:t>
      </w:r>
      <w:r>
        <w:t>E</w:t>
      </w:r>
      <w:r>
        <w:rPr>
          <w:sz w:val="16"/>
        </w:rPr>
        <w:t xml:space="preserve">LECTORAL </w:t>
      </w:r>
      <w:r>
        <w:t>C</w:t>
      </w:r>
      <w:r>
        <w:rPr>
          <w:sz w:val="16"/>
        </w:rPr>
        <w:t xml:space="preserve">ONNECTION </w:t>
      </w:r>
      <w:r>
        <w:t>(1974) (focusing on MCs’ reelection motive).</w:t>
      </w:r>
    </w:p>
  </w:footnote>
  <w:footnote w:id="46">
    <w:p w14:paraId="192714C9" w14:textId="04765E33" w:rsidR="007A465A" w:rsidRDefault="007A465A">
      <w:pPr>
        <w:pStyle w:val="FootnoteText"/>
      </w:pPr>
      <w:r>
        <w:rPr>
          <w:rStyle w:val="FootnoteReference"/>
        </w:rPr>
        <w:footnoteRef/>
      </w:r>
      <w:r>
        <w:t xml:space="preserve"> See, e.g., </w:t>
      </w:r>
      <w:r w:rsidRPr="001F6AA4">
        <w:rPr>
          <w:smallCaps/>
        </w:rPr>
        <w:t xml:space="preserve">Timothy Shenk, </w:t>
      </w:r>
      <w:proofErr w:type="spellStart"/>
      <w:r w:rsidR="009060A0" w:rsidRPr="001F6AA4">
        <w:rPr>
          <w:smallCaps/>
        </w:rPr>
        <w:t>Realigners</w:t>
      </w:r>
      <w:proofErr w:type="spellEnd"/>
      <w:r w:rsidR="009060A0" w:rsidRPr="001F6AA4">
        <w:rPr>
          <w:smallCaps/>
        </w:rPr>
        <w:t>: Partisan Hacks, Political Visionaries, and the Struggle to Rule American Democracy</w:t>
      </w:r>
      <w:r w:rsidR="001F6AA4">
        <w:t xml:space="preserve"> 11-26</w:t>
      </w:r>
      <w:r w:rsidR="009060A0">
        <w:t xml:space="preserve"> (</w:t>
      </w:r>
      <w:r w:rsidR="001F6AA4">
        <w:t>2022).</w:t>
      </w:r>
    </w:p>
  </w:footnote>
  <w:footnote w:id="47">
    <w:p w14:paraId="182B38AF" w14:textId="459F6941" w:rsidR="00680E6F" w:rsidRDefault="00680E6F">
      <w:pPr>
        <w:pStyle w:val="FootnoteText"/>
      </w:pPr>
      <w:r>
        <w:rPr>
          <w:rStyle w:val="FootnoteReference"/>
        </w:rPr>
        <w:footnoteRef/>
      </w:r>
      <w:r>
        <w:t xml:space="preserve"> </w:t>
      </w:r>
      <w:r w:rsidR="00B772A3">
        <w:t xml:space="preserve">See generally </w:t>
      </w:r>
      <w:r w:rsidR="00A15568" w:rsidRPr="00A15568">
        <w:rPr>
          <w:smallCaps/>
        </w:rPr>
        <w:t>Ruth Bloch Rubin</w:t>
      </w:r>
      <w:r w:rsidR="00A15568">
        <w:rPr>
          <w:smallCaps/>
        </w:rPr>
        <w:t>,</w:t>
      </w:r>
      <w:r w:rsidR="00A15568" w:rsidRPr="00A15568">
        <w:rPr>
          <w:smallCaps/>
        </w:rPr>
        <w:t xml:space="preserve"> Building the Bloc: Intraparty Organization in the U.S. Congress (2017)</w:t>
      </w:r>
    </w:p>
  </w:footnote>
  <w:footnote w:id="48">
    <w:p w14:paraId="50DD057E" w14:textId="3F11DC4A" w:rsidR="000F3A01" w:rsidRDefault="000F3A01" w:rsidP="00113CE3">
      <w:pPr>
        <w:pStyle w:val="FootnoteText"/>
      </w:pPr>
      <w:r>
        <w:rPr>
          <w:rStyle w:val="FootnoteReference"/>
        </w:rPr>
        <w:footnoteRef/>
      </w:r>
      <w:r>
        <w:t xml:space="preserve"> </w:t>
      </w:r>
      <w:r w:rsidR="00541850">
        <w:t>See Thomas Schwartz</w:t>
      </w:r>
      <w:r w:rsidR="004577B2">
        <w:t>, Why Parties? Research Memorandum, Department of Political Science</w:t>
      </w:r>
      <w:r w:rsidR="00854949">
        <w:t xml:space="preserve">, University of California at Los Angeles. </w:t>
      </w:r>
      <w:r w:rsidR="00D8168C">
        <w:t xml:space="preserve">Schwartz’s unpublished memo was made famous in </w:t>
      </w:r>
      <w:r w:rsidR="00D8168C" w:rsidRPr="00141858">
        <w:rPr>
          <w:smallCaps/>
        </w:rPr>
        <w:t>John H. Aldrich, Why Parties?: The Origin and Transformation of Political Parties in America</w:t>
      </w:r>
      <w:r w:rsidR="00D8168C">
        <w:t xml:space="preserve"> (1995)</w:t>
      </w:r>
      <w:r w:rsidR="00BF23F1">
        <w:t xml:space="preserve">. I rely on Aldrich’s description here. </w:t>
      </w:r>
      <w:r>
        <w:t>A large political science literature has built on Schwartz’s insight</w:t>
      </w:r>
      <w:r w:rsidR="00113CE3">
        <w:t>,</w:t>
      </w:r>
      <w:r w:rsidR="00D8168C">
        <w:t xml:space="preserve"> </w:t>
      </w:r>
      <w:r w:rsidR="00141858">
        <w:t xml:space="preserve">much of it associated with the </w:t>
      </w:r>
      <w:r w:rsidR="00052842">
        <w:t>“UCLA School” of political scientists, s</w:t>
      </w:r>
      <w:r w:rsidR="00113CE3">
        <w:t xml:space="preserve">ee, e.g., </w:t>
      </w:r>
      <w:r w:rsidR="004B751F" w:rsidRPr="009B6F80">
        <w:rPr>
          <w:smallCaps/>
        </w:rPr>
        <w:t xml:space="preserve">Marcy Cohen, David Karol, Hans Noel, &amp; John Zaller, The Party Decides: </w:t>
      </w:r>
      <w:r w:rsidR="00970B82" w:rsidRPr="009B6F80">
        <w:rPr>
          <w:smallCaps/>
        </w:rPr>
        <w:t>Presidential Nominations Before and After Reform (2008)</w:t>
      </w:r>
      <w:r w:rsidR="009B6F80">
        <w:t xml:space="preserve">, </w:t>
      </w:r>
      <w:r w:rsidR="00113CE3">
        <w:t xml:space="preserve">Kathleen </w:t>
      </w:r>
      <w:proofErr w:type="spellStart"/>
      <w:r w:rsidR="00113CE3">
        <w:t>Bawm</w:t>
      </w:r>
      <w:proofErr w:type="spellEnd"/>
      <w:r w:rsidR="00113CE3">
        <w:t xml:space="preserve">. Martin Cohen, David Karol, Seth </w:t>
      </w:r>
      <w:proofErr w:type="spellStart"/>
      <w:r w:rsidR="00113CE3">
        <w:t>Masket</w:t>
      </w:r>
      <w:proofErr w:type="spellEnd"/>
      <w:r w:rsidR="00113CE3">
        <w:t xml:space="preserve">, Hans Noel &amp; John Zaller, </w:t>
      </w:r>
      <w:r w:rsidR="00113CE3" w:rsidRPr="00570D51">
        <w:rPr>
          <w:i/>
          <w:iCs/>
        </w:rPr>
        <w:t>A Theory of Political Parties: Groups, Policy Demands, and Nominations in American Politics</w:t>
      </w:r>
      <w:r w:rsidR="00113CE3">
        <w:t xml:space="preserve">, 10 </w:t>
      </w:r>
      <w:proofErr w:type="spellStart"/>
      <w:r w:rsidR="00674EAD" w:rsidRPr="00674EAD">
        <w:rPr>
          <w:smallCaps/>
        </w:rPr>
        <w:t>Persp</w:t>
      </w:r>
      <w:proofErr w:type="spellEnd"/>
      <w:r w:rsidR="00674EAD" w:rsidRPr="00674EAD">
        <w:rPr>
          <w:smallCaps/>
        </w:rPr>
        <w:t xml:space="preserve">. </w:t>
      </w:r>
      <w:r w:rsidR="00674EAD">
        <w:rPr>
          <w:smallCaps/>
        </w:rPr>
        <w:t>o</w:t>
      </w:r>
      <w:r w:rsidR="00674EAD" w:rsidRPr="00674EAD">
        <w:rPr>
          <w:smallCaps/>
        </w:rPr>
        <w:t>n Pol</w:t>
      </w:r>
      <w:r w:rsidR="00113CE3">
        <w:t xml:space="preserve">. 571 (2012). The UCLA School has been criticized for some of their assumptions and claims. See Nolan McCarty and Eric Schickler, </w:t>
      </w:r>
      <w:r w:rsidR="00113CE3" w:rsidRPr="00EA6034">
        <w:rPr>
          <w:i/>
          <w:iCs/>
        </w:rPr>
        <w:t>On the Theory of Parties</w:t>
      </w:r>
      <w:r w:rsidR="00113CE3">
        <w:t xml:space="preserve">, 21 </w:t>
      </w:r>
      <w:r w:rsidR="00570D51" w:rsidRPr="00570D51">
        <w:rPr>
          <w:smallCaps/>
        </w:rPr>
        <w:t>Ann. Rev. Pol. Sci</w:t>
      </w:r>
      <w:r w:rsidR="00113CE3">
        <w:t xml:space="preserve">. 175 (2018). However, my argument relies only on the basics of the UCLA School’s framework and should be fairly noncontroversial. While the framework is clearly pluralist in a sense, I make no assumptions about the distribution of power across groups. My model is consistent with the view that such power is distributed fairly broadly, see generally </w:t>
      </w:r>
      <w:r w:rsidR="0096298C" w:rsidRPr="0096298C">
        <w:rPr>
          <w:smallCaps/>
        </w:rPr>
        <w:t xml:space="preserve">Robert Dahl, Who Governs?: Democracy And Power In An American City </w:t>
      </w:r>
      <w:r w:rsidR="00113CE3">
        <w:t>(1961), as well as with theories that see power in the hands of a narrow “power elite,</w:t>
      </w:r>
      <w:r w:rsidR="0096298C">
        <w:t>”</w:t>
      </w:r>
      <w:r w:rsidR="00113CE3">
        <w:t xml:space="preserve"> see generally </w:t>
      </w:r>
      <w:r w:rsidR="0096298C" w:rsidRPr="0096298C">
        <w:rPr>
          <w:smallCaps/>
        </w:rPr>
        <w:t xml:space="preserve">C. Wright Mills, The Power Elite </w:t>
      </w:r>
      <w:r w:rsidR="00113CE3">
        <w:t xml:space="preserve">(1956). Of course, those who hold the latter view will find the story I tell less normatively attractive, but provided they see the courts as no less elitist than the political process they should still get something from it. </w:t>
      </w:r>
      <w:r w:rsidR="00113CE3" w:rsidRPr="00836E77">
        <w:rPr>
          <w:i/>
          <w:iCs/>
        </w:rPr>
        <w:t>Cf.</w:t>
      </w:r>
      <w:r w:rsidR="00113CE3">
        <w:t xml:space="preserve"> Einer R. Elhauge, </w:t>
      </w:r>
      <w:r w:rsidR="00113CE3" w:rsidRPr="00836E77">
        <w:rPr>
          <w:i/>
          <w:iCs/>
        </w:rPr>
        <w:t>Does Interest Group Theory Justify More Intrusive Judicial Review?</w:t>
      </w:r>
      <w:r w:rsidR="00113CE3">
        <w:t xml:space="preserve">, 101 </w:t>
      </w:r>
      <w:r w:rsidR="00836E77" w:rsidRPr="00836E77">
        <w:rPr>
          <w:smallCaps/>
        </w:rPr>
        <w:t xml:space="preserve">Yale </w:t>
      </w:r>
      <w:r w:rsidR="00113CE3">
        <w:t>L.J. 31, 66-101 (1991) (arguing that interest group theory does not demonstrate the value of litigation generally or judicial review in particular as a corrective for Congress’s problems).</w:t>
      </w:r>
    </w:p>
  </w:footnote>
  <w:footnote w:id="49">
    <w:p w14:paraId="6E7F4E62" w14:textId="48954032" w:rsidR="00C0166D" w:rsidRDefault="00C0166D">
      <w:pPr>
        <w:pStyle w:val="FootnoteText"/>
      </w:pPr>
      <w:r>
        <w:rPr>
          <w:rStyle w:val="FootnoteReference"/>
        </w:rPr>
        <w:footnoteRef/>
      </w:r>
      <w:r>
        <w:t xml:space="preserve"> </w:t>
      </w:r>
      <w:r w:rsidR="00F56B68" w:rsidRPr="00F56B68">
        <w:t xml:space="preserve">There has been a long debate over whether citizens should be able to offer reasons in public debates that they do not sincerely believe in. Most notably, Johns Rawls has argued they should not. See </w:t>
      </w:r>
      <w:r w:rsidR="005D0129" w:rsidRPr="005D0129">
        <w:rPr>
          <w:smallCaps/>
        </w:rPr>
        <w:t xml:space="preserve">Political Liberalism </w:t>
      </w:r>
      <w:r w:rsidR="00F56B68" w:rsidRPr="00F56B68">
        <w:t xml:space="preserve">180, 210, 304 (1993). For a summary of the debate, see Micah Schwartzman, </w:t>
      </w:r>
      <w:r w:rsidR="00F56B68" w:rsidRPr="00547BB7">
        <w:rPr>
          <w:i/>
          <w:iCs/>
        </w:rPr>
        <w:t>The Sincerity of Public Reason</w:t>
      </w:r>
      <w:r w:rsidR="00F56B68" w:rsidRPr="00F56B68">
        <w:t xml:space="preserve">, 19 </w:t>
      </w:r>
      <w:r w:rsidR="00547BB7" w:rsidRPr="00547BB7">
        <w:rPr>
          <w:smallCaps/>
        </w:rPr>
        <w:t>J. Pol. Phil</w:t>
      </w:r>
      <w:r w:rsidR="00F56B68" w:rsidRPr="00F56B68">
        <w:t>. 375, 375-76 (2011).</w:t>
      </w:r>
    </w:p>
  </w:footnote>
  <w:footnote w:id="50">
    <w:p w14:paraId="5FCEB22B" w14:textId="330EC264" w:rsidR="00220E7D" w:rsidRPr="00063132" w:rsidRDefault="00220E7D">
      <w:pPr>
        <w:pStyle w:val="FootnoteText"/>
        <w:rPr>
          <w:smallCaps/>
        </w:rPr>
      </w:pPr>
      <w:r>
        <w:rPr>
          <w:rStyle w:val="FootnoteReference"/>
        </w:rPr>
        <w:footnoteRef/>
      </w:r>
      <w:r>
        <w:t xml:space="preserve"> </w:t>
      </w:r>
      <w:r w:rsidRPr="00063132">
        <w:rPr>
          <w:smallCaps/>
        </w:rPr>
        <w:t xml:space="preserve">Shamira Gelbman, The Civil Rights Lobby: The Leadership Conference on Civil Rights and the Second Reconstruction </w:t>
      </w:r>
      <w:r w:rsidR="00063132" w:rsidRPr="00063132">
        <w:rPr>
          <w:smallCaps/>
        </w:rPr>
        <w:t xml:space="preserve">30 </w:t>
      </w:r>
      <w:r w:rsidRPr="00063132">
        <w:rPr>
          <w:smallCaps/>
        </w:rPr>
        <w:t>(</w:t>
      </w:r>
      <w:r w:rsidR="00063132" w:rsidRPr="00063132">
        <w:rPr>
          <w:smallCaps/>
        </w:rPr>
        <w:t>2021)</w:t>
      </w:r>
      <w:r w:rsidR="00770A72">
        <w:rPr>
          <w:smallCaps/>
        </w:rPr>
        <w:t xml:space="preserve">’ </w:t>
      </w:r>
      <w:r w:rsidR="00770A72" w:rsidRPr="00815756">
        <w:rPr>
          <w:smallCaps/>
        </w:rPr>
        <w:t>Eric Schickler, Racial Realignment: The Transformation of American Liberalism</w:t>
      </w:r>
      <w:r w:rsidR="00770A72">
        <w:t xml:space="preserve">, 1932-1976 </w:t>
      </w:r>
      <w:r w:rsidR="00203930">
        <w:t xml:space="preserve">108 </w:t>
      </w:r>
      <w:r w:rsidR="00770A72">
        <w:t>(2016).</w:t>
      </w:r>
    </w:p>
  </w:footnote>
  <w:footnote w:id="51">
    <w:p w14:paraId="76AAFD6C" w14:textId="416CD887" w:rsidR="003911FB" w:rsidRPr="0094208C" w:rsidRDefault="003911FB">
      <w:pPr>
        <w:pStyle w:val="FootnoteText"/>
      </w:pPr>
      <w:r>
        <w:rPr>
          <w:rStyle w:val="FootnoteReference"/>
        </w:rPr>
        <w:footnoteRef/>
      </w:r>
      <w:r>
        <w:t xml:space="preserve"> </w:t>
      </w:r>
      <w:r w:rsidR="0026673C" w:rsidRPr="00283224">
        <w:rPr>
          <w:smallCaps/>
        </w:rPr>
        <w:t>Gelbman</w:t>
      </w:r>
      <w:r w:rsidR="0026673C">
        <w:t xml:space="preserve">, </w:t>
      </w:r>
      <w:r w:rsidR="0026673C">
        <w:rPr>
          <w:i/>
          <w:iCs/>
        </w:rPr>
        <w:t xml:space="preserve">supra </w:t>
      </w:r>
      <w:r w:rsidR="0026673C">
        <w:t xml:space="preserve">note </w:t>
      </w:r>
      <w:r w:rsidR="0026673C">
        <w:fldChar w:fldCharType="begin"/>
      </w:r>
      <w:r w:rsidR="0026673C">
        <w:instrText xml:space="preserve"> NOTEREF _Ref185855043 \h </w:instrText>
      </w:r>
      <w:r w:rsidR="0026673C">
        <w:fldChar w:fldCharType="separate"/>
      </w:r>
      <w:r w:rsidR="00454C1B">
        <w:t>48</w:t>
      </w:r>
      <w:r w:rsidR="0026673C">
        <w:fldChar w:fldCharType="end"/>
      </w:r>
      <w:r w:rsidR="0026673C">
        <w:t>,</w:t>
      </w:r>
      <w:r>
        <w:t xml:space="preserve"> at 30-31</w:t>
      </w:r>
      <w:r w:rsidR="0094208C">
        <w:t xml:space="preserve">; </w:t>
      </w:r>
      <w:r w:rsidR="0094208C" w:rsidRPr="00E37AD4">
        <w:rPr>
          <w:smallCaps/>
        </w:rPr>
        <w:t>Schickler</w:t>
      </w:r>
      <w:r w:rsidR="0094208C">
        <w:t xml:space="preserve">, </w:t>
      </w:r>
      <w:r w:rsidR="0094208C">
        <w:rPr>
          <w:i/>
          <w:iCs/>
        </w:rPr>
        <w:t>supra</w:t>
      </w:r>
      <w:r w:rsidR="0094208C">
        <w:t xml:space="preserve"> note </w:t>
      </w:r>
      <w:r w:rsidR="0094208C">
        <w:fldChar w:fldCharType="begin"/>
      </w:r>
      <w:r w:rsidR="0094208C">
        <w:instrText xml:space="preserve"> NOTEREF _Ref185855043 \h </w:instrText>
      </w:r>
      <w:r w:rsidR="0094208C">
        <w:fldChar w:fldCharType="separate"/>
      </w:r>
      <w:r w:rsidR="00454C1B">
        <w:t>48</w:t>
      </w:r>
      <w:r w:rsidR="0094208C">
        <w:fldChar w:fldCharType="end"/>
      </w:r>
      <w:r w:rsidR="0094208C">
        <w:t>, at 108.</w:t>
      </w:r>
    </w:p>
  </w:footnote>
  <w:footnote w:id="52">
    <w:p w14:paraId="6A0165C0" w14:textId="43998EEF" w:rsidR="003A6FE7" w:rsidRDefault="003A6FE7">
      <w:pPr>
        <w:pStyle w:val="FootnoteText"/>
      </w:pPr>
      <w:r>
        <w:rPr>
          <w:rStyle w:val="FootnoteReference"/>
        </w:rPr>
        <w:footnoteRef/>
      </w:r>
      <w:r>
        <w:t xml:space="preserve"> </w:t>
      </w:r>
      <w:r w:rsidR="00283224" w:rsidRPr="00283224">
        <w:rPr>
          <w:smallCaps/>
        </w:rPr>
        <w:t>Gelbman</w:t>
      </w:r>
      <w:r w:rsidR="00283224">
        <w:t xml:space="preserve">, </w:t>
      </w:r>
      <w:r w:rsidR="00283224">
        <w:rPr>
          <w:i/>
          <w:iCs/>
        </w:rPr>
        <w:t xml:space="preserve">supra </w:t>
      </w:r>
      <w:r w:rsidR="00283224">
        <w:t xml:space="preserve">note </w:t>
      </w:r>
      <w:r w:rsidR="00283224">
        <w:fldChar w:fldCharType="begin"/>
      </w:r>
      <w:r w:rsidR="00283224">
        <w:instrText xml:space="preserve"> NOTEREF _Ref185855043 \h </w:instrText>
      </w:r>
      <w:r w:rsidR="00283224">
        <w:fldChar w:fldCharType="separate"/>
      </w:r>
      <w:r w:rsidR="00454C1B">
        <w:t>48</w:t>
      </w:r>
      <w:r w:rsidR="00283224">
        <w:fldChar w:fldCharType="end"/>
      </w:r>
      <w:r w:rsidR="00283224">
        <w:t>, at 32</w:t>
      </w:r>
      <w:r w:rsidR="00A05A8E">
        <w:t>.</w:t>
      </w:r>
    </w:p>
  </w:footnote>
  <w:footnote w:id="53">
    <w:p w14:paraId="030DBC42" w14:textId="18A7693C" w:rsidR="0086078D" w:rsidRDefault="0086078D">
      <w:pPr>
        <w:pStyle w:val="FootnoteText"/>
      </w:pPr>
      <w:r>
        <w:rPr>
          <w:rStyle w:val="FootnoteReference"/>
        </w:rPr>
        <w:footnoteRef/>
      </w:r>
      <w:r>
        <w:t xml:space="preserve"> </w:t>
      </w:r>
      <w:r w:rsidR="004D3C92">
        <w:t xml:space="preserve">Gelbman, </w:t>
      </w:r>
      <w:r w:rsidR="004D3C92">
        <w:rPr>
          <w:i/>
          <w:iCs/>
        </w:rPr>
        <w:t xml:space="preserve">supra </w:t>
      </w:r>
      <w:r w:rsidR="004D3C92">
        <w:t xml:space="preserve">note </w:t>
      </w:r>
      <w:r w:rsidR="004D3C92">
        <w:fldChar w:fldCharType="begin"/>
      </w:r>
      <w:r w:rsidR="004D3C92">
        <w:instrText xml:space="preserve"> NOTEREF _Ref185855043 \h </w:instrText>
      </w:r>
      <w:r w:rsidR="004D3C92">
        <w:fldChar w:fldCharType="separate"/>
      </w:r>
      <w:r w:rsidR="00454C1B">
        <w:t>48</w:t>
      </w:r>
      <w:r w:rsidR="004D3C92">
        <w:fldChar w:fldCharType="end"/>
      </w:r>
      <w:r w:rsidR="004D3C92">
        <w:t>,</w:t>
      </w:r>
      <w:r>
        <w:t xml:space="preserve"> at 30-34.</w:t>
      </w:r>
    </w:p>
  </w:footnote>
  <w:footnote w:id="54">
    <w:p w14:paraId="1BC1BFE1" w14:textId="7626823C" w:rsidR="006D5575" w:rsidRPr="00D8072A" w:rsidRDefault="006D5575">
      <w:pPr>
        <w:pStyle w:val="FootnoteText"/>
        <w:rPr>
          <w:b/>
          <w:bCs/>
        </w:rPr>
      </w:pPr>
      <w:r>
        <w:rPr>
          <w:rStyle w:val="FootnoteReference"/>
        </w:rPr>
        <w:footnoteRef/>
      </w:r>
      <w:r>
        <w:t xml:space="preserve"> Id. at 34</w:t>
      </w:r>
      <w:r w:rsidR="00E37AD4">
        <w:t xml:space="preserve">; </w:t>
      </w:r>
      <w:r w:rsidR="00D8072A" w:rsidRPr="00E37AD4">
        <w:rPr>
          <w:smallCaps/>
        </w:rPr>
        <w:t>Schickler</w:t>
      </w:r>
      <w:r w:rsidR="00D8072A">
        <w:t xml:space="preserve">, </w:t>
      </w:r>
      <w:r w:rsidR="00D8072A">
        <w:rPr>
          <w:i/>
          <w:iCs/>
        </w:rPr>
        <w:t>supra</w:t>
      </w:r>
      <w:r w:rsidR="00D8072A">
        <w:t xml:space="preserve"> note </w:t>
      </w:r>
      <w:r w:rsidR="00D8072A">
        <w:fldChar w:fldCharType="begin"/>
      </w:r>
      <w:r w:rsidR="00D8072A">
        <w:instrText xml:space="preserve"> NOTEREF _Ref185855043 \h </w:instrText>
      </w:r>
      <w:r w:rsidR="00D8072A">
        <w:fldChar w:fldCharType="separate"/>
      </w:r>
      <w:r w:rsidR="00454C1B">
        <w:t>48</w:t>
      </w:r>
      <w:r w:rsidR="00D8072A">
        <w:fldChar w:fldCharType="end"/>
      </w:r>
      <w:r w:rsidR="00D8072A">
        <w:t>, at 108-09.</w:t>
      </w:r>
    </w:p>
  </w:footnote>
  <w:footnote w:id="55">
    <w:p w14:paraId="1036731F" w14:textId="1E4042F8" w:rsidR="008378F2" w:rsidRDefault="008378F2">
      <w:pPr>
        <w:pStyle w:val="FootnoteText"/>
      </w:pPr>
      <w:r>
        <w:rPr>
          <w:rStyle w:val="FootnoteReference"/>
        </w:rPr>
        <w:footnoteRef/>
      </w:r>
      <w:r>
        <w:t xml:space="preserve"> The LCCR is now the Leadership Conference on Civil and Human Rights.</w:t>
      </w:r>
      <w:r w:rsidR="00F2574A">
        <w:t xml:space="preserve"> See discussion below.</w:t>
      </w:r>
    </w:p>
  </w:footnote>
  <w:footnote w:id="56">
    <w:p w14:paraId="552808D6" w14:textId="4CB219D7" w:rsidR="00CA65B6" w:rsidRPr="00D724B3" w:rsidRDefault="00CA65B6">
      <w:pPr>
        <w:pStyle w:val="FootnoteText"/>
      </w:pPr>
      <w:r>
        <w:rPr>
          <w:rStyle w:val="FootnoteReference"/>
        </w:rPr>
        <w:footnoteRef/>
      </w:r>
      <w:r>
        <w:t xml:space="preserve"> </w:t>
      </w:r>
      <w:r w:rsidR="00A333AF" w:rsidRPr="00A333AF">
        <w:rPr>
          <w:smallCaps/>
        </w:rPr>
        <w:t>Gelbman</w:t>
      </w:r>
      <w:r w:rsidR="00A333AF">
        <w:t xml:space="preserve">, </w:t>
      </w:r>
      <w:r w:rsidR="00A333AF">
        <w:rPr>
          <w:i/>
          <w:iCs/>
        </w:rPr>
        <w:t xml:space="preserve">supra </w:t>
      </w:r>
      <w:r w:rsidR="00A333AF" w:rsidRPr="00284EBA">
        <w:t>note</w:t>
      </w:r>
      <w:r w:rsidR="00A333AF">
        <w:rPr>
          <w:i/>
          <w:iCs/>
        </w:rPr>
        <w:t xml:space="preserve"> </w:t>
      </w:r>
      <w:r w:rsidR="00074700">
        <w:fldChar w:fldCharType="begin"/>
      </w:r>
      <w:r w:rsidR="00074700">
        <w:instrText xml:space="preserve"> NOTEREF _Ref185855043 \h </w:instrText>
      </w:r>
      <w:r w:rsidR="00074700">
        <w:fldChar w:fldCharType="separate"/>
      </w:r>
      <w:r w:rsidR="00454C1B">
        <w:t>48</w:t>
      </w:r>
      <w:r w:rsidR="00074700">
        <w:fldChar w:fldCharType="end"/>
      </w:r>
      <w:r w:rsidR="00284EBA">
        <w:t>, at 34</w:t>
      </w:r>
      <w:r w:rsidR="00D724B3">
        <w:t xml:space="preserve">; </w:t>
      </w:r>
      <w:r w:rsidR="00733E3A" w:rsidRPr="00E37AD4">
        <w:rPr>
          <w:smallCaps/>
        </w:rPr>
        <w:t>Schickler</w:t>
      </w:r>
      <w:r w:rsidR="00733E3A">
        <w:t xml:space="preserve">, </w:t>
      </w:r>
      <w:r w:rsidR="00733E3A">
        <w:rPr>
          <w:i/>
          <w:iCs/>
        </w:rPr>
        <w:t>supra</w:t>
      </w:r>
      <w:r w:rsidR="00733E3A">
        <w:t xml:space="preserve"> note </w:t>
      </w:r>
      <w:r w:rsidR="00733E3A">
        <w:fldChar w:fldCharType="begin"/>
      </w:r>
      <w:r w:rsidR="00733E3A">
        <w:instrText xml:space="preserve"> NOTEREF _Ref185855043 \h </w:instrText>
      </w:r>
      <w:r w:rsidR="00733E3A">
        <w:fldChar w:fldCharType="separate"/>
      </w:r>
      <w:r w:rsidR="00454C1B">
        <w:t>48</w:t>
      </w:r>
      <w:r w:rsidR="00733E3A">
        <w:fldChar w:fldCharType="end"/>
      </w:r>
      <w:r w:rsidR="00733E3A">
        <w:t>, at 108-09</w:t>
      </w:r>
      <w:r w:rsidR="00D724B3">
        <w:t>.</w:t>
      </w:r>
    </w:p>
  </w:footnote>
  <w:footnote w:id="57">
    <w:p w14:paraId="00CA647E" w14:textId="0812F010" w:rsidR="00D460A7" w:rsidRDefault="00D460A7">
      <w:pPr>
        <w:pStyle w:val="FootnoteText"/>
      </w:pPr>
      <w:r>
        <w:rPr>
          <w:rStyle w:val="FootnoteReference"/>
        </w:rPr>
        <w:footnoteRef/>
      </w:r>
      <w:r>
        <w:t xml:space="preserve"> </w:t>
      </w:r>
      <w:r w:rsidRPr="00E37AD4">
        <w:rPr>
          <w:smallCaps/>
        </w:rPr>
        <w:t>Schickler</w:t>
      </w:r>
      <w:r>
        <w:t xml:space="preserve">, </w:t>
      </w:r>
      <w:r>
        <w:rPr>
          <w:i/>
          <w:iCs/>
        </w:rPr>
        <w:t>supra</w:t>
      </w:r>
      <w:r>
        <w:t xml:space="preserve"> note </w:t>
      </w:r>
      <w:r>
        <w:fldChar w:fldCharType="begin"/>
      </w:r>
      <w:r>
        <w:instrText xml:space="preserve"> NOTEREF _Ref185855043 \h </w:instrText>
      </w:r>
      <w:r>
        <w:fldChar w:fldCharType="separate"/>
      </w:r>
      <w:r w:rsidR="00454C1B">
        <w:t>48</w:t>
      </w:r>
      <w:r>
        <w:fldChar w:fldCharType="end"/>
      </w:r>
      <w:r>
        <w:t>, at 108-10.</w:t>
      </w:r>
    </w:p>
  </w:footnote>
  <w:footnote w:id="58">
    <w:p w14:paraId="708A1222" w14:textId="05866D8B" w:rsidR="009F0049" w:rsidRDefault="009F0049">
      <w:pPr>
        <w:pStyle w:val="FootnoteText"/>
      </w:pPr>
      <w:r>
        <w:rPr>
          <w:rStyle w:val="FootnoteReference"/>
        </w:rPr>
        <w:footnoteRef/>
      </w:r>
      <w:r>
        <w:t xml:space="preserve"> See discussion, infra.</w:t>
      </w:r>
    </w:p>
  </w:footnote>
  <w:footnote w:id="59">
    <w:p w14:paraId="6D78D3C3" w14:textId="07301447" w:rsidR="00342C47" w:rsidRDefault="00342C47">
      <w:pPr>
        <w:pStyle w:val="FootnoteText"/>
      </w:pPr>
      <w:r>
        <w:rPr>
          <w:rStyle w:val="FootnoteReference"/>
        </w:rPr>
        <w:footnoteRef/>
      </w:r>
      <w:r>
        <w:t xml:space="preserve"> </w:t>
      </w:r>
      <w:r w:rsidRPr="00342C47">
        <w:t xml:space="preserve">See Robert F. Drinan &amp; Jennifer I. Huffman, </w:t>
      </w:r>
      <w:r w:rsidRPr="00946A53">
        <w:rPr>
          <w:i/>
          <w:iCs/>
        </w:rPr>
        <w:t>The Religious Freedom Restoration Act: A Legislative History</w:t>
      </w:r>
      <w:r w:rsidRPr="00342C47">
        <w:t xml:space="preserve">, 10 </w:t>
      </w:r>
      <w:r w:rsidR="00946A53" w:rsidRPr="00946A53">
        <w:rPr>
          <w:smallCaps/>
        </w:rPr>
        <w:t xml:space="preserve">J. L. &amp; Religion </w:t>
      </w:r>
      <w:r w:rsidRPr="00342C47">
        <w:t>531, 531 (1993).</w:t>
      </w:r>
    </w:p>
  </w:footnote>
  <w:footnote w:id="60">
    <w:p w14:paraId="61A7030A" w14:textId="7F468EC5" w:rsidR="0033380F" w:rsidRDefault="0033380F">
      <w:pPr>
        <w:pStyle w:val="FootnoteText"/>
      </w:pPr>
      <w:r>
        <w:rPr>
          <w:rStyle w:val="FootnoteReference"/>
        </w:rPr>
        <w:footnoteRef/>
      </w:r>
      <w:r>
        <w:t xml:space="preserve"> </w:t>
      </w:r>
      <w:r w:rsidR="00CA055B" w:rsidRPr="00CA055B">
        <w:t xml:space="preserve">See Edward D. Berkowitz, </w:t>
      </w:r>
      <w:r w:rsidR="00CA055B" w:rsidRPr="001E6A0B">
        <w:rPr>
          <w:i/>
          <w:iCs/>
        </w:rPr>
        <w:t>A Historical Preface to the Americans with Disabilities Act</w:t>
      </w:r>
      <w:r w:rsidR="00CA055B" w:rsidRPr="00CA055B">
        <w:t xml:space="preserve">, 6 </w:t>
      </w:r>
      <w:r w:rsidR="001E6A0B" w:rsidRPr="001E6A0B">
        <w:rPr>
          <w:smallCaps/>
        </w:rPr>
        <w:t xml:space="preserve">J. </w:t>
      </w:r>
      <w:proofErr w:type="spellStart"/>
      <w:r w:rsidR="001E6A0B" w:rsidRPr="001E6A0B">
        <w:rPr>
          <w:smallCaps/>
        </w:rPr>
        <w:t>Pol’y</w:t>
      </w:r>
      <w:proofErr w:type="spellEnd"/>
      <w:r w:rsidR="001E6A0B" w:rsidRPr="001E6A0B">
        <w:rPr>
          <w:smallCaps/>
        </w:rPr>
        <w:t xml:space="preserve"> Hist</w:t>
      </w:r>
      <w:r w:rsidR="00CA055B" w:rsidRPr="00CA055B">
        <w:t>. 96, 96 (1994). See also S. 933 (101st): Americans with Disabilities Act of 1990, GOVTRACK.US, https://www.govtrack.us/congress/votes/101-1990/s152 (94 percent of senators voting support ADA); S. 933 (101st): Americans with Disabilities Act of 1990, GOVTRACK.US, https://www.govtrack.us/congress/votes/ 101-1990/h228 (93 percent of House members voting support ADA).</w:t>
      </w:r>
    </w:p>
  </w:footnote>
  <w:footnote w:id="61">
    <w:p w14:paraId="346C6C0E" w14:textId="72BCCD47" w:rsidR="006434F8" w:rsidRDefault="006434F8">
      <w:pPr>
        <w:pStyle w:val="FootnoteText"/>
      </w:pPr>
      <w:r>
        <w:rPr>
          <w:rStyle w:val="FootnoteReference"/>
        </w:rPr>
        <w:footnoteRef/>
      </w:r>
      <w:r>
        <w:t xml:space="preserve"> </w:t>
      </w:r>
      <w:r>
        <w:rPr>
          <w:i/>
        </w:rPr>
        <w:t>See</w:t>
      </w:r>
      <w:r>
        <w:rPr>
          <w:i/>
          <w:spacing w:val="-4"/>
        </w:rPr>
        <w:t xml:space="preserve"> </w:t>
      </w:r>
      <w:r>
        <w:rPr>
          <w:i/>
        </w:rPr>
        <w:t>Board</w:t>
      </w:r>
      <w:r>
        <w:rPr>
          <w:i/>
          <w:spacing w:val="-4"/>
        </w:rPr>
        <w:t xml:space="preserve"> </w:t>
      </w:r>
      <w:r>
        <w:rPr>
          <w:i/>
        </w:rPr>
        <w:t>of</w:t>
      </w:r>
      <w:r>
        <w:rPr>
          <w:i/>
          <w:spacing w:val="-4"/>
        </w:rPr>
        <w:t xml:space="preserve"> </w:t>
      </w:r>
      <w:r>
        <w:rPr>
          <w:i/>
        </w:rPr>
        <w:t>Trustees</w:t>
      </w:r>
      <w:r>
        <w:rPr>
          <w:i/>
          <w:spacing w:val="-4"/>
        </w:rPr>
        <w:t xml:space="preserve"> </w:t>
      </w:r>
      <w:r>
        <w:rPr>
          <w:i/>
        </w:rPr>
        <w:t>of</w:t>
      </w:r>
      <w:r>
        <w:rPr>
          <w:i/>
          <w:spacing w:val="-4"/>
        </w:rPr>
        <w:t xml:space="preserve"> </w:t>
      </w:r>
      <w:r>
        <w:rPr>
          <w:i/>
        </w:rPr>
        <w:t>the</w:t>
      </w:r>
      <w:r>
        <w:rPr>
          <w:i/>
          <w:spacing w:val="-4"/>
        </w:rPr>
        <w:t xml:space="preserve"> </w:t>
      </w:r>
      <w:r>
        <w:rPr>
          <w:i/>
        </w:rPr>
        <w:t>University</w:t>
      </w:r>
      <w:r>
        <w:rPr>
          <w:i/>
          <w:spacing w:val="-4"/>
        </w:rPr>
        <w:t xml:space="preserve"> </w:t>
      </w:r>
      <w:r>
        <w:rPr>
          <w:i/>
        </w:rPr>
        <w:t>of</w:t>
      </w:r>
      <w:r>
        <w:rPr>
          <w:i/>
          <w:spacing w:val="-4"/>
        </w:rPr>
        <w:t xml:space="preserve"> </w:t>
      </w:r>
      <w:r>
        <w:rPr>
          <w:i/>
        </w:rPr>
        <w:t>Alabama</w:t>
      </w:r>
      <w:r>
        <w:rPr>
          <w:i/>
          <w:spacing w:val="-4"/>
        </w:rPr>
        <w:t xml:space="preserve"> </w:t>
      </w:r>
      <w:r>
        <w:rPr>
          <w:i/>
        </w:rPr>
        <w:t>v.</w:t>
      </w:r>
      <w:r>
        <w:rPr>
          <w:i/>
          <w:spacing w:val="7"/>
        </w:rPr>
        <w:t xml:space="preserve"> </w:t>
      </w:r>
      <w:r>
        <w:rPr>
          <w:i/>
        </w:rPr>
        <w:t>Garrett</w:t>
      </w:r>
      <w:r>
        <w:t>,</w:t>
      </w:r>
      <w:r>
        <w:rPr>
          <w:spacing w:val="-4"/>
        </w:rPr>
        <w:t xml:space="preserve"> </w:t>
      </w:r>
      <w:r>
        <w:t>531</w:t>
      </w:r>
      <w:r>
        <w:rPr>
          <w:spacing w:val="-4"/>
        </w:rPr>
        <w:t xml:space="preserve"> </w:t>
      </w:r>
      <w:r>
        <w:t>U.S.</w:t>
      </w:r>
      <w:r>
        <w:rPr>
          <w:spacing w:val="-4"/>
        </w:rPr>
        <w:t xml:space="preserve"> </w:t>
      </w:r>
      <w:r>
        <w:t>356,</w:t>
      </w:r>
      <w:r>
        <w:rPr>
          <w:spacing w:val="-4"/>
        </w:rPr>
        <w:t xml:space="preserve"> </w:t>
      </w:r>
      <w:r>
        <w:t>364</w:t>
      </w:r>
      <w:r>
        <w:rPr>
          <w:spacing w:val="-4"/>
        </w:rPr>
        <w:t xml:space="preserve"> </w:t>
      </w:r>
      <w:r>
        <w:t>(2001).</w:t>
      </w:r>
    </w:p>
  </w:footnote>
  <w:footnote w:id="62">
    <w:p w14:paraId="661F7177" w14:textId="46252C2D" w:rsidR="003D439A" w:rsidRDefault="003D439A">
      <w:pPr>
        <w:pStyle w:val="FootnoteText"/>
      </w:pPr>
      <w:r>
        <w:rPr>
          <w:rStyle w:val="FootnoteReference"/>
        </w:rPr>
        <w:footnoteRef/>
      </w:r>
      <w:r>
        <w:t xml:space="preserve"> </w:t>
      </w:r>
      <w:r w:rsidR="00D972D5">
        <w:t>More precisely</w:t>
      </w:r>
      <w:r>
        <w:t>,</w:t>
      </w:r>
      <w:r>
        <w:rPr>
          <w:spacing w:val="-2"/>
        </w:rPr>
        <w:t xml:space="preserve"> </w:t>
      </w:r>
      <w:r>
        <w:t>the</w:t>
      </w:r>
      <w:r>
        <w:rPr>
          <w:spacing w:val="-3"/>
        </w:rPr>
        <w:t xml:space="preserve"> </w:t>
      </w:r>
      <w:r>
        <w:t>union</w:t>
      </w:r>
      <w:r>
        <w:rPr>
          <w:spacing w:val="-2"/>
        </w:rPr>
        <w:t xml:space="preserve"> </w:t>
      </w:r>
      <w:r>
        <w:t>of</w:t>
      </w:r>
      <w:r>
        <w:rPr>
          <w:spacing w:val="-2"/>
        </w:rPr>
        <w:t xml:space="preserve"> </w:t>
      </w:r>
      <w:r>
        <w:t>member</w:t>
      </w:r>
      <w:r>
        <w:rPr>
          <w:spacing w:val="-3"/>
        </w:rPr>
        <w:t xml:space="preserve"> </w:t>
      </w:r>
      <w:r>
        <w:t>beliefs</w:t>
      </w:r>
      <w:r>
        <w:rPr>
          <w:spacing w:val="-2"/>
        </w:rPr>
        <w:t xml:space="preserve"> </w:t>
      </w:r>
      <w:r>
        <w:t>can</w:t>
      </w:r>
      <w:r>
        <w:rPr>
          <w:spacing w:val="-2"/>
        </w:rPr>
        <w:t xml:space="preserve"> </w:t>
      </w:r>
      <w:r>
        <w:t>be</w:t>
      </w:r>
      <w:r>
        <w:rPr>
          <w:spacing w:val="-2"/>
        </w:rPr>
        <w:t xml:space="preserve"> </w:t>
      </w:r>
      <w:r>
        <w:t>far</w:t>
      </w:r>
      <w:r>
        <w:rPr>
          <w:spacing w:val="-3"/>
        </w:rPr>
        <w:t xml:space="preserve"> </w:t>
      </w:r>
      <w:r>
        <w:t>larger</w:t>
      </w:r>
      <w:r>
        <w:rPr>
          <w:spacing w:val="-2"/>
        </w:rPr>
        <w:t xml:space="preserve"> </w:t>
      </w:r>
      <w:r>
        <w:t>than</w:t>
      </w:r>
      <w:r>
        <w:rPr>
          <w:spacing w:val="-2"/>
        </w:rPr>
        <w:t xml:space="preserve"> </w:t>
      </w:r>
      <w:r>
        <w:t>the</w:t>
      </w:r>
      <w:r>
        <w:rPr>
          <w:spacing w:val="-3"/>
        </w:rPr>
        <w:t xml:space="preserve"> </w:t>
      </w:r>
      <w:r>
        <w:t>intersection.</w:t>
      </w:r>
    </w:p>
  </w:footnote>
  <w:footnote w:id="63">
    <w:p w14:paraId="0F6C27F2" w14:textId="30C99AD9" w:rsidR="00D972D5" w:rsidRDefault="00D972D5" w:rsidP="00E12873">
      <w:pPr>
        <w:pStyle w:val="FootnoteText"/>
      </w:pPr>
      <w:r>
        <w:rPr>
          <w:rStyle w:val="FootnoteReference"/>
        </w:rPr>
        <w:footnoteRef/>
      </w:r>
      <w:r>
        <w:t xml:space="preserve"> </w:t>
      </w:r>
      <w:r w:rsidR="001F3ED5" w:rsidRPr="001F3ED5">
        <w:rPr>
          <w:smallCaps/>
        </w:rPr>
        <w:t xml:space="preserve">Laura Weinrib, The Taming Of Free Speech: America’s Civil Liberties Compromise </w:t>
      </w:r>
      <w:r w:rsidR="00E12873">
        <w:t>14-52 (2016)</w:t>
      </w:r>
    </w:p>
  </w:footnote>
  <w:footnote w:id="64">
    <w:p w14:paraId="3536D8D2" w14:textId="35F0C9A2" w:rsidR="00A23953" w:rsidRDefault="00A23953">
      <w:pPr>
        <w:pStyle w:val="FootnoteText"/>
      </w:pPr>
      <w:r>
        <w:rPr>
          <w:rStyle w:val="FootnoteReference"/>
        </w:rPr>
        <w:footnoteRef/>
      </w:r>
      <w:r>
        <w:t xml:space="preserve"> </w:t>
      </w:r>
      <w:r w:rsidR="001F3ED5" w:rsidRPr="001F3ED5">
        <w:rPr>
          <w:smallCaps/>
        </w:rPr>
        <w:t xml:space="preserve">David Rabban, Free Speech In Its Forgotten Years </w:t>
      </w:r>
      <w:r w:rsidRPr="00A23953">
        <w:t>65-67 (1997).</w:t>
      </w:r>
    </w:p>
  </w:footnote>
  <w:footnote w:id="65">
    <w:p w14:paraId="24CD4B4A" w14:textId="0E025CF3" w:rsidR="00577164" w:rsidRDefault="00577164">
      <w:pPr>
        <w:pStyle w:val="FootnoteText"/>
      </w:pPr>
      <w:r>
        <w:rPr>
          <w:rStyle w:val="FootnoteReference"/>
        </w:rPr>
        <w:footnoteRef/>
      </w:r>
      <w:r>
        <w:t xml:space="preserve"> </w:t>
      </w:r>
      <w:r w:rsidR="00DC4F96" w:rsidRPr="00DC4F96">
        <w:rPr>
          <w:smallCaps/>
        </w:rPr>
        <w:t>Weinrib</w:t>
      </w:r>
      <w:r w:rsidR="001756B5" w:rsidRPr="001756B5">
        <w:t xml:space="preserve">, supra note </w:t>
      </w:r>
      <w:r w:rsidR="00365529">
        <w:fldChar w:fldCharType="begin"/>
      </w:r>
      <w:r w:rsidR="00365529">
        <w:instrText xml:space="preserve"> NOTEREF _Ref186373651 \h </w:instrText>
      </w:r>
      <w:r w:rsidR="00365529">
        <w:fldChar w:fldCharType="separate"/>
      </w:r>
      <w:r w:rsidR="00454C1B">
        <w:t>61</w:t>
      </w:r>
      <w:r w:rsidR="00365529">
        <w:fldChar w:fldCharType="end"/>
      </w:r>
      <w:r w:rsidR="001756B5" w:rsidRPr="001756B5">
        <w:t>, at 338 n.14.</w:t>
      </w:r>
    </w:p>
  </w:footnote>
  <w:footnote w:id="66">
    <w:p w14:paraId="57B3D68D" w14:textId="6456A23D" w:rsidR="00EC3797" w:rsidRDefault="00EC3797">
      <w:pPr>
        <w:pStyle w:val="FootnoteText"/>
      </w:pPr>
      <w:r>
        <w:rPr>
          <w:rStyle w:val="FootnoteReference"/>
        </w:rPr>
        <w:footnoteRef/>
      </w:r>
      <w:r>
        <w:t xml:space="preserve"> F</w:t>
      </w:r>
      <w:r>
        <w:rPr>
          <w:sz w:val="16"/>
        </w:rPr>
        <w:t>REEDOM</w:t>
      </w:r>
      <w:r>
        <w:rPr>
          <w:spacing w:val="42"/>
          <w:sz w:val="16"/>
        </w:rPr>
        <w:t xml:space="preserve"> </w:t>
      </w:r>
      <w:r>
        <w:rPr>
          <w:sz w:val="16"/>
        </w:rPr>
        <w:t>OF</w:t>
      </w:r>
      <w:r>
        <w:rPr>
          <w:spacing w:val="42"/>
          <w:sz w:val="16"/>
        </w:rPr>
        <w:t xml:space="preserve"> </w:t>
      </w:r>
      <w:r>
        <w:t>S</w:t>
      </w:r>
      <w:r>
        <w:rPr>
          <w:sz w:val="16"/>
        </w:rPr>
        <w:t>PEECH</w:t>
      </w:r>
      <w:r>
        <w:rPr>
          <w:spacing w:val="35"/>
          <w:sz w:val="16"/>
        </w:rPr>
        <w:t xml:space="preserve"> </w:t>
      </w:r>
      <w:r>
        <w:t>53</w:t>
      </w:r>
      <w:r>
        <w:rPr>
          <w:spacing w:val="18"/>
        </w:rPr>
        <w:t xml:space="preserve"> </w:t>
      </w:r>
      <w:r>
        <w:t>(1920).</w:t>
      </w:r>
    </w:p>
  </w:footnote>
  <w:footnote w:id="67">
    <w:p w14:paraId="1C6D9B86" w14:textId="62227CB2" w:rsidR="00D3754F" w:rsidRDefault="00D3754F">
      <w:pPr>
        <w:pStyle w:val="FootnoteText"/>
      </w:pPr>
      <w:r>
        <w:rPr>
          <w:rStyle w:val="FootnoteReference"/>
        </w:rPr>
        <w:footnoteRef/>
      </w:r>
      <w:r>
        <w:t xml:space="preserve"> Id. at 192-93.</w:t>
      </w:r>
    </w:p>
  </w:footnote>
  <w:footnote w:id="68">
    <w:p w14:paraId="748E43BF" w14:textId="712FD83E" w:rsidR="00944DC6" w:rsidRDefault="00944DC6" w:rsidP="00944DC6">
      <w:pPr>
        <w:pStyle w:val="FootnoteText"/>
      </w:pPr>
      <w:r>
        <w:rPr>
          <w:rStyle w:val="FootnoteReference"/>
        </w:rPr>
        <w:footnoteRef/>
      </w:r>
      <w:r>
        <w:t xml:space="preserve"> </w:t>
      </w:r>
      <w:r w:rsidR="00DC4F96" w:rsidRPr="00DC4F96">
        <w:rPr>
          <w:smallCaps/>
        </w:rPr>
        <w:t xml:space="preserve">Zechariah Chafee, Free Speech In The United States </w:t>
      </w:r>
      <w:r>
        <w:t>218 (1941). See also id. at 37 (defending prosecutions “to punish Emma Goldman and others</w:t>
      </w:r>
      <w:r w:rsidR="001D57B9">
        <w:t>”</w:t>
      </w:r>
      <w:r>
        <w:t xml:space="preserve"> under Civil War-era statutes); id. at 171 (same) Notably, the 1941 update to Chafee’s book may indicate that Chafee was warming to organized labor as it became a larger part of the civil liberties coalition. The update omits any reference to Chafee’s personal support for employers over employees. It also adds a favorable reference to recent Supreme Court decisions declaring that </w:t>
      </w:r>
      <w:r w:rsidR="00FA1DD4">
        <w:t>“</w:t>
      </w:r>
      <w:r>
        <w:t>peaceful picketing is the working man’s means of communication,</w:t>
      </w:r>
      <w:r w:rsidR="00FA1DD4">
        <w:t>”</w:t>
      </w:r>
      <w:r>
        <w:t xml:space="preserve"> id. at 435 (quoting 310 U.S. 88), and a somber recognition that just three witnesses testified against the latest version of the Espionage Act in 1939: representatives from the American Federation of Labor, the Committee on Industrial Organizations, and the ACLU, </w:t>
      </w:r>
      <w:r w:rsidRPr="00870508">
        <w:rPr>
          <w:i/>
          <w:iCs/>
        </w:rPr>
        <w:t>id.</w:t>
      </w:r>
      <w:r>
        <w:t xml:space="preserve"> at 442.</w:t>
      </w:r>
    </w:p>
  </w:footnote>
  <w:footnote w:id="69">
    <w:p w14:paraId="09518AB3" w14:textId="26C531EB" w:rsidR="00E04B6F" w:rsidRDefault="00E04B6F" w:rsidP="00E04B6F">
      <w:pPr>
        <w:pStyle w:val="FootnoteText"/>
      </w:pPr>
      <w:r>
        <w:rPr>
          <w:rStyle w:val="FootnoteReference"/>
        </w:rPr>
        <w:footnoteRef/>
      </w:r>
      <w:r>
        <w:t xml:space="preserve"> See </w:t>
      </w:r>
      <w:r w:rsidR="00661F98" w:rsidRPr="00661F98">
        <w:rPr>
          <w:smallCaps/>
        </w:rPr>
        <w:t>Weinrib</w:t>
      </w:r>
      <w:r>
        <w:t xml:space="preserve">, supra note </w:t>
      </w:r>
      <w:r w:rsidR="00814AFC">
        <w:fldChar w:fldCharType="begin"/>
      </w:r>
      <w:r w:rsidR="00814AFC">
        <w:instrText xml:space="preserve"> NOTEREF _Ref186373651 \h </w:instrText>
      </w:r>
      <w:r w:rsidR="00814AFC">
        <w:fldChar w:fldCharType="separate"/>
      </w:r>
      <w:r w:rsidR="00454C1B">
        <w:t>61</w:t>
      </w:r>
      <w:r w:rsidR="00814AFC">
        <w:fldChar w:fldCharType="end"/>
      </w:r>
      <w:r>
        <w:t xml:space="preserve">, at 271-310. See generally </w:t>
      </w:r>
      <w:r w:rsidR="00076FEF" w:rsidRPr="00076FEF">
        <w:rPr>
          <w:smallCaps/>
        </w:rPr>
        <w:t xml:space="preserve">Mark A. Graber, Transforming Free Speech: The Ambiguous Legacy </w:t>
      </w:r>
      <w:r w:rsidR="00076FEF">
        <w:rPr>
          <w:smallCaps/>
        </w:rPr>
        <w:t>o</w:t>
      </w:r>
      <w:r w:rsidR="00076FEF" w:rsidRPr="00076FEF">
        <w:rPr>
          <w:smallCaps/>
        </w:rPr>
        <w:t xml:space="preserve">f Civil Libertarianism </w:t>
      </w:r>
      <w:r>
        <w:t>(1991).</w:t>
      </w:r>
    </w:p>
  </w:footnote>
  <w:footnote w:id="70">
    <w:p w14:paraId="5FA48DC3" w14:textId="30850CA6" w:rsidR="007659B9" w:rsidRPr="007659B9" w:rsidRDefault="007659B9">
      <w:pPr>
        <w:pStyle w:val="FootnoteText"/>
      </w:pPr>
      <w:r>
        <w:rPr>
          <w:rStyle w:val="FootnoteReference"/>
        </w:rPr>
        <w:footnoteRef/>
      </w:r>
      <w:r>
        <w:t xml:space="preserve"> </w:t>
      </w:r>
      <w:r w:rsidRPr="001D4654">
        <w:rPr>
          <w:smallCaps/>
        </w:rPr>
        <w:t>Gelbman</w:t>
      </w:r>
      <w:r>
        <w:t xml:space="preserve">, </w:t>
      </w:r>
      <w:r>
        <w:rPr>
          <w:i/>
          <w:iCs/>
        </w:rPr>
        <w:t xml:space="preserve">supra </w:t>
      </w:r>
      <w:r>
        <w:t xml:space="preserve">note </w:t>
      </w:r>
      <w:r w:rsidR="00CA317C">
        <w:fldChar w:fldCharType="begin"/>
      </w:r>
      <w:r w:rsidR="00CA317C">
        <w:instrText xml:space="preserve"> NOTEREF _Ref185855043 \h </w:instrText>
      </w:r>
      <w:r w:rsidR="00CA317C">
        <w:fldChar w:fldCharType="separate"/>
      </w:r>
      <w:r w:rsidR="00454C1B">
        <w:t>48</w:t>
      </w:r>
      <w:r w:rsidR="00CA317C">
        <w:fldChar w:fldCharType="end"/>
      </w:r>
      <w:r>
        <w:t xml:space="preserve">, at </w:t>
      </w:r>
      <w:r w:rsidR="001D4654">
        <w:t>50.</w:t>
      </w:r>
    </w:p>
  </w:footnote>
  <w:footnote w:id="71">
    <w:p w14:paraId="427F24F9" w14:textId="2952C44C" w:rsidR="00F0328A" w:rsidRDefault="00F0328A">
      <w:pPr>
        <w:pStyle w:val="FootnoteText"/>
      </w:pPr>
      <w:r>
        <w:rPr>
          <w:rStyle w:val="FootnoteReference"/>
        </w:rPr>
        <w:footnoteRef/>
      </w:r>
      <w:r>
        <w:t xml:space="preserve"> </w:t>
      </w:r>
      <w:r w:rsidR="000A7CB4">
        <w:t>Id. at 52-53.</w:t>
      </w:r>
    </w:p>
  </w:footnote>
  <w:footnote w:id="72">
    <w:p w14:paraId="7F010104" w14:textId="69A97024" w:rsidR="00C773CC" w:rsidRDefault="00C773CC">
      <w:pPr>
        <w:pStyle w:val="FootnoteText"/>
      </w:pPr>
      <w:r>
        <w:rPr>
          <w:rStyle w:val="FootnoteReference"/>
        </w:rPr>
        <w:footnoteRef/>
      </w:r>
      <w:r>
        <w:t xml:space="preserve"> Miller 5-16-1967, LCCR Papers, Box I: 150.</w:t>
      </w:r>
    </w:p>
  </w:footnote>
  <w:footnote w:id="73">
    <w:p w14:paraId="54C6BC9B" w14:textId="45507BDA" w:rsidR="00CB7F4A" w:rsidRDefault="00CB7F4A">
      <w:pPr>
        <w:pStyle w:val="FootnoteText"/>
      </w:pPr>
      <w:r>
        <w:rPr>
          <w:rStyle w:val="FootnoteReference"/>
        </w:rPr>
        <w:footnoteRef/>
      </w:r>
      <w:r>
        <w:t xml:space="preserve"> April 23, 1968, LCCR Papers, Box I: 150.</w:t>
      </w:r>
    </w:p>
  </w:footnote>
  <w:footnote w:id="74">
    <w:p w14:paraId="31EAEB01" w14:textId="46087E6D" w:rsidR="00A970DC" w:rsidRDefault="00A970DC">
      <w:pPr>
        <w:pStyle w:val="FootnoteText"/>
      </w:pPr>
      <w:r>
        <w:rPr>
          <w:rStyle w:val="FootnoteReference"/>
        </w:rPr>
        <w:footnoteRef/>
      </w:r>
      <w:r>
        <w:t xml:space="preserve"> Miller </w:t>
      </w:r>
      <w:r w:rsidR="00C20EC2">
        <w:t>7-14-1967, LCCR Papers, Box I: 150.</w:t>
      </w:r>
    </w:p>
  </w:footnote>
  <w:footnote w:id="75">
    <w:p w14:paraId="7C588CD1" w14:textId="4CE808A5" w:rsidR="00552CA3" w:rsidRPr="00552CA3" w:rsidRDefault="00552CA3">
      <w:pPr>
        <w:pStyle w:val="FootnoteText"/>
      </w:pPr>
      <w:r>
        <w:rPr>
          <w:rStyle w:val="FootnoteReference"/>
        </w:rPr>
        <w:footnoteRef/>
      </w:r>
      <w:r>
        <w:t xml:space="preserve"> See, e.g., </w:t>
      </w:r>
      <w:r w:rsidR="00A82111">
        <w:t xml:space="preserve">Don Edward to </w:t>
      </w:r>
      <w:r w:rsidR="00A8209D">
        <w:t>John Gunther, May 17, 1966 Box I: 150.</w:t>
      </w:r>
    </w:p>
  </w:footnote>
  <w:footnote w:id="76">
    <w:p w14:paraId="2D83E567" w14:textId="4C34AB47" w:rsidR="00DA0238" w:rsidRDefault="00DA0238">
      <w:pPr>
        <w:pStyle w:val="FootnoteText"/>
      </w:pPr>
      <w:r>
        <w:rPr>
          <w:rStyle w:val="FootnoteReference"/>
        </w:rPr>
        <w:footnoteRef/>
      </w:r>
      <w:r>
        <w:t xml:space="preserve"> </w:t>
      </w:r>
      <w:r w:rsidR="00BB778E">
        <w:t xml:space="preserve">On the </w:t>
      </w:r>
      <w:r w:rsidR="005155F3">
        <w:t xml:space="preserve">NAACP’s relationship with organized labor, see </w:t>
      </w:r>
      <w:r w:rsidRPr="00815756">
        <w:rPr>
          <w:smallCaps/>
        </w:rPr>
        <w:t>Eric Schickler, Racial Re</w:t>
      </w:r>
      <w:r w:rsidR="00F17C03" w:rsidRPr="00815756">
        <w:rPr>
          <w:smallCaps/>
        </w:rPr>
        <w:t>alignment</w:t>
      </w:r>
      <w:r w:rsidR="006E4C93" w:rsidRPr="00815756">
        <w:rPr>
          <w:smallCaps/>
        </w:rPr>
        <w:t>: The Transformation of American Liberalism</w:t>
      </w:r>
      <w:r w:rsidR="006E4C93">
        <w:t>, 1932-1976</w:t>
      </w:r>
      <w:r w:rsidR="00F17C03">
        <w:t xml:space="preserve"> 77-80</w:t>
      </w:r>
      <w:r w:rsidR="00815756">
        <w:t xml:space="preserve"> (2016).</w:t>
      </w:r>
    </w:p>
  </w:footnote>
  <w:footnote w:id="77">
    <w:p w14:paraId="65060AB3" w14:textId="541D847F" w:rsidR="00E51E24" w:rsidRDefault="00E51E24">
      <w:pPr>
        <w:pStyle w:val="FootnoteText"/>
      </w:pPr>
      <w:r>
        <w:rPr>
          <w:rStyle w:val="FootnoteReference"/>
        </w:rPr>
        <w:footnoteRef/>
      </w:r>
      <w:r>
        <w:t xml:space="preserve"> </w:t>
      </w:r>
      <w:r w:rsidRPr="001D4654">
        <w:rPr>
          <w:smallCaps/>
        </w:rPr>
        <w:t>Gelbman</w:t>
      </w:r>
      <w:r>
        <w:t xml:space="preserve">, </w:t>
      </w:r>
      <w:r>
        <w:rPr>
          <w:i/>
          <w:iCs/>
        </w:rPr>
        <w:t xml:space="preserve">supra </w:t>
      </w:r>
      <w:r>
        <w:t xml:space="preserve">note </w:t>
      </w:r>
      <w:r>
        <w:fldChar w:fldCharType="begin"/>
      </w:r>
      <w:r>
        <w:instrText xml:space="preserve"> NOTEREF _Ref185855043 \h </w:instrText>
      </w:r>
      <w:r>
        <w:fldChar w:fldCharType="separate"/>
      </w:r>
      <w:r w:rsidR="00454C1B">
        <w:t>48</w:t>
      </w:r>
      <w:r>
        <w:fldChar w:fldCharType="end"/>
      </w:r>
      <w:r>
        <w:t>, at 33.</w:t>
      </w:r>
    </w:p>
  </w:footnote>
  <w:footnote w:id="78">
    <w:p w14:paraId="7A0D2C89" w14:textId="06DC4185" w:rsidR="0092076F" w:rsidRPr="00F7765B" w:rsidRDefault="0092076F">
      <w:pPr>
        <w:pStyle w:val="FootnoteText"/>
      </w:pPr>
      <w:r>
        <w:rPr>
          <w:rStyle w:val="FootnoteReference"/>
        </w:rPr>
        <w:footnoteRef/>
      </w:r>
      <w:r w:rsidR="00F7765B">
        <w:t xml:space="preserve"> </w:t>
      </w:r>
      <w:r w:rsidR="002B199D" w:rsidRPr="00800602">
        <w:rPr>
          <w:smallCaps/>
        </w:rPr>
        <w:t xml:space="preserve">David </w:t>
      </w:r>
      <w:r w:rsidR="00F7765B" w:rsidRPr="00800602">
        <w:rPr>
          <w:smallCaps/>
        </w:rPr>
        <w:t xml:space="preserve">Karol, </w:t>
      </w:r>
      <w:r w:rsidR="0039785D" w:rsidRPr="00800602">
        <w:rPr>
          <w:smallCaps/>
        </w:rPr>
        <w:t>Party Position Change in American Politics: Coalition Management</w:t>
      </w:r>
      <w:r w:rsidR="00F7765B">
        <w:t xml:space="preserve"> 1</w:t>
      </w:r>
      <w:r w:rsidR="00347C67">
        <w:t>1</w:t>
      </w:r>
      <w:r w:rsidR="00F7765B">
        <w:t>1-15</w:t>
      </w:r>
      <w:r w:rsidR="00800602">
        <w:t xml:space="preserve"> (2009)</w:t>
      </w:r>
      <w:r w:rsidR="00F7765B">
        <w:t>.</w:t>
      </w:r>
    </w:p>
  </w:footnote>
  <w:footnote w:id="79">
    <w:p w14:paraId="3420283D" w14:textId="30351869" w:rsidR="00DD005C" w:rsidRDefault="00DD005C">
      <w:pPr>
        <w:pStyle w:val="FootnoteText"/>
      </w:pPr>
      <w:r>
        <w:rPr>
          <w:rStyle w:val="FootnoteReference"/>
        </w:rPr>
        <w:footnoteRef/>
      </w:r>
      <w:r>
        <w:t xml:space="preserve"> See </w:t>
      </w:r>
      <w:r w:rsidR="008837B4" w:rsidRPr="0055164B">
        <w:rPr>
          <w:smallCaps/>
        </w:rPr>
        <w:t xml:space="preserve">Edward G. </w:t>
      </w:r>
      <w:r w:rsidRPr="0055164B">
        <w:rPr>
          <w:smallCaps/>
        </w:rPr>
        <w:t xml:space="preserve">Carmines &amp; </w:t>
      </w:r>
      <w:r w:rsidR="008837B4" w:rsidRPr="0055164B">
        <w:rPr>
          <w:smallCaps/>
        </w:rPr>
        <w:t xml:space="preserve">James A. </w:t>
      </w:r>
      <w:r w:rsidRPr="0055164B">
        <w:rPr>
          <w:smallCaps/>
        </w:rPr>
        <w:t xml:space="preserve">Stimson, </w:t>
      </w:r>
      <w:r w:rsidR="008837B4" w:rsidRPr="0055164B">
        <w:rPr>
          <w:smallCaps/>
        </w:rPr>
        <w:t>Issue Evolution: Race and the Transformation of American Politics</w:t>
      </w:r>
      <w:r w:rsidR="002B4259">
        <w:t xml:space="preserve"> 63 (1989).</w:t>
      </w:r>
    </w:p>
  </w:footnote>
  <w:footnote w:id="80">
    <w:p w14:paraId="71E5BD70" w14:textId="04EA112F" w:rsidR="00FD6DAE" w:rsidRPr="00FD6DAE" w:rsidRDefault="00FD6DAE">
      <w:pPr>
        <w:pStyle w:val="FootnoteText"/>
      </w:pPr>
      <w:r>
        <w:rPr>
          <w:rStyle w:val="FootnoteReference"/>
        </w:rPr>
        <w:footnoteRef/>
      </w:r>
      <w:r>
        <w:t xml:space="preserve"> </w:t>
      </w:r>
      <w:r w:rsidRPr="00BA3C57">
        <w:rPr>
          <w:smallCaps/>
        </w:rPr>
        <w:t>Gelbman</w:t>
      </w:r>
      <w:r>
        <w:t xml:space="preserve">, </w:t>
      </w:r>
      <w:r>
        <w:rPr>
          <w:i/>
          <w:iCs/>
        </w:rPr>
        <w:t xml:space="preserve">supra </w:t>
      </w:r>
      <w:r>
        <w:t>note</w:t>
      </w:r>
      <w:r w:rsidR="000560D3">
        <w:t xml:space="preserve"> </w:t>
      </w:r>
      <w:r w:rsidR="000560D3">
        <w:fldChar w:fldCharType="begin"/>
      </w:r>
      <w:r w:rsidR="000560D3">
        <w:instrText xml:space="preserve"> NOTEREF _Ref185855043 \h </w:instrText>
      </w:r>
      <w:r w:rsidR="000560D3">
        <w:fldChar w:fldCharType="separate"/>
      </w:r>
      <w:r w:rsidR="00454C1B">
        <w:t>48</w:t>
      </w:r>
      <w:r w:rsidR="000560D3">
        <w:fldChar w:fldCharType="end"/>
      </w:r>
      <w:r>
        <w:t>, at 125.</w:t>
      </w:r>
    </w:p>
  </w:footnote>
  <w:footnote w:id="81">
    <w:p w14:paraId="182FF35F" w14:textId="653D00F5" w:rsidR="00D623D4" w:rsidRDefault="00D623D4">
      <w:pPr>
        <w:pStyle w:val="FootnoteText"/>
      </w:pPr>
      <w:r>
        <w:rPr>
          <w:rStyle w:val="FootnoteReference"/>
        </w:rPr>
        <w:footnoteRef/>
      </w:r>
      <w:r>
        <w:t xml:space="preserve"> Id. at 126-27.</w:t>
      </w:r>
      <w:r w:rsidR="009E0542">
        <w:t xml:space="preserve"> </w:t>
      </w:r>
    </w:p>
  </w:footnote>
  <w:footnote w:id="82">
    <w:p w14:paraId="1DADB216" w14:textId="2288D362" w:rsidR="00C433FA" w:rsidRDefault="00C433FA">
      <w:pPr>
        <w:pStyle w:val="FootnoteText"/>
      </w:pPr>
      <w:r>
        <w:rPr>
          <w:rStyle w:val="FootnoteReference"/>
        </w:rPr>
        <w:footnoteRef/>
      </w:r>
      <w:r>
        <w:t xml:space="preserve"> LCCR’s action may also have been targeted at the Student Non-Violent Coordinating Committee, which was at this time </w:t>
      </w:r>
      <w:r w:rsidR="0005700F">
        <w:t xml:space="preserve">debating internally its openness to white </w:t>
      </w:r>
      <w:r w:rsidR="00946E92">
        <w:t>members</w:t>
      </w:r>
      <w:r w:rsidR="0005700F">
        <w:t>.</w:t>
      </w:r>
      <w:r w:rsidR="00946E92">
        <w:t xml:space="preserve"> </w:t>
      </w:r>
      <w:r w:rsidR="00F74934">
        <w:t xml:space="preserve">Say </w:t>
      </w:r>
      <w:r w:rsidR="00946E92" w:rsidRPr="00946E92">
        <w:t xml:space="preserve">Burgin, </w:t>
      </w:r>
      <w:r w:rsidR="00BA3C57" w:rsidRPr="00BA3C57">
        <w:rPr>
          <w:i/>
          <w:iCs/>
        </w:rPr>
        <w:t>“</w:t>
      </w:r>
      <w:r w:rsidR="00946E92" w:rsidRPr="00BA3C57">
        <w:rPr>
          <w:i/>
          <w:iCs/>
        </w:rPr>
        <w:t xml:space="preserve">The </w:t>
      </w:r>
      <w:proofErr w:type="spellStart"/>
      <w:r w:rsidR="00946E92" w:rsidRPr="00BA3C57">
        <w:rPr>
          <w:i/>
          <w:iCs/>
        </w:rPr>
        <w:t>Trickbag</w:t>
      </w:r>
      <w:proofErr w:type="spellEnd"/>
      <w:r w:rsidR="00946E92" w:rsidRPr="00BA3C57">
        <w:rPr>
          <w:i/>
          <w:iCs/>
        </w:rPr>
        <w:t xml:space="preserve"> [of] the Press</w:t>
      </w:r>
      <w:r w:rsidR="00BA3C57">
        <w:rPr>
          <w:i/>
          <w:iCs/>
        </w:rPr>
        <w:t>”</w:t>
      </w:r>
      <w:r w:rsidR="00BA3C57">
        <w:t xml:space="preserve">: </w:t>
      </w:r>
      <w:r w:rsidR="00946E92" w:rsidRPr="00BA3C57">
        <w:rPr>
          <w:i/>
          <w:iCs/>
        </w:rPr>
        <w:t>SNCC, Print Media, and the Myth of an Antiwhite Black Power Movemen</w:t>
      </w:r>
      <w:r w:rsidR="00BA3C57">
        <w:rPr>
          <w:i/>
          <w:iCs/>
        </w:rPr>
        <w:t>t</w:t>
      </w:r>
      <w:r w:rsidR="00BA3C57">
        <w:t xml:space="preserve">, </w:t>
      </w:r>
      <w:r w:rsidR="0043549E">
        <w:t xml:space="preserve">8 </w:t>
      </w:r>
      <w:r w:rsidR="0043549E" w:rsidRPr="0043549E">
        <w:rPr>
          <w:smallCaps/>
        </w:rPr>
        <w:t xml:space="preserve">J. Civ. Hum. </w:t>
      </w:r>
      <w:proofErr w:type="spellStart"/>
      <w:r w:rsidR="0043549E" w:rsidRPr="0043549E">
        <w:rPr>
          <w:smallCaps/>
        </w:rPr>
        <w:t>Rts</w:t>
      </w:r>
      <w:proofErr w:type="spellEnd"/>
      <w:r w:rsidR="0043549E" w:rsidRPr="0043549E">
        <w:rPr>
          <w:smallCaps/>
        </w:rPr>
        <w:t xml:space="preserve">. </w:t>
      </w:r>
      <w:r w:rsidR="00946E92" w:rsidRPr="00946E92">
        <w:t>1</w:t>
      </w:r>
      <w:r w:rsidR="00741675">
        <w:t>, 16-17</w:t>
      </w:r>
      <w:r w:rsidR="00366C16">
        <w:t xml:space="preserve"> (2022)</w:t>
      </w:r>
      <w:r w:rsidR="00946E92" w:rsidRPr="00946E92">
        <w:t>.</w:t>
      </w:r>
    </w:p>
  </w:footnote>
  <w:footnote w:id="83">
    <w:p w14:paraId="5F7D0BFC" w14:textId="00BFE4A4" w:rsidR="00927217" w:rsidRDefault="00927217">
      <w:pPr>
        <w:pStyle w:val="FootnoteText"/>
      </w:pPr>
      <w:r>
        <w:rPr>
          <w:rStyle w:val="FootnoteReference"/>
        </w:rPr>
        <w:footnoteRef/>
      </w:r>
      <w:r>
        <w:t xml:space="preserve"> </w:t>
      </w:r>
      <w:r w:rsidR="00CC609C" w:rsidRPr="00CC609C">
        <w:rPr>
          <w:smallCaps/>
        </w:rPr>
        <w:t xml:space="preserve">Public Opinion </w:t>
      </w:r>
      <w:r w:rsidRPr="00927217">
        <w:t>173 (1922).</w:t>
      </w:r>
    </w:p>
  </w:footnote>
  <w:footnote w:id="84">
    <w:p w14:paraId="741C64BA" w14:textId="55A87DFE" w:rsidR="00D21613" w:rsidRDefault="00D21613" w:rsidP="002964E3">
      <w:pPr>
        <w:pStyle w:val="FootnoteText"/>
      </w:pPr>
      <w:r>
        <w:rPr>
          <w:rStyle w:val="FootnoteReference"/>
        </w:rPr>
        <w:footnoteRef/>
      </w:r>
      <w:r>
        <w:t xml:space="preserve"> See </w:t>
      </w:r>
      <w:r w:rsidR="00E10842" w:rsidRPr="00E10842">
        <w:rPr>
          <w:smallCaps/>
        </w:rPr>
        <w:t xml:space="preserve">John Turner, Michael A. Hogg, Penelope J. Oakes, Stephen D. Reicher &amp; Margaret S. Wetherell, Rediscovering The Social Group: A Self-Categorization Theory </w:t>
      </w:r>
      <w:r>
        <w:t>72-73, 181, 204-07 (1987).</w:t>
      </w:r>
    </w:p>
  </w:footnote>
  <w:footnote w:id="85">
    <w:p w14:paraId="120C1E2A" w14:textId="7CB7BF86" w:rsidR="002F53B0" w:rsidRDefault="002F53B0">
      <w:pPr>
        <w:pStyle w:val="FootnoteText"/>
      </w:pPr>
      <w:r>
        <w:rPr>
          <w:rStyle w:val="FootnoteReference"/>
        </w:rPr>
        <w:footnoteRef/>
      </w:r>
      <w:r>
        <w:t xml:space="preserve"> T</w:t>
      </w:r>
      <w:r>
        <w:rPr>
          <w:sz w:val="16"/>
        </w:rPr>
        <w:t>URNER</w:t>
      </w:r>
      <w:r>
        <w:rPr>
          <w:spacing w:val="1"/>
          <w:sz w:val="16"/>
        </w:rPr>
        <w:t xml:space="preserve"> </w:t>
      </w:r>
      <w:r>
        <w:rPr>
          <w:sz w:val="16"/>
        </w:rPr>
        <w:t>ET</w:t>
      </w:r>
      <w:r>
        <w:rPr>
          <w:spacing w:val="1"/>
          <w:sz w:val="16"/>
        </w:rPr>
        <w:t xml:space="preserve"> </w:t>
      </w:r>
      <w:r>
        <w:rPr>
          <w:sz w:val="16"/>
        </w:rPr>
        <w:t>AL</w:t>
      </w:r>
      <w:r>
        <w:t xml:space="preserve">., </w:t>
      </w:r>
      <w:r>
        <w:rPr>
          <w:i/>
        </w:rPr>
        <w:t xml:space="preserve">supra </w:t>
      </w:r>
      <w:r>
        <w:t>note 112, at 21-23.</w:t>
      </w:r>
      <w:r>
        <w:rPr>
          <w:spacing w:val="1"/>
        </w:rPr>
        <w:t xml:space="preserve"> </w:t>
      </w:r>
      <w:r>
        <w:rPr>
          <w:i/>
        </w:rPr>
        <w:t xml:space="preserve">See generally </w:t>
      </w:r>
      <w:r>
        <w:t>M</w:t>
      </w:r>
      <w:r>
        <w:rPr>
          <w:sz w:val="16"/>
        </w:rPr>
        <w:t>UZAFER</w:t>
      </w:r>
      <w:r>
        <w:rPr>
          <w:spacing w:val="1"/>
          <w:sz w:val="16"/>
        </w:rPr>
        <w:t xml:space="preserve"> </w:t>
      </w:r>
      <w:r>
        <w:t>S</w:t>
      </w:r>
      <w:r>
        <w:rPr>
          <w:sz w:val="16"/>
        </w:rPr>
        <w:t>HERIF</w:t>
      </w:r>
      <w:r>
        <w:rPr>
          <w:spacing w:val="1"/>
          <w:sz w:val="16"/>
        </w:rPr>
        <w:t xml:space="preserve"> </w:t>
      </w:r>
      <w:r>
        <w:t>&amp; C</w:t>
      </w:r>
      <w:r>
        <w:rPr>
          <w:sz w:val="16"/>
        </w:rPr>
        <w:t>AROLYN</w:t>
      </w:r>
      <w:r>
        <w:rPr>
          <w:spacing w:val="1"/>
          <w:sz w:val="16"/>
        </w:rPr>
        <w:t xml:space="preserve"> </w:t>
      </w:r>
      <w:r>
        <w:t>S</w:t>
      </w:r>
      <w:r>
        <w:rPr>
          <w:sz w:val="16"/>
        </w:rPr>
        <w:t>HERIF</w:t>
      </w:r>
      <w:r>
        <w:t>,</w:t>
      </w:r>
      <w:r>
        <w:rPr>
          <w:spacing w:val="1"/>
        </w:rPr>
        <w:t xml:space="preserve"> </w:t>
      </w:r>
      <w:r>
        <w:t>G</w:t>
      </w:r>
      <w:r>
        <w:rPr>
          <w:sz w:val="16"/>
        </w:rPr>
        <w:t>ROUPS</w:t>
      </w:r>
      <w:r>
        <w:rPr>
          <w:spacing w:val="1"/>
          <w:sz w:val="16"/>
        </w:rPr>
        <w:t xml:space="preserve"> </w:t>
      </w:r>
      <w:r>
        <w:rPr>
          <w:sz w:val="16"/>
        </w:rPr>
        <w:t>IN</w:t>
      </w:r>
      <w:r>
        <w:rPr>
          <w:spacing w:val="1"/>
          <w:sz w:val="16"/>
        </w:rPr>
        <w:t xml:space="preserve"> </w:t>
      </w:r>
      <w:r>
        <w:t>H</w:t>
      </w:r>
      <w:r>
        <w:rPr>
          <w:sz w:val="16"/>
        </w:rPr>
        <w:t>ARMONY</w:t>
      </w:r>
      <w:r>
        <w:rPr>
          <w:spacing w:val="40"/>
          <w:sz w:val="16"/>
        </w:rPr>
        <w:t xml:space="preserve"> </w:t>
      </w:r>
      <w:r>
        <w:rPr>
          <w:sz w:val="16"/>
        </w:rPr>
        <w:t>AND</w:t>
      </w:r>
      <w:r>
        <w:rPr>
          <w:spacing w:val="40"/>
          <w:sz w:val="16"/>
        </w:rPr>
        <w:t xml:space="preserve"> </w:t>
      </w:r>
      <w:r>
        <w:t>T</w:t>
      </w:r>
      <w:r>
        <w:rPr>
          <w:sz w:val="16"/>
        </w:rPr>
        <w:t>ENSION</w:t>
      </w:r>
      <w:r>
        <w:t>:</w:t>
      </w:r>
      <w:r>
        <w:rPr>
          <w:spacing w:val="50"/>
        </w:rPr>
        <w:t xml:space="preserve"> </w:t>
      </w:r>
      <w:r>
        <w:t>A</w:t>
      </w:r>
      <w:r>
        <w:rPr>
          <w:sz w:val="16"/>
        </w:rPr>
        <w:t>N</w:t>
      </w:r>
      <w:r>
        <w:rPr>
          <w:spacing w:val="40"/>
          <w:sz w:val="16"/>
        </w:rPr>
        <w:t xml:space="preserve"> </w:t>
      </w:r>
      <w:r>
        <w:t>I</w:t>
      </w:r>
      <w:r>
        <w:rPr>
          <w:sz w:val="16"/>
        </w:rPr>
        <w:t>NTEGRATION</w:t>
      </w:r>
      <w:r>
        <w:rPr>
          <w:spacing w:val="40"/>
          <w:sz w:val="16"/>
        </w:rPr>
        <w:t xml:space="preserve"> </w:t>
      </w:r>
      <w:r>
        <w:rPr>
          <w:sz w:val="16"/>
        </w:rPr>
        <w:t>OF</w:t>
      </w:r>
      <w:r>
        <w:rPr>
          <w:spacing w:val="40"/>
          <w:sz w:val="16"/>
        </w:rPr>
        <w:t xml:space="preserve"> </w:t>
      </w:r>
      <w:r>
        <w:t>S</w:t>
      </w:r>
      <w:r>
        <w:rPr>
          <w:sz w:val="16"/>
        </w:rPr>
        <w:t>TUDIES</w:t>
      </w:r>
      <w:r>
        <w:rPr>
          <w:spacing w:val="40"/>
          <w:sz w:val="16"/>
        </w:rPr>
        <w:t xml:space="preserve"> </w:t>
      </w:r>
      <w:r>
        <w:rPr>
          <w:sz w:val="16"/>
        </w:rPr>
        <w:t>ON</w:t>
      </w:r>
      <w:r>
        <w:rPr>
          <w:spacing w:val="40"/>
          <w:sz w:val="16"/>
        </w:rPr>
        <w:t xml:space="preserve"> </w:t>
      </w:r>
      <w:r>
        <w:t>I</w:t>
      </w:r>
      <w:r>
        <w:rPr>
          <w:sz w:val="16"/>
        </w:rPr>
        <w:t>NTERGROUP</w:t>
      </w:r>
      <w:r>
        <w:rPr>
          <w:spacing w:val="40"/>
          <w:sz w:val="16"/>
        </w:rPr>
        <w:t xml:space="preserve"> </w:t>
      </w:r>
      <w:r>
        <w:t>R</w:t>
      </w:r>
      <w:r>
        <w:rPr>
          <w:sz w:val="16"/>
        </w:rPr>
        <w:t>ELATIONS</w:t>
      </w:r>
      <w:r>
        <w:rPr>
          <w:spacing w:val="1"/>
          <w:sz w:val="16"/>
        </w:rPr>
        <w:t xml:space="preserve"> </w:t>
      </w:r>
      <w:r>
        <w:t>(1953).</w:t>
      </w:r>
    </w:p>
  </w:footnote>
  <w:footnote w:id="86">
    <w:p w14:paraId="74A19A77" w14:textId="27D58F54" w:rsidR="00865266" w:rsidRDefault="00865266" w:rsidP="00E76923">
      <w:pPr>
        <w:pStyle w:val="FootnoteText"/>
      </w:pPr>
      <w:r>
        <w:rPr>
          <w:rStyle w:val="FootnoteReference"/>
        </w:rPr>
        <w:footnoteRef/>
      </w:r>
      <w:r>
        <w:t xml:space="preserve"> </w:t>
      </w:r>
      <w:r w:rsidR="00F85597" w:rsidRPr="00F85597">
        <w:rPr>
          <w:smallCaps/>
        </w:rPr>
        <w:t xml:space="preserve">Angus Campbell, Philip Converse, Warren Miller &amp; Donald E. Stokes, The American Voter </w:t>
      </w:r>
      <w:r w:rsidR="00E76923">
        <w:t xml:space="preserve">120-45 (1960); Larry M. Bartels, </w:t>
      </w:r>
      <w:r w:rsidR="00E76923" w:rsidRPr="00CD564C">
        <w:rPr>
          <w:i/>
          <w:iCs/>
        </w:rPr>
        <w:t>Beyond the Running Tally: Partisan Bias in Political Perceptions</w:t>
      </w:r>
      <w:r w:rsidR="00E76923">
        <w:t xml:space="preserve">, 24 </w:t>
      </w:r>
      <w:r w:rsidR="00CD564C" w:rsidRPr="005449EB">
        <w:rPr>
          <w:smallCaps/>
        </w:rPr>
        <w:t xml:space="preserve">Pol. Behavior </w:t>
      </w:r>
      <w:r w:rsidR="00E76923">
        <w:t xml:space="preserve">117, 117 (2002); Paul Goren, </w:t>
      </w:r>
      <w:r w:rsidR="00E76923" w:rsidRPr="005449EB">
        <w:rPr>
          <w:i/>
          <w:iCs/>
        </w:rPr>
        <w:t>Party Identification and Core Political Values</w:t>
      </w:r>
      <w:r w:rsidR="00E76923">
        <w:t xml:space="preserve">, 49 </w:t>
      </w:r>
      <w:r w:rsidR="00EB5DF6" w:rsidRPr="00EB5DF6">
        <w:rPr>
          <w:smallCaps/>
        </w:rPr>
        <w:t>Am. J. Pol. Sci</w:t>
      </w:r>
      <w:r w:rsidR="00E76923">
        <w:t>. 881, 881 (2005).</w:t>
      </w:r>
    </w:p>
  </w:footnote>
  <w:footnote w:id="87">
    <w:p w14:paraId="1DEC61AE" w14:textId="46D62D1E" w:rsidR="000B4C28" w:rsidRPr="00376D3A" w:rsidRDefault="000B4C28">
      <w:pPr>
        <w:pStyle w:val="FootnoteText"/>
        <w:rPr>
          <w:smallCaps/>
        </w:rPr>
      </w:pPr>
      <w:r>
        <w:rPr>
          <w:rStyle w:val="FootnoteReference"/>
        </w:rPr>
        <w:footnoteRef/>
      </w:r>
      <w:r>
        <w:t xml:space="preserve"> </w:t>
      </w:r>
      <w:r w:rsidR="00376D3A" w:rsidRPr="00376D3A">
        <w:rPr>
          <w:smallCaps/>
        </w:rPr>
        <w:t xml:space="preserve">Party Position Change </w:t>
      </w:r>
      <w:r w:rsidR="00376D3A">
        <w:rPr>
          <w:smallCaps/>
        </w:rPr>
        <w:t>i</w:t>
      </w:r>
      <w:r w:rsidR="00376D3A" w:rsidRPr="00376D3A">
        <w:rPr>
          <w:smallCaps/>
        </w:rPr>
        <w:t xml:space="preserve">n American Politics: Coalition Management </w:t>
      </w:r>
      <w:r w:rsidR="00673DE5" w:rsidRPr="00673DE5">
        <w:t xml:space="preserve">(2009). See generally </w:t>
      </w:r>
      <w:r w:rsidR="00376D3A" w:rsidRPr="00376D3A">
        <w:rPr>
          <w:smallCaps/>
        </w:rPr>
        <w:t xml:space="preserve">Edward G. Carmines &amp; James A. Stimson, Issue Evolution: Race And The Trans- Formation </w:t>
      </w:r>
      <w:r w:rsidR="00C90868">
        <w:rPr>
          <w:smallCaps/>
        </w:rPr>
        <w:t>o</w:t>
      </w:r>
      <w:r w:rsidR="00376D3A" w:rsidRPr="00376D3A">
        <w:rPr>
          <w:smallCaps/>
        </w:rPr>
        <w:t xml:space="preserve">f American Politics (1989); Eric Schickler, Racial Realignment: The Trans- Formation </w:t>
      </w:r>
      <w:r w:rsidR="00C90868">
        <w:rPr>
          <w:smallCaps/>
        </w:rPr>
        <w:t>o</w:t>
      </w:r>
      <w:r w:rsidR="00376D3A" w:rsidRPr="00376D3A">
        <w:rPr>
          <w:smallCaps/>
        </w:rPr>
        <w:t>f American Liberalism, 1932-1965 (2016).</w:t>
      </w:r>
    </w:p>
  </w:footnote>
  <w:footnote w:id="88">
    <w:p w14:paraId="6B451E28" w14:textId="7999EF6F" w:rsidR="008761DE" w:rsidRDefault="008761DE" w:rsidP="008761DE">
      <w:pPr>
        <w:pStyle w:val="FootnoteText"/>
      </w:pPr>
      <w:r>
        <w:rPr>
          <w:rStyle w:val="FootnoteReference"/>
        </w:rPr>
        <w:footnoteRef/>
      </w:r>
      <w:r>
        <w:t xml:space="preserve"> </w:t>
      </w:r>
      <w:r w:rsidR="00CD08E8" w:rsidRPr="00CD08E8">
        <w:rPr>
          <w:smallCaps/>
        </w:rPr>
        <w:t xml:space="preserve">Frances Lee, Beyond Ideology </w:t>
      </w:r>
      <w:r>
        <w:t xml:space="preserve">49 (2009); </w:t>
      </w:r>
      <w:r w:rsidR="00CD08E8" w:rsidRPr="00CD08E8">
        <w:rPr>
          <w:smallCaps/>
        </w:rPr>
        <w:t>Carmines &amp; Stimson</w:t>
      </w:r>
      <w:r>
        <w:t>,</w:t>
      </w:r>
      <w:r w:rsidRPr="00CD08E8">
        <w:rPr>
          <w:i/>
          <w:iCs/>
        </w:rPr>
        <w:t xml:space="preserve"> supra</w:t>
      </w:r>
      <w:r>
        <w:t xml:space="preserve"> note 115, at 11, 89. For a clear summary of the parties’ shifting behavior on racial issues in Congress, see </w:t>
      </w:r>
      <w:r w:rsidR="00F851F2" w:rsidRPr="00F851F2">
        <w:rPr>
          <w:smallCaps/>
        </w:rPr>
        <w:t>Carmines &amp; Stimson</w:t>
      </w:r>
      <w:r>
        <w:t xml:space="preserve">, </w:t>
      </w:r>
      <w:r w:rsidRPr="00F851F2">
        <w:rPr>
          <w:i/>
          <w:iCs/>
        </w:rPr>
        <w:t>supra</w:t>
      </w:r>
      <w:r>
        <w:t xml:space="preserve"> note 115, at 59-89.</w:t>
      </w:r>
    </w:p>
  </w:footnote>
  <w:footnote w:id="89">
    <w:p w14:paraId="4FB5B6CE" w14:textId="37A59F9B" w:rsidR="007A6215" w:rsidRDefault="007A6215">
      <w:pPr>
        <w:pStyle w:val="FootnoteText"/>
      </w:pPr>
      <w:r>
        <w:rPr>
          <w:rStyle w:val="FootnoteReference"/>
        </w:rPr>
        <w:footnoteRef/>
      </w:r>
      <w:r>
        <w:t xml:space="preserve"> </w:t>
      </w:r>
      <w:r w:rsidR="00C115AD" w:rsidRPr="00C115AD">
        <w:rPr>
          <w:smallCaps/>
        </w:rPr>
        <w:t>Schickler</w:t>
      </w:r>
      <w:r w:rsidR="00ED2779" w:rsidRPr="00ED2779">
        <w:t xml:space="preserve">, </w:t>
      </w:r>
      <w:r w:rsidR="00ED2779" w:rsidRPr="00621480">
        <w:rPr>
          <w:i/>
          <w:iCs/>
        </w:rPr>
        <w:t>supra</w:t>
      </w:r>
      <w:r w:rsidR="00ED2779" w:rsidRPr="00ED2779">
        <w:t xml:space="preserve"> note </w:t>
      </w:r>
      <w:r w:rsidR="00EA0E3F">
        <w:fldChar w:fldCharType="begin"/>
      </w:r>
      <w:r w:rsidR="00EA0E3F">
        <w:instrText xml:space="preserve"> NOTEREF _Ref185855043 \h </w:instrText>
      </w:r>
      <w:r w:rsidR="00EA0E3F">
        <w:fldChar w:fldCharType="separate"/>
      </w:r>
      <w:r w:rsidR="00454C1B">
        <w:t>48</w:t>
      </w:r>
      <w:r w:rsidR="00EA0E3F">
        <w:fldChar w:fldCharType="end"/>
      </w:r>
      <w:r w:rsidR="00ED2779" w:rsidRPr="00ED2779">
        <w:t>, at 31-60.</w:t>
      </w:r>
    </w:p>
  </w:footnote>
  <w:footnote w:id="90">
    <w:p w14:paraId="7F8A6386" w14:textId="5CF9C5EF" w:rsidR="00ED2779" w:rsidRDefault="00ED2779" w:rsidP="00F634B3">
      <w:pPr>
        <w:pStyle w:val="FootnoteText"/>
      </w:pPr>
      <w:r>
        <w:rPr>
          <w:rStyle w:val="FootnoteReference"/>
        </w:rPr>
        <w:footnoteRef/>
      </w:r>
      <w:r>
        <w:t xml:space="preserve"> </w:t>
      </w:r>
      <w:r w:rsidR="00C115AD" w:rsidRPr="00C115AD">
        <w:rPr>
          <w:smallCaps/>
        </w:rPr>
        <w:t xml:space="preserve">Keith T. Poole &amp; Howard Rosenthal, Congress: A Political-Economic History Of Roll-Call Voting </w:t>
      </w:r>
      <w:r w:rsidR="00F634B3">
        <w:t>112 (1997).</w:t>
      </w:r>
    </w:p>
  </w:footnote>
  <w:footnote w:id="91">
    <w:p w14:paraId="0F8FF675" w14:textId="66FAC7DC" w:rsidR="00F64B38" w:rsidRDefault="00F64B38">
      <w:pPr>
        <w:pStyle w:val="FootnoteText"/>
      </w:pPr>
      <w:r>
        <w:rPr>
          <w:rStyle w:val="FootnoteReference"/>
        </w:rPr>
        <w:footnoteRef/>
      </w:r>
      <w:r>
        <w:t xml:space="preserve"> </w:t>
      </w:r>
      <w:r w:rsidRPr="00F64B38">
        <w:t xml:space="preserve">See </w:t>
      </w:r>
      <w:r w:rsidRPr="0016169C">
        <w:rPr>
          <w:smallCaps/>
        </w:rPr>
        <w:t>Karol</w:t>
      </w:r>
      <w:r w:rsidRPr="00F64B38">
        <w:t xml:space="preserve">, </w:t>
      </w:r>
      <w:r w:rsidRPr="00621480">
        <w:rPr>
          <w:i/>
          <w:iCs/>
        </w:rPr>
        <w:t>supra</w:t>
      </w:r>
      <w:r w:rsidRPr="00F64B38">
        <w:t xml:space="preserve"> note</w:t>
      </w:r>
      <w:r w:rsidR="00921B1B">
        <w:t xml:space="preserve"> </w:t>
      </w:r>
      <w:r w:rsidR="00921B1B">
        <w:fldChar w:fldCharType="begin"/>
      </w:r>
      <w:r w:rsidR="00921B1B">
        <w:instrText xml:space="preserve"> NOTEREF _Ref185862447 \h </w:instrText>
      </w:r>
      <w:r w:rsidR="00921B1B">
        <w:fldChar w:fldCharType="separate"/>
      </w:r>
      <w:r w:rsidR="00454C1B">
        <w:t>76</w:t>
      </w:r>
      <w:r w:rsidR="00921B1B">
        <w:fldChar w:fldCharType="end"/>
      </w:r>
      <w:r w:rsidRPr="00F64B38">
        <w:t xml:space="preserve">, at 56-102 (as pro-choice voters become Democrats and pro-life voters become Republicans, the parties become associated with their stances on abortion). In this respect, constitutional coalitions are no different than any other kind of coalition. See, e.g., </w:t>
      </w:r>
      <w:r w:rsidR="00AF5955" w:rsidRPr="00AF5955">
        <w:rPr>
          <w:smallCaps/>
        </w:rPr>
        <w:t>David Karol, Red, Green, And Blue: The Party Divide On Environmental Issues</w:t>
      </w:r>
      <w:r w:rsidR="00AF5955" w:rsidRPr="00F64B38">
        <w:t xml:space="preserve"> </w:t>
      </w:r>
      <w:r w:rsidRPr="00F64B38">
        <w:t>11-42 (2019) (describing environmentalists’ incorporation into and growing association with the Democratic Party).</w:t>
      </w:r>
    </w:p>
  </w:footnote>
  <w:footnote w:id="92">
    <w:p w14:paraId="7A282A9D" w14:textId="7FF11C8C" w:rsidR="00020D59" w:rsidRDefault="00020D59">
      <w:pPr>
        <w:pStyle w:val="FootnoteText"/>
      </w:pPr>
      <w:r>
        <w:rPr>
          <w:rStyle w:val="FootnoteReference"/>
        </w:rPr>
        <w:footnoteRef/>
      </w:r>
      <w:r>
        <w:t xml:space="preserve"> </w:t>
      </w:r>
      <w:r w:rsidRPr="00020D59">
        <w:t xml:space="preserve">See </w:t>
      </w:r>
      <w:r w:rsidR="008159CC" w:rsidRPr="008159CC">
        <w:rPr>
          <w:smallCaps/>
        </w:rPr>
        <w:t>Turner</w:t>
      </w:r>
      <w:r w:rsidRPr="00020D59">
        <w:t xml:space="preserve">, </w:t>
      </w:r>
      <w:r w:rsidRPr="004460C0">
        <w:rPr>
          <w:i/>
          <w:iCs/>
        </w:rPr>
        <w:t>supra</w:t>
      </w:r>
      <w:r w:rsidRPr="00020D59">
        <w:t xml:space="preserve"> note 112, at 71-73, 181, 204-07.</w:t>
      </w:r>
    </w:p>
  </w:footnote>
  <w:footnote w:id="93">
    <w:p w14:paraId="641022D9" w14:textId="7D743500" w:rsidR="00AB166C" w:rsidRDefault="00AB166C">
      <w:pPr>
        <w:pStyle w:val="FootnoteText"/>
      </w:pPr>
      <w:r>
        <w:rPr>
          <w:rStyle w:val="FootnoteReference"/>
        </w:rPr>
        <w:footnoteRef/>
      </w:r>
      <w:r>
        <w:t xml:space="preserve"> </w:t>
      </w:r>
      <w:r w:rsidRPr="00AB166C">
        <w:t xml:space="preserve">See </w:t>
      </w:r>
      <w:r w:rsidR="008159CC" w:rsidRPr="008159CC">
        <w:rPr>
          <w:smallCaps/>
        </w:rPr>
        <w:t>Currie, Democrats And Whigs</w:t>
      </w:r>
      <w:r w:rsidRPr="00AB166C">
        <w:t xml:space="preserve">, </w:t>
      </w:r>
      <w:r w:rsidRPr="003E290F">
        <w:rPr>
          <w:i/>
          <w:iCs/>
        </w:rPr>
        <w:t>supra</w:t>
      </w:r>
      <w:r w:rsidRPr="00AB166C">
        <w:t xml:space="preserve"> note 8, at 56. See also Keith Whittington, </w:t>
      </w:r>
      <w:r w:rsidRPr="008159CC">
        <w:rPr>
          <w:i/>
          <w:iCs/>
        </w:rPr>
        <w:t>Give “The People</w:t>
      </w:r>
      <w:r w:rsidR="00EA35F5" w:rsidRPr="008159CC">
        <w:rPr>
          <w:i/>
          <w:iCs/>
        </w:rPr>
        <w:t>”</w:t>
      </w:r>
      <w:r w:rsidRPr="008159CC">
        <w:rPr>
          <w:i/>
          <w:iCs/>
        </w:rPr>
        <w:t xml:space="preserve"> What They Want?</w:t>
      </w:r>
      <w:r w:rsidRPr="00AB166C">
        <w:t xml:space="preserve">, 81 </w:t>
      </w:r>
      <w:r w:rsidR="008159CC" w:rsidRPr="008159CC">
        <w:rPr>
          <w:smallCaps/>
        </w:rPr>
        <w:t>Chi.-Kent L. Rev</w:t>
      </w:r>
      <w:r w:rsidRPr="00AB166C">
        <w:t>. 911, 915 (2006) (“Intraparty agreement on constitutional principles, robust party discipline, and unified party government allowed the parties of the early Jacksonian system to serve as vehicles for popular constitutionalism and to resist the blandishments and enticements of judicial supremacy.</w:t>
      </w:r>
      <w:r w:rsidR="00C46A11">
        <w:t>”</w:t>
      </w:r>
      <w:r w:rsidRPr="00AB166C">
        <w:t>).</w:t>
      </w:r>
    </w:p>
  </w:footnote>
  <w:footnote w:id="94">
    <w:p w14:paraId="71B24330" w14:textId="42BCDE75" w:rsidR="00F7637C" w:rsidRDefault="00F7637C">
      <w:pPr>
        <w:pStyle w:val="FootnoteText"/>
      </w:pPr>
      <w:r>
        <w:rPr>
          <w:rStyle w:val="FootnoteReference"/>
        </w:rPr>
        <w:footnoteRef/>
      </w:r>
      <w:r>
        <w:t xml:space="preserve"> </w:t>
      </w:r>
      <w:r w:rsidRPr="00F7637C">
        <w:t xml:space="preserve">See </w:t>
      </w:r>
      <w:r w:rsidR="000244E3" w:rsidRPr="000244E3">
        <w:rPr>
          <w:smallCaps/>
        </w:rPr>
        <w:t>Weinrib</w:t>
      </w:r>
      <w:r w:rsidRPr="00F7637C">
        <w:t xml:space="preserve">, </w:t>
      </w:r>
      <w:r w:rsidRPr="000244E3">
        <w:rPr>
          <w:i/>
          <w:iCs/>
        </w:rPr>
        <w:t>supra</w:t>
      </w:r>
      <w:r w:rsidRPr="00F7637C">
        <w:t xml:space="preserve"> note </w:t>
      </w:r>
      <w:r w:rsidR="001F2BA9">
        <w:fldChar w:fldCharType="begin"/>
      </w:r>
      <w:r w:rsidR="001F2BA9">
        <w:instrText xml:space="preserve"> NOTEREF _Ref186373651 \h </w:instrText>
      </w:r>
      <w:r w:rsidR="001F2BA9">
        <w:fldChar w:fldCharType="separate"/>
      </w:r>
      <w:r w:rsidR="00454C1B">
        <w:t>61</w:t>
      </w:r>
      <w:r w:rsidR="001F2BA9">
        <w:fldChar w:fldCharType="end"/>
      </w:r>
      <w:r w:rsidRPr="00F7637C">
        <w:t xml:space="preserve">, at 56-81; </w:t>
      </w:r>
      <w:r w:rsidR="00C46A11" w:rsidRPr="00C46A11">
        <w:rPr>
          <w:smallCaps/>
        </w:rPr>
        <w:t xml:space="preserve">Samuel Walker, In Defense Of American Liberties: A History </w:t>
      </w:r>
      <w:r w:rsidR="00C46A11">
        <w:rPr>
          <w:smallCaps/>
        </w:rPr>
        <w:t>o</w:t>
      </w:r>
      <w:r w:rsidR="00C46A11" w:rsidRPr="00C46A11">
        <w:rPr>
          <w:smallCaps/>
        </w:rPr>
        <w:t xml:space="preserve">f </w:t>
      </w:r>
      <w:r w:rsidR="00C46A11">
        <w:rPr>
          <w:smallCaps/>
        </w:rPr>
        <w:t>t</w:t>
      </w:r>
      <w:r w:rsidR="00C46A11" w:rsidRPr="00C46A11">
        <w:rPr>
          <w:smallCaps/>
        </w:rPr>
        <w:t>he</w:t>
      </w:r>
      <w:r w:rsidR="00C46A11" w:rsidRPr="00F7637C">
        <w:t xml:space="preserve"> </w:t>
      </w:r>
      <w:r w:rsidRPr="00F7637C">
        <w:t>ACLU 11-51 (1990).</w:t>
      </w:r>
    </w:p>
  </w:footnote>
  <w:footnote w:id="95">
    <w:p w14:paraId="3F4F78FA" w14:textId="755F1EF3" w:rsidR="00BF56F5" w:rsidRDefault="00BF56F5">
      <w:pPr>
        <w:pStyle w:val="FootnoteText"/>
      </w:pPr>
      <w:r>
        <w:rPr>
          <w:rStyle w:val="FootnoteReference"/>
        </w:rPr>
        <w:footnoteRef/>
      </w:r>
      <w:r>
        <w:t xml:space="preserve"> </w:t>
      </w:r>
      <w:r w:rsidRPr="00BF56F5">
        <w:t>Deborah Archer. See Officers &amp; Board of Directors, ACLU.org, https://www.aclu.org/about/ officers-board-directors.</w:t>
      </w:r>
    </w:p>
  </w:footnote>
  <w:footnote w:id="96">
    <w:p w14:paraId="030DB947" w14:textId="252CB103" w:rsidR="004E6BC8" w:rsidRDefault="004E6BC8">
      <w:pPr>
        <w:pStyle w:val="FootnoteText"/>
      </w:pPr>
      <w:r>
        <w:rPr>
          <w:rStyle w:val="FootnoteReference"/>
        </w:rPr>
        <w:footnoteRef/>
      </w:r>
      <w:r>
        <w:t xml:space="preserve"> </w:t>
      </w:r>
      <w:r w:rsidRPr="004E6BC8">
        <w:t>Michelle Brown-Yazzie. Id.</w:t>
      </w:r>
    </w:p>
  </w:footnote>
  <w:footnote w:id="97">
    <w:p w14:paraId="32D01FBB" w14:textId="536C0B14" w:rsidR="004E6BC8" w:rsidRDefault="004E6BC8">
      <w:pPr>
        <w:pStyle w:val="FootnoteText"/>
      </w:pPr>
      <w:r>
        <w:rPr>
          <w:rStyle w:val="FootnoteReference"/>
        </w:rPr>
        <w:footnoteRef/>
      </w:r>
      <w:r>
        <w:t xml:space="preserve"> Royce Murray. Id.</w:t>
      </w:r>
    </w:p>
  </w:footnote>
  <w:footnote w:id="98">
    <w:p w14:paraId="4172B730" w14:textId="2E55B374" w:rsidR="00340198" w:rsidRDefault="00340198">
      <w:pPr>
        <w:pStyle w:val="FootnoteText"/>
      </w:pPr>
      <w:r>
        <w:rPr>
          <w:rStyle w:val="FootnoteReference"/>
        </w:rPr>
        <w:footnoteRef/>
      </w:r>
      <w:r>
        <w:t xml:space="preserve"> Ruth Colker. Id.</w:t>
      </w:r>
    </w:p>
  </w:footnote>
  <w:footnote w:id="99">
    <w:p w14:paraId="623ED207" w14:textId="72164D16" w:rsidR="008427E0" w:rsidRDefault="008427E0">
      <w:pPr>
        <w:pStyle w:val="FootnoteText"/>
      </w:pPr>
      <w:r>
        <w:rPr>
          <w:rStyle w:val="FootnoteReference"/>
        </w:rPr>
        <w:footnoteRef/>
      </w:r>
      <w:r>
        <w:t xml:space="preserve"> Robert Remar. Id.</w:t>
      </w:r>
    </w:p>
  </w:footnote>
  <w:footnote w:id="100">
    <w:p w14:paraId="01EFDAC0" w14:textId="19E3E80A" w:rsidR="00726405" w:rsidRDefault="00726405">
      <w:pPr>
        <w:pStyle w:val="FootnoteText"/>
      </w:pPr>
      <w:r>
        <w:rPr>
          <w:rStyle w:val="FootnoteReference"/>
        </w:rPr>
        <w:footnoteRef/>
      </w:r>
      <w:r>
        <w:t xml:space="preserve"> </w:t>
      </w:r>
      <w:r w:rsidRPr="00726405">
        <w:t xml:space="preserve">The Coalition, </w:t>
      </w:r>
      <w:r w:rsidR="00B65DC2" w:rsidRPr="00FB1E58">
        <w:rPr>
          <w:smallCaps/>
        </w:rPr>
        <w:t>Civil</w:t>
      </w:r>
      <w:r w:rsidR="00FB1E58" w:rsidRPr="00FB1E58">
        <w:rPr>
          <w:smallCaps/>
        </w:rPr>
        <w:t>R</w:t>
      </w:r>
      <w:r w:rsidR="00B65DC2" w:rsidRPr="00FB1E58">
        <w:rPr>
          <w:smallCaps/>
        </w:rPr>
        <w:t>ights</w:t>
      </w:r>
      <w:r w:rsidR="00B65DC2" w:rsidRPr="00726405">
        <w:t>.</w:t>
      </w:r>
      <w:r w:rsidR="00FB1E58" w:rsidRPr="00FB1E58">
        <w:rPr>
          <w:smallCaps/>
        </w:rPr>
        <w:t>o</w:t>
      </w:r>
      <w:r w:rsidR="00B65DC2" w:rsidRPr="00FB1E58">
        <w:rPr>
          <w:smallCaps/>
        </w:rPr>
        <w:t>rg</w:t>
      </w:r>
      <w:r w:rsidRPr="00726405">
        <w:t>, https://civilrights.org/about/the-coalition/.</w:t>
      </w:r>
    </w:p>
  </w:footnote>
  <w:footnote w:id="101">
    <w:p w14:paraId="7815AD6F" w14:textId="6FEB691F" w:rsidR="009F401A" w:rsidRPr="006B6490" w:rsidRDefault="009F401A" w:rsidP="009F401A">
      <w:pPr>
        <w:pStyle w:val="FootnoteText"/>
      </w:pPr>
      <w:r>
        <w:rPr>
          <w:rStyle w:val="FootnoteReference"/>
        </w:rPr>
        <w:footnoteRef/>
      </w:r>
      <w:r>
        <w:t xml:space="preserve"> </w:t>
      </w:r>
      <w:r w:rsidRPr="00BE3547">
        <w:rPr>
          <w:smallCaps/>
        </w:rPr>
        <w:t>Karol</w:t>
      </w:r>
      <w:r>
        <w:t xml:space="preserve">, </w:t>
      </w:r>
      <w:r>
        <w:rPr>
          <w:i/>
          <w:iCs/>
        </w:rPr>
        <w:t xml:space="preserve">supra </w:t>
      </w:r>
      <w:r>
        <w:t xml:space="preserve">note </w:t>
      </w:r>
      <w:r w:rsidR="00BE3547">
        <w:fldChar w:fldCharType="begin"/>
      </w:r>
      <w:r w:rsidR="00BE3547">
        <w:instrText xml:space="preserve"> NOTEREF _Ref185862447 \h </w:instrText>
      </w:r>
      <w:r w:rsidR="00BE3547">
        <w:fldChar w:fldCharType="separate"/>
      </w:r>
      <w:r w:rsidR="00454C1B">
        <w:t>76</w:t>
      </w:r>
      <w:r w:rsidR="00BE3547">
        <w:fldChar w:fldCharType="end"/>
      </w:r>
      <w:r>
        <w:t>, at 81, 93-94, 131.</w:t>
      </w:r>
    </w:p>
  </w:footnote>
  <w:footnote w:id="102">
    <w:p w14:paraId="5ADECCC2" w14:textId="1B6346CE" w:rsidR="004B33BE" w:rsidRDefault="004B33BE">
      <w:pPr>
        <w:pStyle w:val="FootnoteText"/>
      </w:pPr>
      <w:r>
        <w:rPr>
          <w:rStyle w:val="FootnoteReference"/>
        </w:rPr>
        <w:footnoteRef/>
      </w:r>
      <w:r>
        <w:t xml:space="preserve"> It is, of course, possible that</w:t>
      </w:r>
      <w:r w:rsidR="0012116C">
        <w:t xml:space="preserve"> judges take these criticisms far more seriously than do MCs, whether because they face stronger norms or because </w:t>
      </w:r>
      <w:r w:rsidR="00984FB9">
        <w:t xml:space="preserve">MCs face stronger countervailing pressures, generated by their need to seek reelection. </w:t>
      </w:r>
      <w:r w:rsidR="0027108F">
        <w:t>It is difficult to evaluate this possibility in theor</w:t>
      </w:r>
      <w:r w:rsidR="00D41480">
        <w:t>y</w:t>
      </w:r>
      <w:r w:rsidR="007F27D0">
        <w:t>.</w:t>
      </w:r>
      <w:r w:rsidR="008C59F9">
        <w:t xml:space="preserve"> </w:t>
      </w:r>
    </w:p>
  </w:footnote>
  <w:footnote w:id="103">
    <w:p w14:paraId="229631FB" w14:textId="0FD66635" w:rsidR="00C02BC0" w:rsidRDefault="00C02BC0" w:rsidP="00986CE3">
      <w:pPr>
        <w:pStyle w:val="FootnoteText"/>
      </w:pPr>
      <w:r>
        <w:rPr>
          <w:rStyle w:val="FootnoteReference"/>
        </w:rPr>
        <w:footnoteRef/>
      </w:r>
      <w:r>
        <w:t xml:space="preserve"> </w:t>
      </w:r>
      <w:r w:rsidR="00986CE3">
        <w:t>The classic example is George H.W. Bush’s violation of his “read my lips: no new taxes</w:t>
      </w:r>
      <w:r w:rsidR="00B63509">
        <w:t>”</w:t>
      </w:r>
      <w:r w:rsidR="00986CE3">
        <w:t xml:space="preserve"> pledge. See</w:t>
      </w:r>
      <w:r w:rsidR="00A223CF">
        <w:t xml:space="preserve"> </w:t>
      </w:r>
      <w:r w:rsidR="00BE3547" w:rsidRPr="00BE3547">
        <w:rPr>
          <w:smallCaps/>
        </w:rPr>
        <w:t xml:space="preserve">Ryan J. Barilleaux &amp; Mark J. Rozell, Power And Prudence: The Presidency </w:t>
      </w:r>
      <w:r w:rsidR="005C3B87">
        <w:rPr>
          <w:smallCaps/>
        </w:rPr>
        <w:t>o</w:t>
      </w:r>
      <w:r w:rsidR="00BE3547" w:rsidRPr="00BE3547">
        <w:rPr>
          <w:smallCaps/>
        </w:rPr>
        <w:t>f George H.W. Bush</w:t>
      </w:r>
      <w:r w:rsidR="00BE3547">
        <w:t xml:space="preserve"> </w:t>
      </w:r>
      <w:r w:rsidR="00986CE3">
        <w:t xml:space="preserve">34 (2004). David Karol, </w:t>
      </w:r>
      <w:r w:rsidR="00986CE3" w:rsidRPr="006D120B">
        <w:t xml:space="preserve">supra note </w:t>
      </w:r>
      <w:r w:rsidR="00F023D9">
        <w:fldChar w:fldCharType="begin"/>
      </w:r>
      <w:r w:rsidR="00F023D9">
        <w:instrText xml:space="preserve"> NOTEREF _Ref185862447 \h </w:instrText>
      </w:r>
      <w:r w:rsidR="00F023D9">
        <w:fldChar w:fldCharType="separate"/>
      </w:r>
      <w:r w:rsidR="00454C1B">
        <w:t>76</w:t>
      </w:r>
      <w:r w:rsidR="00F023D9">
        <w:fldChar w:fldCharType="end"/>
      </w:r>
      <w:r w:rsidR="00986CE3">
        <w:t xml:space="preserve">, at 2-3, has argued that politicians generally pay little cost, and can garner substantial benefits, for flip-flopping. But Karol’s claim is not that politicians can violate their party line with impunity but that the party line may change, as discussed </w:t>
      </w:r>
      <w:r w:rsidR="008908BC">
        <w:t>below.</w:t>
      </w:r>
      <w:r w:rsidR="00813D49">
        <w:t xml:space="preserve"> </w:t>
      </w:r>
    </w:p>
  </w:footnote>
  <w:footnote w:id="104">
    <w:p w14:paraId="4608F742" w14:textId="4A3BD18C" w:rsidR="005109E8" w:rsidRPr="00FF528A" w:rsidRDefault="005109E8">
      <w:pPr>
        <w:pStyle w:val="FootnoteText"/>
      </w:pPr>
      <w:r>
        <w:rPr>
          <w:rStyle w:val="FootnoteReference"/>
        </w:rPr>
        <w:footnoteRef/>
      </w:r>
      <w:r>
        <w:t xml:space="preserve"> See, e.g., Jay Nordlinger, </w:t>
      </w:r>
      <w:r w:rsidR="00FF528A" w:rsidRPr="00FF528A">
        <w:rPr>
          <w:i/>
          <w:iCs/>
        </w:rPr>
        <w:t>‘#</w:t>
      </w:r>
      <w:proofErr w:type="spellStart"/>
      <w:r w:rsidR="00FF528A" w:rsidRPr="00FF528A">
        <w:rPr>
          <w:i/>
          <w:iCs/>
        </w:rPr>
        <w:t>ExGOP</w:t>
      </w:r>
      <w:proofErr w:type="spellEnd"/>
      <w:r w:rsidR="00FF528A" w:rsidRPr="00FF528A">
        <w:rPr>
          <w:i/>
          <w:iCs/>
        </w:rPr>
        <w:t>’ – Ugh</w:t>
      </w:r>
      <w:r w:rsidR="00FF528A">
        <w:t xml:space="preserve">, </w:t>
      </w:r>
      <w:r w:rsidR="00FF528A" w:rsidRPr="00FF528A">
        <w:rPr>
          <w:smallCaps/>
        </w:rPr>
        <w:t>National Review</w:t>
      </w:r>
      <w:r w:rsidR="00FF528A">
        <w:t xml:space="preserve"> (June 7, 2016).</w:t>
      </w:r>
    </w:p>
  </w:footnote>
  <w:footnote w:id="105">
    <w:p w14:paraId="55AC26D1" w14:textId="2E52572A" w:rsidR="002C789C" w:rsidRDefault="002C789C">
      <w:pPr>
        <w:pStyle w:val="FootnoteText"/>
      </w:pPr>
      <w:r>
        <w:rPr>
          <w:rStyle w:val="FootnoteReference"/>
        </w:rPr>
        <w:footnoteRef/>
      </w:r>
      <w:r>
        <w:t xml:space="preserve"> </w:t>
      </w:r>
      <w:r w:rsidR="00B716D0" w:rsidRPr="00B716D0">
        <w:rPr>
          <w:smallCaps/>
        </w:rPr>
        <w:t xml:space="preserve">H.L.A. Hart, The Concept </w:t>
      </w:r>
      <w:r w:rsidR="00B716D0">
        <w:rPr>
          <w:smallCaps/>
        </w:rPr>
        <w:t>o</w:t>
      </w:r>
      <w:r w:rsidR="00B716D0" w:rsidRPr="00B716D0">
        <w:rPr>
          <w:smallCaps/>
        </w:rPr>
        <w:t xml:space="preserve">f Law </w:t>
      </w:r>
      <w:r w:rsidR="007E7606" w:rsidRPr="007E7606">
        <w:t>181 (1961).</w:t>
      </w:r>
    </w:p>
  </w:footnote>
  <w:footnote w:id="106">
    <w:p w14:paraId="1DB70D45" w14:textId="0B9F7A77" w:rsidR="007C37FC" w:rsidRDefault="007C37FC" w:rsidP="007C37FC">
      <w:pPr>
        <w:pStyle w:val="FootnoteText"/>
      </w:pPr>
      <w:r>
        <w:rPr>
          <w:rStyle w:val="FootnoteReference"/>
        </w:rPr>
        <w:footnoteRef/>
      </w:r>
      <w:r>
        <w:t xml:space="preserve"> Id. at 181-93. This observation is often associated with the legal realist movement. See, e.g., </w:t>
      </w:r>
      <w:r w:rsidR="00B716D0" w:rsidRPr="00B716D0">
        <w:rPr>
          <w:smallCaps/>
        </w:rPr>
        <w:t xml:space="preserve">Jerome Frank, Law And The Modern Mind </w:t>
      </w:r>
      <w:r>
        <w:t>148-59 (1930).</w:t>
      </w:r>
    </w:p>
  </w:footnote>
  <w:footnote w:id="107">
    <w:p w14:paraId="5B300A1F" w14:textId="3E0E7AD2" w:rsidR="006C430B" w:rsidRPr="00687968" w:rsidRDefault="006C430B">
      <w:pPr>
        <w:pStyle w:val="FootnoteText"/>
        <w:rPr>
          <w:i/>
          <w:iCs/>
        </w:rPr>
      </w:pPr>
      <w:r>
        <w:rPr>
          <w:rStyle w:val="FootnoteReference"/>
        </w:rPr>
        <w:footnoteRef/>
      </w:r>
      <w:r>
        <w:t xml:space="preserve"> For an argument that judges are not constrained by principle because they can so often choose between </w:t>
      </w:r>
      <w:r w:rsidR="007C543E">
        <w:t xml:space="preserve">conflicting principles, see </w:t>
      </w:r>
      <w:r w:rsidR="00AC3AE2">
        <w:t xml:space="preserve">Karl N. </w:t>
      </w:r>
      <w:r w:rsidR="003644E2" w:rsidRPr="003644E2">
        <w:t>Llewellyn,</w:t>
      </w:r>
      <w:r w:rsidR="003644E2" w:rsidRPr="00AC3AE2">
        <w:rPr>
          <w:i/>
          <w:iCs/>
        </w:rPr>
        <w:t xml:space="preserve"> Remarks on the Theory of Appellate Decision and the Rules or Canons about How Statutes are to be Construed</w:t>
      </w:r>
      <w:r w:rsidR="00AC3AE2">
        <w:t xml:space="preserve">, </w:t>
      </w:r>
      <w:r w:rsidR="00AC3AE2">
        <w:rPr>
          <w:i/>
          <w:iCs/>
        </w:rPr>
        <w:t xml:space="preserve">in </w:t>
      </w:r>
      <w:r w:rsidR="003644E2" w:rsidRPr="00AC3AE2">
        <w:rPr>
          <w:smallCaps/>
        </w:rPr>
        <w:t>Precedents, Statutes, and Analysis of Legal Concepts</w:t>
      </w:r>
      <w:r w:rsidR="00AC3AE2" w:rsidRPr="00AC3AE2">
        <w:rPr>
          <w:smallCaps/>
        </w:rPr>
        <w:t xml:space="preserve"> </w:t>
      </w:r>
      <w:r w:rsidR="003644E2" w:rsidRPr="003644E2">
        <w:t>85</w:t>
      </w:r>
      <w:r w:rsidR="00AC3AE2">
        <w:t xml:space="preserve"> </w:t>
      </w:r>
      <w:r w:rsidR="00AC3AE2" w:rsidRPr="003644E2">
        <w:t>(2013)</w:t>
      </w:r>
      <w:r w:rsidR="003644E2" w:rsidRPr="003644E2">
        <w:t>.</w:t>
      </w:r>
    </w:p>
  </w:footnote>
  <w:footnote w:id="108">
    <w:p w14:paraId="31FF79A2" w14:textId="6028C6F6" w:rsidR="00905490" w:rsidRDefault="00905490">
      <w:pPr>
        <w:pStyle w:val="FootnoteText"/>
      </w:pPr>
      <w:r>
        <w:rPr>
          <w:rStyle w:val="FootnoteReference"/>
        </w:rPr>
        <w:footnoteRef/>
      </w:r>
      <w:r>
        <w:t xml:space="preserve"> </w:t>
      </w:r>
      <w:r w:rsidRPr="00905490">
        <w:t>I am certainly not the first to notice that references to precedent are often used in institutions other than the judiciary, or that open texture gives political actors significant flexibility in how they reason from</w:t>
      </w:r>
      <w:r w:rsidR="00CE51BB">
        <w:t xml:space="preserve"> </w:t>
      </w:r>
      <w:r w:rsidR="00CE51BB" w:rsidRPr="00CE51BB">
        <w:t xml:space="preserve">precedent. See Josh Chafetz, </w:t>
      </w:r>
      <w:r w:rsidR="00CE51BB" w:rsidRPr="005E1998">
        <w:rPr>
          <w:i/>
          <w:iCs/>
        </w:rPr>
        <w:t>Unprecedented?: Judicial Confirmation Battles and the Search for a Usable Past</w:t>
      </w:r>
      <w:r w:rsidR="00CE51BB" w:rsidRPr="00CE51BB">
        <w:t xml:space="preserve">, 131 </w:t>
      </w:r>
      <w:r w:rsidR="00810189" w:rsidRPr="00810189">
        <w:rPr>
          <w:smallCaps/>
        </w:rPr>
        <w:t>Harv. L. Rev</w:t>
      </w:r>
      <w:r w:rsidR="00CE51BB" w:rsidRPr="00CE51BB">
        <w:t>. 96 (2017).</w:t>
      </w:r>
    </w:p>
  </w:footnote>
  <w:footnote w:id="109">
    <w:p w14:paraId="426D0263" w14:textId="72054220" w:rsidR="00BD1F67" w:rsidRDefault="00BD1F67">
      <w:pPr>
        <w:pStyle w:val="FootnoteText"/>
      </w:pPr>
      <w:r>
        <w:rPr>
          <w:rStyle w:val="FootnoteReference"/>
        </w:rPr>
        <w:footnoteRef/>
      </w:r>
      <w:r w:rsidR="00911DC9">
        <w:t xml:space="preserve"> </w:t>
      </w:r>
      <w:r w:rsidR="006F5BBA" w:rsidRPr="00777A4E">
        <w:rPr>
          <w:smallCaps/>
        </w:rPr>
        <w:t xml:space="preserve">Philip Bobbitt, Constitutional Fate: Theory </w:t>
      </w:r>
      <w:r w:rsidR="002D5172">
        <w:rPr>
          <w:smallCaps/>
        </w:rPr>
        <w:t>o</w:t>
      </w:r>
      <w:r w:rsidR="006F5BBA" w:rsidRPr="00777A4E">
        <w:rPr>
          <w:smallCaps/>
        </w:rPr>
        <w:t xml:space="preserve">f </w:t>
      </w:r>
      <w:r w:rsidR="002D5172">
        <w:rPr>
          <w:smallCaps/>
        </w:rPr>
        <w:t>t</w:t>
      </w:r>
      <w:r w:rsidR="006F5BBA" w:rsidRPr="00777A4E">
        <w:rPr>
          <w:smallCaps/>
        </w:rPr>
        <w:t>he Constitution</w:t>
      </w:r>
      <w:r w:rsidR="006F5BBA" w:rsidRPr="00BD1F67">
        <w:t xml:space="preserve"> 3-123 (1982).</w:t>
      </w:r>
    </w:p>
  </w:footnote>
  <w:footnote w:id="110">
    <w:p w14:paraId="76518A01" w14:textId="6DB1FF92" w:rsidR="009A00CD" w:rsidRDefault="009A00CD">
      <w:pPr>
        <w:pStyle w:val="FootnoteText"/>
      </w:pPr>
      <w:r>
        <w:rPr>
          <w:rStyle w:val="FootnoteReference"/>
        </w:rPr>
        <w:footnoteRef/>
      </w:r>
      <w:r>
        <w:t xml:space="preserve"> </w:t>
      </w:r>
      <w:r w:rsidRPr="009A00CD">
        <w:t>Id. at 94.</w:t>
      </w:r>
    </w:p>
  </w:footnote>
  <w:footnote w:id="111">
    <w:p w14:paraId="3C28A3D2" w14:textId="65E4100B" w:rsidR="00022CC2" w:rsidRDefault="00022CC2">
      <w:pPr>
        <w:pStyle w:val="FootnoteText"/>
      </w:pPr>
      <w:r>
        <w:rPr>
          <w:rStyle w:val="FootnoteReference"/>
        </w:rPr>
        <w:footnoteRef/>
      </w:r>
      <w:r>
        <w:t xml:space="preserve"> </w:t>
      </w:r>
      <w:r w:rsidRPr="00022CC2">
        <w:t xml:space="preserve">Id. at 123. Cf. Jack Balkin &amp; Sanford Levinson, Constitutional Grammar, 72 </w:t>
      </w:r>
      <w:r w:rsidR="00165D44" w:rsidRPr="00165D44">
        <w:rPr>
          <w:smallCaps/>
        </w:rPr>
        <w:t>Tex. L. Rev.</w:t>
      </w:r>
      <w:r w:rsidRPr="00022CC2">
        <w:t xml:space="preserve"> 1771, 1798-1802 (1994) (noting that “intra-modal" conflicts are also quite frequent).</w:t>
      </w:r>
    </w:p>
  </w:footnote>
  <w:footnote w:id="112">
    <w:p w14:paraId="7C97B403" w14:textId="15905DEC" w:rsidR="00173204" w:rsidRDefault="00173204">
      <w:pPr>
        <w:pStyle w:val="FootnoteText"/>
      </w:pPr>
      <w:r>
        <w:rPr>
          <w:rStyle w:val="FootnoteReference"/>
        </w:rPr>
        <w:footnoteRef/>
      </w:r>
      <w:r>
        <w:t xml:space="preserve"> </w:t>
      </w:r>
      <w:r w:rsidRPr="00173204">
        <w:t xml:space="preserve">Stefanie A. Lindquist &amp; Frank B. Cross, </w:t>
      </w:r>
      <w:r w:rsidRPr="00810189">
        <w:rPr>
          <w:i/>
          <w:iCs/>
        </w:rPr>
        <w:t xml:space="preserve">Empirically Testing Dworkin’s </w:t>
      </w:r>
      <w:r w:rsidR="00635917" w:rsidRPr="00810189">
        <w:rPr>
          <w:i/>
          <w:iCs/>
        </w:rPr>
        <w:t xml:space="preserve">Chain </w:t>
      </w:r>
      <w:r w:rsidRPr="00810189">
        <w:rPr>
          <w:i/>
          <w:iCs/>
        </w:rPr>
        <w:t>Novel Theory: Studying the Path of Precedent</w:t>
      </w:r>
      <w:r w:rsidRPr="00173204">
        <w:t xml:space="preserve">, 80 N.Y.U. L. </w:t>
      </w:r>
      <w:r w:rsidR="00FA6C44" w:rsidRPr="00FA6C44">
        <w:rPr>
          <w:smallCaps/>
        </w:rPr>
        <w:t>Rev</w:t>
      </w:r>
      <w:r w:rsidRPr="00173204">
        <w:t>. 1156, 1199-1200, 1204 (2005). Lundquist and Cross measure the impact of adding more judicial opinions, not the impact of adding more words in opinions. It may be that longer opinions have a different impact than more opinions, but I am aware of no evidence on point.</w:t>
      </w:r>
    </w:p>
  </w:footnote>
  <w:footnote w:id="113">
    <w:p w14:paraId="31FEE870" w14:textId="396C3E2A" w:rsidR="00FB35C1" w:rsidRDefault="00FB35C1">
      <w:pPr>
        <w:pStyle w:val="FootnoteText"/>
      </w:pPr>
      <w:r>
        <w:rPr>
          <w:rStyle w:val="FootnoteReference"/>
        </w:rPr>
        <w:footnoteRef/>
      </w:r>
      <w:r>
        <w:t xml:space="preserve"> </w:t>
      </w:r>
      <w:r w:rsidR="00635917" w:rsidRPr="009731C1">
        <w:rPr>
          <w:smallCaps/>
        </w:rPr>
        <w:t xml:space="preserve">David Greenberg, John Lewis </w:t>
      </w:r>
      <w:r w:rsidR="002E0128" w:rsidRPr="009731C1">
        <w:rPr>
          <w:smallCaps/>
        </w:rPr>
        <w:t>i</w:t>
      </w:r>
      <w:r w:rsidR="00635917" w:rsidRPr="009731C1">
        <w:rPr>
          <w:smallCaps/>
        </w:rPr>
        <w:t>n Congress</w:t>
      </w:r>
      <w:r w:rsidR="00635917" w:rsidRPr="00FB35C1">
        <w:t xml:space="preserve"> </w:t>
      </w:r>
      <w:r w:rsidRPr="00FB35C1">
        <w:t>4 (forthcoming 2024) (on file with author).</w:t>
      </w:r>
    </w:p>
  </w:footnote>
  <w:footnote w:id="114">
    <w:p w14:paraId="51B4EE04" w14:textId="4CF60571" w:rsidR="00F9562D" w:rsidRDefault="00F9562D">
      <w:pPr>
        <w:pStyle w:val="FootnoteText"/>
      </w:pPr>
      <w:r>
        <w:rPr>
          <w:rStyle w:val="FootnoteReference"/>
        </w:rPr>
        <w:footnoteRef/>
      </w:r>
      <w:r>
        <w:t xml:space="preserve"> </w:t>
      </w:r>
      <w:r w:rsidR="009731C1" w:rsidRPr="009731C1">
        <w:rPr>
          <w:smallCaps/>
        </w:rPr>
        <w:t xml:space="preserve">Wayne Dawkins, Emanuel Celler: Immigration And Civil Rights Champion </w:t>
      </w:r>
      <w:proofErr w:type="spellStart"/>
      <w:r w:rsidR="00A77F04" w:rsidRPr="00A77F04">
        <w:t>chs</w:t>
      </w:r>
      <w:proofErr w:type="spellEnd"/>
      <w:r w:rsidR="00A77F04" w:rsidRPr="00A77F04">
        <w:t>. 10-11 (2020)</w:t>
      </w:r>
      <w:r w:rsidR="006161E2">
        <w:t xml:space="preserve">; </w:t>
      </w:r>
      <w:r w:rsidR="00212DF2" w:rsidRPr="00811778">
        <w:rPr>
          <w:smallCaps/>
        </w:rPr>
        <w:t xml:space="preserve">Chales and Barbara Whale, </w:t>
      </w:r>
      <w:r w:rsidR="00C56716" w:rsidRPr="00811778">
        <w:rPr>
          <w:smallCaps/>
        </w:rPr>
        <w:t>The</w:t>
      </w:r>
      <w:r w:rsidR="00212DF2" w:rsidRPr="00811778">
        <w:rPr>
          <w:smallCaps/>
        </w:rPr>
        <w:t xml:space="preserve"> Longest Debate: A Legislative History of the </w:t>
      </w:r>
      <w:r w:rsidR="00811778" w:rsidRPr="00811778">
        <w:rPr>
          <w:smallCaps/>
        </w:rPr>
        <w:t>1964 Civil Rights Act</w:t>
      </w:r>
      <w:r w:rsidR="00811778">
        <w:t xml:space="preserve"> 1-29 (1985)</w:t>
      </w:r>
      <w:r w:rsidR="00A77F04" w:rsidRPr="00A77F04">
        <w:t>.</w:t>
      </w:r>
    </w:p>
  </w:footnote>
  <w:footnote w:id="115">
    <w:p w14:paraId="2F1F23D6" w14:textId="2B7DF4B7" w:rsidR="00AC25E1" w:rsidRDefault="00AC25E1" w:rsidP="00AC25E1">
      <w:pPr>
        <w:pStyle w:val="FootnoteText"/>
      </w:pPr>
      <w:r>
        <w:rPr>
          <w:rStyle w:val="FootnoteReference"/>
        </w:rPr>
        <w:footnoteRef/>
      </w:r>
      <w:r>
        <w:t xml:space="preserve"> See Thomas P. Ronan, </w:t>
      </w:r>
      <w:r w:rsidRPr="00524347">
        <w:rPr>
          <w:i/>
          <w:iCs/>
        </w:rPr>
        <w:t>A Woman Leader in Brooklyn to Challenge Celler in Primary</w:t>
      </w:r>
      <w:r>
        <w:t xml:space="preserve">, N.Y. </w:t>
      </w:r>
      <w:r w:rsidR="00916033" w:rsidRPr="00916033">
        <w:rPr>
          <w:smallCaps/>
        </w:rPr>
        <w:t>Times</w:t>
      </w:r>
      <w:r w:rsidR="00916033">
        <w:t xml:space="preserve"> </w:t>
      </w:r>
      <w:r>
        <w:t>(March 29, 1972).</w:t>
      </w:r>
    </w:p>
  </w:footnote>
  <w:footnote w:id="116">
    <w:p w14:paraId="2F5D1E0C" w14:textId="4CA06494" w:rsidR="007B7946" w:rsidRDefault="007B7946">
      <w:pPr>
        <w:pStyle w:val="FootnoteText"/>
      </w:pPr>
      <w:r>
        <w:rPr>
          <w:rStyle w:val="FootnoteReference"/>
        </w:rPr>
        <w:footnoteRef/>
      </w:r>
      <w:r>
        <w:t xml:space="preserve"> </w:t>
      </w:r>
      <w:r w:rsidR="00095CCF" w:rsidRPr="00095CCF">
        <w:t xml:space="preserve">I am aware of no systematic evidence on this point, but I suspect the observation is non-controversial. For anecdotal evidence, consider Justice White’s complaint that the Court ignored his majority opinion in Atlas Roofing v. Occupational Safety and Health Review Comm’n, 430 U.S. 442 (1977) when it decided </w:t>
      </w:r>
      <w:proofErr w:type="spellStart"/>
      <w:r w:rsidR="00095CCF" w:rsidRPr="00095CCF">
        <w:t>Granfinanciera</w:t>
      </w:r>
      <w:proofErr w:type="spellEnd"/>
      <w:r w:rsidR="00095CCF" w:rsidRPr="00095CCF">
        <w:t>, SA v. Nordberg, 492 US 33 (1989), a complaint, notably, contained in his solo dissent. Or, more recently, consider Justice Thomas’s solo dissent in United States v. Rahimi, No. 22-915 (slip op. at 1) (Thomas, J., dissenting), https://www.supremecourt.gov/opinions/23pdf/22-915_8o6b.pdf, interpreting his decision for the Court in New York State Rifle &amp; Pistol Association, Inc. v. Bruen, 597 U.S. 1 (2022).</w:t>
      </w:r>
    </w:p>
  </w:footnote>
  <w:footnote w:id="117">
    <w:p w14:paraId="4414D2BB" w14:textId="6CBC7B9F" w:rsidR="00F7045E" w:rsidRPr="00F6787F" w:rsidRDefault="00F7045E">
      <w:pPr>
        <w:pStyle w:val="FootnoteText"/>
      </w:pPr>
      <w:r>
        <w:rPr>
          <w:rStyle w:val="FootnoteReference"/>
        </w:rPr>
        <w:footnoteRef/>
      </w:r>
      <w:r>
        <w:t xml:space="preserve"> </w:t>
      </w:r>
      <w:r w:rsidR="00C31BBD" w:rsidRPr="00C31BBD">
        <w:t>Philip E. Converse,</w:t>
      </w:r>
      <w:r w:rsidR="00C31BBD" w:rsidRPr="00C31BBD">
        <w:rPr>
          <w:i/>
          <w:iCs/>
        </w:rPr>
        <w:t xml:space="preserve"> The </w:t>
      </w:r>
      <w:r w:rsidR="00C31BBD">
        <w:rPr>
          <w:i/>
          <w:iCs/>
        </w:rPr>
        <w:t>N</w:t>
      </w:r>
      <w:r w:rsidR="00C31BBD" w:rsidRPr="00C31BBD">
        <w:rPr>
          <w:i/>
          <w:iCs/>
        </w:rPr>
        <w:t xml:space="preserve">ature of </w:t>
      </w:r>
      <w:r w:rsidR="00C31BBD">
        <w:rPr>
          <w:i/>
          <w:iCs/>
        </w:rPr>
        <w:t>B</w:t>
      </w:r>
      <w:r w:rsidR="00C31BBD" w:rsidRPr="00C31BBD">
        <w:rPr>
          <w:i/>
          <w:iCs/>
        </w:rPr>
        <w:t xml:space="preserve">elief </w:t>
      </w:r>
      <w:r w:rsidR="00C31BBD">
        <w:rPr>
          <w:i/>
          <w:iCs/>
        </w:rPr>
        <w:t>S</w:t>
      </w:r>
      <w:r w:rsidR="00C31BBD" w:rsidRPr="00C31BBD">
        <w:rPr>
          <w:i/>
          <w:iCs/>
        </w:rPr>
        <w:t xml:space="preserve">ystems in </w:t>
      </w:r>
      <w:r w:rsidR="00C31BBD">
        <w:rPr>
          <w:i/>
          <w:iCs/>
        </w:rPr>
        <w:t>M</w:t>
      </w:r>
      <w:r w:rsidR="00C31BBD" w:rsidRPr="00C31BBD">
        <w:rPr>
          <w:i/>
          <w:iCs/>
        </w:rPr>
        <w:t xml:space="preserve">ass </w:t>
      </w:r>
      <w:r w:rsidR="00C31BBD">
        <w:rPr>
          <w:i/>
          <w:iCs/>
        </w:rPr>
        <w:t>P</w:t>
      </w:r>
      <w:r w:rsidR="00C31BBD" w:rsidRPr="00C31BBD">
        <w:rPr>
          <w:i/>
          <w:iCs/>
        </w:rPr>
        <w:t xml:space="preserve">ublics </w:t>
      </w:r>
      <w:r w:rsidR="00C31BBD" w:rsidRPr="00BC173F">
        <w:t>(1964</w:t>
      </w:r>
      <w:r w:rsidR="00BC173F">
        <w:t>),</w:t>
      </w:r>
      <w:r w:rsidR="00BC173F">
        <w:rPr>
          <w:i/>
          <w:iCs/>
        </w:rPr>
        <w:t xml:space="preserve"> </w:t>
      </w:r>
      <w:r w:rsidR="009C2F25">
        <w:t xml:space="preserve">18 </w:t>
      </w:r>
      <w:r w:rsidR="00BC173F" w:rsidRPr="00BC173F">
        <w:rPr>
          <w:smallCaps/>
        </w:rPr>
        <w:t>Crit</w:t>
      </w:r>
      <w:r w:rsidR="00AC6B38">
        <w:rPr>
          <w:smallCaps/>
        </w:rPr>
        <w:t>.</w:t>
      </w:r>
      <w:r w:rsidR="00BC173F" w:rsidRPr="00BC173F">
        <w:rPr>
          <w:smallCaps/>
        </w:rPr>
        <w:t xml:space="preserve"> Rev.</w:t>
      </w:r>
      <w:r w:rsidR="00BC173F">
        <w:rPr>
          <w:i/>
          <w:iCs/>
        </w:rPr>
        <w:t xml:space="preserve"> </w:t>
      </w:r>
      <w:r w:rsidR="009C2F25">
        <w:t>1 (2006)</w:t>
      </w:r>
      <w:r w:rsidR="00F6787F">
        <w:t xml:space="preserve">. For a deeper look at how such constraint develops, see </w:t>
      </w:r>
      <w:r w:rsidR="00F6787F" w:rsidRPr="004D21B9">
        <w:rPr>
          <w:smallCaps/>
        </w:rPr>
        <w:t>Hans Noel</w:t>
      </w:r>
      <w:r w:rsidR="00E46999" w:rsidRPr="004D21B9">
        <w:rPr>
          <w:smallCaps/>
        </w:rPr>
        <w:t xml:space="preserve">, </w:t>
      </w:r>
      <w:r w:rsidR="009B40D7" w:rsidRPr="004D21B9">
        <w:rPr>
          <w:smallCaps/>
        </w:rPr>
        <w:t>Political Ideologies and Political Parties in America</w:t>
      </w:r>
      <w:r w:rsidR="009B40D7">
        <w:t xml:space="preserve"> 80-132 (</w:t>
      </w:r>
      <w:r w:rsidR="004D21B9">
        <w:t>2013)</w:t>
      </w:r>
      <w:r w:rsidR="00F6787F">
        <w:t>.</w:t>
      </w:r>
    </w:p>
  </w:footnote>
  <w:footnote w:id="118">
    <w:p w14:paraId="1C60D4A0" w14:textId="56CD68AE" w:rsidR="00484D99" w:rsidRDefault="00484D99">
      <w:pPr>
        <w:pStyle w:val="FootnoteText"/>
      </w:pPr>
      <w:r>
        <w:rPr>
          <w:rStyle w:val="FootnoteReference"/>
        </w:rPr>
        <w:footnoteRef/>
      </w:r>
      <w:r>
        <w:t xml:space="preserve"> </w:t>
      </w:r>
      <w:r w:rsidR="001824B1" w:rsidRPr="00843923">
        <w:rPr>
          <w:smallCaps/>
        </w:rPr>
        <w:t>Eric Foner, Free Soil, Free Labor, Free Men: The Ideology of the Republican Party Before the Civil War</w:t>
      </w:r>
      <w:r w:rsidR="001824B1">
        <w:t xml:space="preserve"> </w:t>
      </w:r>
      <w:r w:rsidR="00843923">
        <w:t>(1970)</w:t>
      </w:r>
      <w:r>
        <w:t>.</w:t>
      </w:r>
    </w:p>
  </w:footnote>
  <w:footnote w:id="119">
    <w:p w14:paraId="6DEBDED4" w14:textId="5736C3FD" w:rsidR="00622D2E" w:rsidRDefault="00622D2E">
      <w:pPr>
        <w:pStyle w:val="FootnoteText"/>
      </w:pPr>
      <w:r>
        <w:rPr>
          <w:rStyle w:val="FootnoteReference"/>
        </w:rPr>
        <w:footnoteRef/>
      </w:r>
      <w:r>
        <w:t xml:space="preserve"> </w:t>
      </w:r>
      <w:r w:rsidR="00484D99">
        <w:t xml:space="preserve">See </w:t>
      </w:r>
      <w:r w:rsidR="00484D99" w:rsidRPr="000659B3">
        <w:rPr>
          <w:smallCaps/>
        </w:rPr>
        <w:t>Noel</w:t>
      </w:r>
      <w:r w:rsidR="000659B3">
        <w:t xml:space="preserve">, </w:t>
      </w:r>
      <w:r w:rsidR="000659B3">
        <w:rPr>
          <w:i/>
          <w:iCs/>
        </w:rPr>
        <w:t xml:space="preserve">supra </w:t>
      </w:r>
      <w:r w:rsidR="000659B3">
        <w:t xml:space="preserve">note </w:t>
      </w:r>
      <w:r w:rsidR="000659B3">
        <w:fldChar w:fldCharType="begin"/>
      </w:r>
      <w:r w:rsidR="000659B3">
        <w:instrText xml:space="preserve"> NOTEREF _Ref186102463 \h </w:instrText>
      </w:r>
      <w:r w:rsidR="000659B3">
        <w:fldChar w:fldCharType="separate"/>
      </w:r>
      <w:r w:rsidR="00454C1B">
        <w:t>115</w:t>
      </w:r>
      <w:r w:rsidR="000659B3">
        <w:fldChar w:fldCharType="end"/>
      </w:r>
      <w:r w:rsidR="000659B3">
        <w:t>, at 132-157</w:t>
      </w:r>
      <w:r w:rsidR="00484D99">
        <w:t>.</w:t>
      </w:r>
    </w:p>
  </w:footnote>
  <w:footnote w:id="120">
    <w:p w14:paraId="217CEDBF" w14:textId="6CBE8FAF" w:rsidR="00EC68C1" w:rsidRPr="00A86CC0" w:rsidRDefault="00EC68C1">
      <w:pPr>
        <w:pStyle w:val="FootnoteText"/>
      </w:pPr>
      <w:r>
        <w:rPr>
          <w:rStyle w:val="FootnoteReference"/>
        </w:rPr>
        <w:footnoteRef/>
      </w:r>
      <w:r>
        <w:t xml:space="preserve"> See </w:t>
      </w:r>
      <w:r w:rsidR="00A86CC0">
        <w:t xml:space="preserve">Converse, </w:t>
      </w:r>
      <w:r w:rsidR="00A86CC0">
        <w:rPr>
          <w:i/>
          <w:iCs/>
        </w:rPr>
        <w:t xml:space="preserve">supra </w:t>
      </w:r>
      <w:r w:rsidR="00A86CC0">
        <w:t xml:space="preserve">note </w:t>
      </w:r>
      <w:r w:rsidR="00A86CC0">
        <w:fldChar w:fldCharType="begin"/>
      </w:r>
      <w:r w:rsidR="00A86CC0">
        <w:instrText xml:space="preserve"> NOTEREF _Ref186102463 \h </w:instrText>
      </w:r>
      <w:r w:rsidR="00A86CC0">
        <w:fldChar w:fldCharType="separate"/>
      </w:r>
      <w:r w:rsidR="00454C1B">
        <w:t>115</w:t>
      </w:r>
      <w:r w:rsidR="00A86CC0">
        <w:fldChar w:fldCharType="end"/>
      </w:r>
      <w:r w:rsidR="00A86CC0">
        <w:t>, at xx.</w:t>
      </w:r>
    </w:p>
  </w:footnote>
  <w:footnote w:id="121">
    <w:p w14:paraId="6B10B2F3" w14:textId="0AD879A6" w:rsidR="003C0B3A" w:rsidRDefault="003C0B3A">
      <w:pPr>
        <w:pStyle w:val="FootnoteText"/>
      </w:pPr>
      <w:r>
        <w:rPr>
          <w:rStyle w:val="FootnoteReference"/>
        </w:rPr>
        <w:footnoteRef/>
      </w:r>
      <w:r>
        <w:t xml:space="preserve"> For a helpful, if slightly unusual, analogy</w:t>
      </w:r>
      <w:r w:rsidR="00555AF3">
        <w:t xml:space="preserve">, consider the “Freedom of a Christian,” by which a true Christian is fully bound while being also fully free. </w:t>
      </w:r>
      <w:r w:rsidR="002C4B72" w:rsidRPr="004C0EDD">
        <w:rPr>
          <w:smallCaps/>
        </w:rPr>
        <w:t>Martin Luther, The Freedom of a Christian</w:t>
      </w:r>
      <w:r w:rsidR="002C4B72">
        <w:t xml:space="preserve"> (1961)</w:t>
      </w:r>
      <w:r w:rsidR="005E1B26">
        <w:t xml:space="preserve">. </w:t>
      </w:r>
      <w:r w:rsidR="00411FD1">
        <w:t>Similarly, MCs do not sin against their principles because they do not want to.</w:t>
      </w:r>
      <w:r w:rsidR="005678ED">
        <w:t xml:space="preserve"> This dynamic explains why </w:t>
      </w:r>
      <w:r w:rsidR="002A439F">
        <w:t>we can speak of a system of congressional constitutionalism even if we do not find instances in which MCs prefer something on policy grounds while deeming it unconstitutional. In most case</w:t>
      </w:r>
      <w:r w:rsidR="00000581">
        <w:t>s, we should expect MCs’ constitutional principles to be fully consistent with their overall view of appropriate public policy.</w:t>
      </w:r>
      <w:r w:rsidR="00605480">
        <w:t xml:space="preserve"> See Whittington</w:t>
      </w:r>
      <w:r w:rsidR="00D70C27">
        <w:t xml:space="preserve">, </w:t>
      </w:r>
      <w:r w:rsidR="00D70C27">
        <w:rPr>
          <w:i/>
          <w:iCs/>
        </w:rPr>
        <w:t xml:space="preserve">supra </w:t>
      </w:r>
      <w:r w:rsidR="00D70C27">
        <w:t xml:space="preserve">note </w:t>
      </w:r>
      <w:r w:rsidR="00D70C27">
        <w:fldChar w:fldCharType="begin"/>
      </w:r>
      <w:r w:rsidR="00D70C27">
        <w:instrText xml:space="preserve"> NOTEREF _Ref185842536 \h </w:instrText>
      </w:r>
      <w:r w:rsidR="00D70C27">
        <w:fldChar w:fldCharType="separate"/>
      </w:r>
      <w:r w:rsidR="00454C1B">
        <w:t>10</w:t>
      </w:r>
      <w:r w:rsidR="00D70C27">
        <w:fldChar w:fldCharType="end"/>
      </w:r>
      <w:r w:rsidR="00D70C27">
        <w:t>, at 822</w:t>
      </w:r>
      <w:r w:rsidR="00605480">
        <w:t>.</w:t>
      </w:r>
    </w:p>
  </w:footnote>
  <w:footnote w:id="122">
    <w:p w14:paraId="3A8BEA90" w14:textId="332307E6" w:rsidR="00CC18E1" w:rsidRDefault="00CC18E1">
      <w:pPr>
        <w:pStyle w:val="FootnoteText"/>
      </w:pPr>
      <w:r>
        <w:rPr>
          <w:rStyle w:val="FootnoteReference"/>
        </w:rPr>
        <w:footnoteRef/>
      </w:r>
      <w:r>
        <w:t xml:space="preserve"> One of the classic justifications for the common law is its alleged tendency to </w:t>
      </w:r>
      <w:r w:rsidR="00EA02A3">
        <w:t xml:space="preserve">develop attractive legal rules through a system akin to natural selection. See </w:t>
      </w:r>
      <w:r w:rsidR="003F6F05">
        <w:t>A</w:t>
      </w:r>
      <w:r w:rsidR="003F6F05" w:rsidRPr="003F6F05">
        <w:t xml:space="preserve">drian </w:t>
      </w:r>
      <w:proofErr w:type="spellStart"/>
      <w:r w:rsidR="003F6F05" w:rsidRPr="003F6F05">
        <w:t>Vermeule</w:t>
      </w:r>
      <w:proofErr w:type="spellEnd"/>
      <w:r w:rsidR="003F6F05" w:rsidRPr="003F6F05">
        <w:t xml:space="preserve">, </w:t>
      </w:r>
      <w:r w:rsidR="003F6F05" w:rsidRPr="00BC11A4">
        <w:rPr>
          <w:i/>
          <w:iCs/>
        </w:rPr>
        <w:t>Common Law Constitutionalism and the Limits of Reason</w:t>
      </w:r>
      <w:r w:rsidR="003F6F05" w:rsidRPr="003F6F05">
        <w:t xml:space="preserve">, 107 </w:t>
      </w:r>
      <w:r w:rsidR="003F6F05" w:rsidRPr="003F6F05">
        <w:rPr>
          <w:smallCaps/>
        </w:rPr>
        <w:t>Colum. L. Rev</w:t>
      </w:r>
      <w:r w:rsidR="003F6F05" w:rsidRPr="003F6F05">
        <w:t>. 1482</w:t>
      </w:r>
      <w:r w:rsidR="003F6F05">
        <w:t>, 1518-19</w:t>
      </w:r>
      <w:r w:rsidR="003F6F05" w:rsidRPr="003F6F05">
        <w:t xml:space="preserve"> (2007)</w:t>
      </w:r>
      <w:r w:rsidR="00EA02A3">
        <w:t>,</w:t>
      </w:r>
      <w:r w:rsidR="00BC11A4">
        <w:t xml:space="preserve"> and</w:t>
      </w:r>
      <w:r w:rsidR="00EA02A3">
        <w:t xml:space="preserve"> sources cited. </w:t>
      </w:r>
    </w:p>
  </w:footnote>
  <w:footnote w:id="123">
    <w:p w14:paraId="528BE084" w14:textId="166FA04E" w:rsidR="00AA7B46" w:rsidRDefault="00AA7B46">
      <w:pPr>
        <w:pStyle w:val="FootnoteText"/>
      </w:pPr>
      <w:r>
        <w:rPr>
          <w:rStyle w:val="FootnoteReference"/>
        </w:rPr>
        <w:footnoteRef/>
      </w:r>
      <w:r>
        <w:t xml:space="preserve"> </w:t>
      </w:r>
      <w:r w:rsidRPr="00AA7B46">
        <w:t>Nina</w:t>
      </w:r>
      <w:r w:rsidR="00D201E1">
        <w:t xml:space="preserve"> </w:t>
      </w:r>
      <w:proofErr w:type="spellStart"/>
      <w:r w:rsidR="00D201E1" w:rsidRPr="00AA7B46">
        <w:t>Varsava</w:t>
      </w:r>
      <w:proofErr w:type="spellEnd"/>
      <w:r w:rsidR="00D201E1">
        <w:t xml:space="preserve">, </w:t>
      </w:r>
      <w:r w:rsidRPr="00D201E1">
        <w:rPr>
          <w:i/>
          <w:iCs/>
        </w:rPr>
        <w:t>Precedent on Precedent</w:t>
      </w:r>
      <w:r w:rsidR="00D201E1">
        <w:t xml:space="preserve">, 169 </w:t>
      </w:r>
      <w:r w:rsidRPr="00D201E1">
        <w:rPr>
          <w:smallCaps/>
        </w:rPr>
        <w:t>U. Pa. L. Rev. Online</w:t>
      </w:r>
      <w:r w:rsidR="00D201E1">
        <w:t xml:space="preserve"> 118, 118 </w:t>
      </w:r>
      <w:r w:rsidRPr="00AA7B46">
        <w:t>(2020).</w:t>
      </w:r>
    </w:p>
  </w:footnote>
  <w:footnote w:id="124">
    <w:p w14:paraId="6F3ABE0C" w14:textId="2A75F53B" w:rsidR="00580575" w:rsidRDefault="00580575">
      <w:pPr>
        <w:pStyle w:val="FootnoteText"/>
      </w:pPr>
      <w:r>
        <w:rPr>
          <w:rStyle w:val="FootnoteReference"/>
        </w:rPr>
        <w:footnoteRef/>
      </w:r>
      <w:r w:rsidR="00805C10">
        <w:t xml:space="preserve"> </w:t>
      </w:r>
      <w:r w:rsidR="002772C9">
        <w:t xml:space="preserve">The most prominent treatise on these meta-principles is </w:t>
      </w:r>
      <w:r w:rsidR="00805C10">
        <w:rPr>
          <w:smallCaps/>
        </w:rPr>
        <w:t xml:space="preserve">Garner, </w:t>
      </w:r>
      <w:r w:rsidR="00805C10">
        <w:rPr>
          <w:i/>
          <w:iCs/>
        </w:rPr>
        <w:t>supra</w:t>
      </w:r>
      <w:r w:rsidR="00805C10">
        <w:t xml:space="preserve"> note </w:t>
      </w:r>
      <w:r w:rsidR="00805C10">
        <w:fldChar w:fldCharType="begin"/>
      </w:r>
      <w:r w:rsidR="00805C10">
        <w:instrText xml:space="preserve"> NOTEREF _Ref186029072 \h </w:instrText>
      </w:r>
      <w:r w:rsidR="00805C10">
        <w:fldChar w:fldCharType="separate"/>
      </w:r>
      <w:r w:rsidR="00454C1B">
        <w:t>36</w:t>
      </w:r>
      <w:r w:rsidR="00805C10">
        <w:fldChar w:fldCharType="end"/>
      </w:r>
      <w:r>
        <w:t>.</w:t>
      </w:r>
    </w:p>
  </w:footnote>
  <w:footnote w:id="125">
    <w:p w14:paraId="1C5F8E59" w14:textId="66E16CEE" w:rsidR="003106F5" w:rsidRPr="003106F5" w:rsidRDefault="003106F5">
      <w:pPr>
        <w:pStyle w:val="FootnoteText"/>
      </w:pPr>
      <w:r>
        <w:rPr>
          <w:rStyle w:val="FootnoteReference"/>
        </w:rPr>
        <w:footnoteRef/>
      </w:r>
      <w:r>
        <w:t xml:space="preserve"> See discussion, </w:t>
      </w:r>
      <w:r>
        <w:rPr>
          <w:i/>
          <w:iCs/>
        </w:rPr>
        <w:t>supra</w:t>
      </w:r>
      <w:r>
        <w:t>.</w:t>
      </w:r>
    </w:p>
  </w:footnote>
  <w:footnote w:id="126">
    <w:p w14:paraId="5F7C9AC2" w14:textId="60B1A521" w:rsidR="00B1363F" w:rsidRDefault="00B1363F">
      <w:pPr>
        <w:pStyle w:val="FootnoteText"/>
      </w:pPr>
      <w:r>
        <w:rPr>
          <w:rStyle w:val="FootnoteReference"/>
        </w:rPr>
        <w:footnoteRef/>
      </w:r>
      <w:r>
        <w:t xml:space="preserve"> </w:t>
      </w:r>
      <w:r w:rsidR="00805C10" w:rsidRPr="00805C10">
        <w:rPr>
          <w:smallCaps/>
        </w:rPr>
        <w:t>Karol</w:t>
      </w:r>
      <w:r w:rsidRPr="00B1363F">
        <w:t xml:space="preserve">, supra note </w:t>
      </w:r>
      <w:r w:rsidR="00C84FB3">
        <w:fldChar w:fldCharType="begin"/>
      </w:r>
      <w:r w:rsidR="00C84FB3">
        <w:instrText xml:space="preserve"> NOTEREF _Ref185862447 \h </w:instrText>
      </w:r>
      <w:r w:rsidR="00C84FB3">
        <w:fldChar w:fldCharType="separate"/>
      </w:r>
      <w:r w:rsidR="00454C1B">
        <w:t>76</w:t>
      </w:r>
      <w:r w:rsidR="00C84FB3">
        <w:fldChar w:fldCharType="end"/>
      </w:r>
      <w:r w:rsidRPr="00B1363F">
        <w:t>, at 18.</w:t>
      </w:r>
      <w:r w:rsidR="0072682B">
        <w:t xml:space="preserve"> Karol focuses on the political parties, but his insights can extend more broadly.</w:t>
      </w:r>
      <w:r w:rsidR="0072682B">
        <w:rPr>
          <w:spacing w:val="1"/>
        </w:rPr>
        <w:t xml:space="preserve"> </w:t>
      </w:r>
      <w:r w:rsidR="0072682B">
        <w:t>While the political</w:t>
      </w:r>
      <w:r w:rsidR="0072682B">
        <w:rPr>
          <w:spacing w:val="1"/>
        </w:rPr>
        <w:t xml:space="preserve"> </w:t>
      </w:r>
      <w:r w:rsidR="0072682B">
        <w:t xml:space="preserve">parties are certainly the most important coalitions in American politics, they are not the only coalitions </w:t>
      </w:r>
      <w:r w:rsidR="00904972">
        <w:t>that matter</w:t>
      </w:r>
      <w:r w:rsidR="0072682B">
        <w:t>. The</w:t>
      </w:r>
      <w:r w:rsidR="0072682B">
        <w:rPr>
          <w:spacing w:val="-10"/>
        </w:rPr>
        <w:t xml:space="preserve"> </w:t>
      </w:r>
      <w:r w:rsidR="0072682B">
        <w:t>“conservative</w:t>
      </w:r>
      <w:r w:rsidR="0072682B">
        <w:rPr>
          <w:spacing w:val="-10"/>
        </w:rPr>
        <w:t xml:space="preserve"> </w:t>
      </w:r>
      <w:r w:rsidR="0072682B">
        <w:t>coalition</w:t>
      </w:r>
      <w:r w:rsidR="005B1876">
        <w:t>”</w:t>
      </w:r>
      <w:r w:rsidR="0072682B">
        <w:rPr>
          <w:spacing w:val="-9"/>
        </w:rPr>
        <w:t xml:space="preserve"> </w:t>
      </w:r>
      <w:r w:rsidR="0072682B">
        <w:t>of</w:t>
      </w:r>
      <w:r w:rsidR="0072682B">
        <w:rPr>
          <w:spacing w:val="-10"/>
        </w:rPr>
        <w:t xml:space="preserve"> </w:t>
      </w:r>
      <w:r w:rsidR="0072682B">
        <w:t>Republicans</w:t>
      </w:r>
      <w:r w:rsidR="0072682B">
        <w:rPr>
          <w:spacing w:val="-10"/>
        </w:rPr>
        <w:t xml:space="preserve"> </w:t>
      </w:r>
      <w:r w:rsidR="0072682B">
        <w:t>and</w:t>
      </w:r>
      <w:r w:rsidR="0072682B">
        <w:rPr>
          <w:spacing w:val="-10"/>
        </w:rPr>
        <w:t xml:space="preserve"> </w:t>
      </w:r>
      <w:r w:rsidR="0072682B">
        <w:t>southern</w:t>
      </w:r>
      <w:r w:rsidR="0072682B">
        <w:rPr>
          <w:spacing w:val="-9"/>
        </w:rPr>
        <w:t xml:space="preserve"> </w:t>
      </w:r>
      <w:r w:rsidR="0072682B">
        <w:t>Democrats</w:t>
      </w:r>
      <w:r w:rsidR="0072682B">
        <w:rPr>
          <w:spacing w:val="-10"/>
        </w:rPr>
        <w:t xml:space="preserve"> </w:t>
      </w:r>
      <w:r w:rsidR="0072682B">
        <w:t>that</w:t>
      </w:r>
      <w:r w:rsidR="0072682B">
        <w:rPr>
          <w:spacing w:val="-10"/>
        </w:rPr>
        <w:t xml:space="preserve"> </w:t>
      </w:r>
      <w:r w:rsidR="0072682B">
        <w:t>coalesced</w:t>
      </w:r>
      <w:r w:rsidR="0072682B">
        <w:rPr>
          <w:spacing w:val="-9"/>
        </w:rPr>
        <w:t xml:space="preserve"> </w:t>
      </w:r>
      <w:r w:rsidR="0072682B">
        <w:t>during</w:t>
      </w:r>
      <w:r w:rsidR="0072682B">
        <w:rPr>
          <w:spacing w:val="-10"/>
        </w:rPr>
        <w:t xml:space="preserve"> </w:t>
      </w:r>
      <w:r w:rsidR="0072682B">
        <w:t>the</w:t>
      </w:r>
      <w:r w:rsidR="0072682B">
        <w:rPr>
          <w:spacing w:val="-10"/>
        </w:rPr>
        <w:t xml:space="preserve"> </w:t>
      </w:r>
      <w:r w:rsidR="0072682B">
        <w:t>early-</w:t>
      </w:r>
      <w:r w:rsidR="0072682B">
        <w:rPr>
          <w:spacing w:val="-47"/>
        </w:rPr>
        <w:t xml:space="preserve"> </w:t>
      </w:r>
      <w:r w:rsidR="0072682B">
        <w:t>to mid-20th Century is just one example of a long coalition that operated something like a political party.</w:t>
      </w:r>
      <w:r w:rsidR="0072682B">
        <w:rPr>
          <w:spacing w:val="1"/>
        </w:rPr>
        <w:t xml:space="preserve"> </w:t>
      </w:r>
      <w:r w:rsidR="0072682B">
        <w:rPr>
          <w:i/>
        </w:rPr>
        <w:t xml:space="preserve">See generally </w:t>
      </w:r>
      <w:r w:rsidR="0072682B">
        <w:t xml:space="preserve">John F. Manley, </w:t>
      </w:r>
      <w:r w:rsidR="0072682B">
        <w:rPr>
          <w:i/>
        </w:rPr>
        <w:t>The Conservative Coalition in Congress</w:t>
      </w:r>
      <w:r w:rsidR="0072682B">
        <w:t>, 17 A</w:t>
      </w:r>
      <w:r w:rsidR="0072682B">
        <w:rPr>
          <w:sz w:val="16"/>
        </w:rPr>
        <w:t>M</w:t>
      </w:r>
      <w:r w:rsidR="0072682B">
        <w:t>. B</w:t>
      </w:r>
      <w:r w:rsidR="0072682B">
        <w:rPr>
          <w:sz w:val="16"/>
        </w:rPr>
        <w:t>EHAV</w:t>
      </w:r>
      <w:r w:rsidR="0072682B">
        <w:t>. S</w:t>
      </w:r>
      <w:r w:rsidR="0072682B">
        <w:rPr>
          <w:sz w:val="16"/>
        </w:rPr>
        <w:t xml:space="preserve">CIENTIST </w:t>
      </w:r>
      <w:r w:rsidR="0072682B">
        <w:t>223</w:t>
      </w:r>
      <w:r w:rsidR="0072682B">
        <w:rPr>
          <w:spacing w:val="1"/>
        </w:rPr>
        <w:t xml:space="preserve"> </w:t>
      </w:r>
      <w:r w:rsidR="0072682B">
        <w:t>(November-December 1973). Other coalitions may come together on only one set of policy questions.</w:t>
      </w:r>
      <w:r w:rsidR="0072682B">
        <w:rPr>
          <w:spacing w:val="1"/>
        </w:rPr>
        <w:t xml:space="preserve"> </w:t>
      </w:r>
      <w:r w:rsidR="0072682B">
        <w:t>An example is the coalition of liberal Democrats and conservative Republicans who tend to work together</w:t>
      </w:r>
      <w:r w:rsidR="0072682B">
        <w:rPr>
          <w:spacing w:val="1"/>
        </w:rPr>
        <w:t xml:space="preserve"> </w:t>
      </w:r>
      <w:r w:rsidR="0072682B">
        <w:t xml:space="preserve">on issues of government surveillance. </w:t>
      </w:r>
      <w:r w:rsidR="0072682B">
        <w:rPr>
          <w:i/>
        </w:rPr>
        <w:t xml:space="preserve">See </w:t>
      </w:r>
      <w:r w:rsidR="0072682B">
        <w:t xml:space="preserve">Rafi Schwartz, </w:t>
      </w:r>
      <w:r w:rsidR="0072682B">
        <w:rPr>
          <w:i/>
        </w:rPr>
        <w:t>Making Sense of FISA’s Strange Bedfellows in</w:t>
      </w:r>
      <w:r w:rsidR="0072682B">
        <w:rPr>
          <w:i/>
          <w:spacing w:val="1"/>
        </w:rPr>
        <w:t xml:space="preserve"> </w:t>
      </w:r>
      <w:r w:rsidR="0072682B">
        <w:rPr>
          <w:i/>
        </w:rPr>
        <w:t>Congress</w:t>
      </w:r>
      <w:r w:rsidR="0072682B">
        <w:t>,</w:t>
      </w:r>
      <w:r w:rsidR="0072682B">
        <w:rPr>
          <w:spacing w:val="4"/>
        </w:rPr>
        <w:t xml:space="preserve"> </w:t>
      </w:r>
      <w:r w:rsidR="0072682B">
        <w:t>T</w:t>
      </w:r>
      <w:r w:rsidR="0072682B">
        <w:rPr>
          <w:sz w:val="16"/>
        </w:rPr>
        <w:t>HE</w:t>
      </w:r>
      <w:r w:rsidR="0072682B">
        <w:rPr>
          <w:spacing w:val="19"/>
          <w:sz w:val="16"/>
        </w:rPr>
        <w:t xml:space="preserve"> </w:t>
      </w:r>
      <w:r w:rsidR="0072682B">
        <w:t>W</w:t>
      </w:r>
      <w:r w:rsidR="0072682B">
        <w:rPr>
          <w:sz w:val="16"/>
        </w:rPr>
        <w:t>EEK</w:t>
      </w:r>
      <w:r w:rsidR="0072682B">
        <w:rPr>
          <w:spacing w:val="14"/>
          <w:sz w:val="16"/>
        </w:rPr>
        <w:t xml:space="preserve"> </w:t>
      </w:r>
      <w:r w:rsidR="0072682B">
        <w:t>(April 12,</w:t>
      </w:r>
      <w:r w:rsidR="0072682B">
        <w:rPr>
          <w:spacing w:val="-1"/>
        </w:rPr>
        <w:t xml:space="preserve"> </w:t>
      </w:r>
      <w:r w:rsidR="0072682B">
        <w:t>2024).</w:t>
      </w:r>
    </w:p>
  </w:footnote>
  <w:footnote w:id="127">
    <w:p w14:paraId="5BC519F2" w14:textId="41F1441C" w:rsidR="00C57AC7" w:rsidRDefault="00C57AC7">
      <w:pPr>
        <w:pStyle w:val="FootnoteText"/>
      </w:pPr>
      <w:r>
        <w:rPr>
          <w:rStyle w:val="FootnoteReference"/>
        </w:rPr>
        <w:footnoteRef/>
      </w:r>
      <w:r>
        <w:t xml:space="preserve"> </w:t>
      </w:r>
      <w:r w:rsidR="00790DBD" w:rsidRPr="00790DBD">
        <w:rPr>
          <w:smallCaps/>
        </w:rPr>
        <w:t>Karol</w:t>
      </w:r>
      <w:r w:rsidRPr="00C57AC7">
        <w:t xml:space="preserve">, supra note </w:t>
      </w:r>
      <w:r w:rsidR="00C84FB3">
        <w:fldChar w:fldCharType="begin"/>
      </w:r>
      <w:r w:rsidR="00C84FB3">
        <w:instrText xml:space="preserve"> NOTEREF _Ref185862447 \h </w:instrText>
      </w:r>
      <w:r w:rsidR="00C84FB3">
        <w:fldChar w:fldCharType="separate"/>
      </w:r>
      <w:r w:rsidR="00454C1B">
        <w:t>76</w:t>
      </w:r>
      <w:r w:rsidR="00C84FB3">
        <w:fldChar w:fldCharType="end"/>
      </w:r>
      <w:r w:rsidRPr="00C57AC7">
        <w:t>, at 18.</w:t>
      </w:r>
    </w:p>
  </w:footnote>
  <w:footnote w:id="128">
    <w:p w14:paraId="4DE040F5" w14:textId="40A1954D" w:rsidR="00EC6F13" w:rsidRDefault="00EC6F13">
      <w:pPr>
        <w:pStyle w:val="FootnoteText"/>
      </w:pPr>
      <w:r>
        <w:rPr>
          <w:rStyle w:val="FootnoteReference"/>
        </w:rPr>
        <w:footnoteRef/>
      </w:r>
      <w:r>
        <w:t xml:space="preserve"> </w:t>
      </w:r>
      <w:r w:rsidR="00790DBD" w:rsidRPr="00790DBD">
        <w:rPr>
          <w:smallCaps/>
        </w:rPr>
        <w:t>Karol</w:t>
      </w:r>
      <w:r w:rsidRPr="00EC6F13">
        <w:t xml:space="preserve">, supra note </w:t>
      </w:r>
      <w:r w:rsidR="00C84FB3">
        <w:fldChar w:fldCharType="begin"/>
      </w:r>
      <w:r w:rsidR="00C84FB3">
        <w:instrText xml:space="preserve"> NOTEREF _Ref185862447 \h </w:instrText>
      </w:r>
      <w:r w:rsidR="00C84FB3">
        <w:fldChar w:fldCharType="separate"/>
      </w:r>
      <w:r w:rsidR="00454C1B">
        <w:t>76</w:t>
      </w:r>
      <w:r w:rsidR="00C84FB3">
        <w:fldChar w:fldCharType="end"/>
      </w:r>
      <w:r w:rsidRPr="00EC6F13">
        <w:t xml:space="preserve">, at 102-34. See generally </w:t>
      </w:r>
      <w:r w:rsidR="00790DBD" w:rsidRPr="00790DBD">
        <w:rPr>
          <w:smallCaps/>
        </w:rPr>
        <w:t>Schickler</w:t>
      </w:r>
      <w:r w:rsidRPr="00EC6F13">
        <w:t xml:space="preserve">, supra note </w:t>
      </w:r>
      <w:r w:rsidR="008019BA">
        <w:fldChar w:fldCharType="begin"/>
      </w:r>
      <w:r w:rsidR="008019BA">
        <w:instrText xml:space="preserve"> NOTEREF _Ref185855043 \h </w:instrText>
      </w:r>
      <w:r w:rsidR="008019BA">
        <w:fldChar w:fldCharType="separate"/>
      </w:r>
      <w:r w:rsidR="00454C1B">
        <w:t>48</w:t>
      </w:r>
      <w:r w:rsidR="008019BA">
        <w:fldChar w:fldCharType="end"/>
      </w:r>
      <w:r w:rsidRPr="00EC6F13">
        <w:t>. Schickler emphasizes the role of particular labor leaders and activists, but the basic dynamic is the same. A group (Northern Democrats in Karol’s telling, organized labor in Schickler’s) changed its approach to an issue of principle (civil rights), and the group’s coalition responded by changing its articulated principles on that issue.</w:t>
      </w:r>
    </w:p>
  </w:footnote>
  <w:footnote w:id="129">
    <w:p w14:paraId="06DFEC2B" w14:textId="44938883" w:rsidR="0071506C" w:rsidRDefault="0071506C">
      <w:pPr>
        <w:pStyle w:val="FootnoteText"/>
      </w:pPr>
      <w:r>
        <w:rPr>
          <w:rStyle w:val="FootnoteReference"/>
        </w:rPr>
        <w:footnoteRef/>
      </w:r>
      <w:r>
        <w:t xml:space="preserve"> </w:t>
      </w:r>
      <w:r w:rsidRPr="00B424F0">
        <w:rPr>
          <w:smallCaps/>
        </w:rPr>
        <w:t>Karol</w:t>
      </w:r>
      <w:r>
        <w:t xml:space="preserve">, </w:t>
      </w:r>
      <w:r>
        <w:rPr>
          <w:i/>
        </w:rPr>
        <w:t>supra</w:t>
      </w:r>
      <w:r>
        <w:rPr>
          <w:i/>
          <w:spacing w:val="1"/>
        </w:rPr>
        <w:t xml:space="preserve"> </w:t>
      </w:r>
      <w:r>
        <w:t xml:space="preserve">note </w:t>
      </w:r>
      <w:r w:rsidR="00EB2CB1">
        <w:fldChar w:fldCharType="begin"/>
      </w:r>
      <w:r w:rsidR="00EB2CB1">
        <w:instrText xml:space="preserve"> NOTEREF _Ref185862447 \h </w:instrText>
      </w:r>
      <w:r w:rsidR="00EB2CB1">
        <w:fldChar w:fldCharType="separate"/>
      </w:r>
      <w:r w:rsidR="00454C1B">
        <w:t>76</w:t>
      </w:r>
      <w:r w:rsidR="00EB2CB1">
        <w:fldChar w:fldCharType="end"/>
      </w:r>
      <w:r>
        <w:t>,</w:t>
      </w:r>
      <w:r>
        <w:rPr>
          <w:spacing w:val="1"/>
        </w:rPr>
        <w:t xml:space="preserve"> </w:t>
      </w:r>
      <w:r>
        <w:t>at</w:t>
      </w:r>
      <w:r>
        <w:rPr>
          <w:spacing w:val="1"/>
        </w:rPr>
        <w:t xml:space="preserve"> </w:t>
      </w:r>
      <w:r>
        <w:t>18.</w:t>
      </w:r>
    </w:p>
  </w:footnote>
  <w:footnote w:id="130">
    <w:p w14:paraId="1360E585" w14:textId="0807DA5A" w:rsidR="00BD483B" w:rsidRDefault="00BD483B">
      <w:pPr>
        <w:pStyle w:val="FootnoteText"/>
      </w:pPr>
      <w:r>
        <w:rPr>
          <w:rStyle w:val="FootnoteReference"/>
        </w:rPr>
        <w:footnoteRef/>
      </w:r>
      <w:r>
        <w:t xml:space="preserve"> Id.</w:t>
      </w:r>
    </w:p>
  </w:footnote>
  <w:footnote w:id="131">
    <w:p w14:paraId="7B234EEA" w14:textId="77777777" w:rsidR="00506754" w:rsidRDefault="00506754" w:rsidP="00506754">
      <w:pPr>
        <w:pStyle w:val="FootnoteText"/>
      </w:pPr>
      <w:r>
        <w:rPr>
          <w:rStyle w:val="FootnoteReference"/>
        </w:rPr>
        <w:footnoteRef/>
      </w:r>
      <w:r>
        <w:t xml:space="preserve"> Id.</w:t>
      </w:r>
    </w:p>
  </w:footnote>
  <w:footnote w:id="132">
    <w:p w14:paraId="646F5D2A" w14:textId="77777777" w:rsidR="00043518" w:rsidRDefault="00043518" w:rsidP="00043518">
      <w:pPr>
        <w:pStyle w:val="FootnoteText"/>
      </w:pPr>
      <w:r>
        <w:rPr>
          <w:rStyle w:val="FootnoteReference"/>
        </w:rPr>
        <w:footnoteRef/>
      </w:r>
      <w:r>
        <w:t xml:space="preserve"> Id.</w:t>
      </w:r>
    </w:p>
  </w:footnote>
  <w:footnote w:id="133">
    <w:p w14:paraId="77A1C343" w14:textId="0546EF2B" w:rsidR="001D4D5D" w:rsidRDefault="001D4D5D">
      <w:pPr>
        <w:pStyle w:val="FootnoteText"/>
      </w:pPr>
      <w:r>
        <w:rPr>
          <w:rStyle w:val="FootnoteReference"/>
        </w:rPr>
        <w:footnoteRef/>
      </w:r>
      <w:r>
        <w:t xml:space="preserve"> K</w:t>
      </w:r>
      <w:r>
        <w:rPr>
          <w:sz w:val="16"/>
        </w:rPr>
        <w:t>AROL</w:t>
      </w:r>
      <w:r>
        <w:t>,</w:t>
      </w:r>
      <w:r>
        <w:rPr>
          <w:spacing w:val="4"/>
        </w:rPr>
        <w:t xml:space="preserve"> </w:t>
      </w:r>
      <w:r>
        <w:rPr>
          <w:i/>
        </w:rPr>
        <w:t>supra</w:t>
      </w:r>
      <w:r>
        <w:rPr>
          <w:i/>
          <w:spacing w:val="4"/>
        </w:rPr>
        <w:t xml:space="preserve"> </w:t>
      </w:r>
      <w:r>
        <w:t>note</w:t>
      </w:r>
      <w:r>
        <w:rPr>
          <w:spacing w:val="5"/>
        </w:rPr>
        <w:t xml:space="preserve"> </w:t>
      </w:r>
      <w:r w:rsidR="00C84FB3">
        <w:fldChar w:fldCharType="begin"/>
      </w:r>
      <w:r w:rsidR="00C84FB3">
        <w:instrText xml:space="preserve"> NOTEREF _Ref185862447 \h </w:instrText>
      </w:r>
      <w:r w:rsidR="00C84FB3">
        <w:fldChar w:fldCharType="separate"/>
      </w:r>
      <w:r w:rsidR="00454C1B">
        <w:t>76</w:t>
      </w:r>
      <w:r w:rsidR="00C84FB3">
        <w:fldChar w:fldCharType="end"/>
      </w:r>
      <w:r>
        <w:t>,</w:t>
      </w:r>
      <w:r>
        <w:rPr>
          <w:spacing w:val="4"/>
        </w:rPr>
        <w:t xml:space="preserve"> </w:t>
      </w:r>
      <w:r>
        <w:t>at</w:t>
      </w:r>
      <w:r>
        <w:rPr>
          <w:spacing w:val="4"/>
        </w:rPr>
        <w:t xml:space="preserve"> </w:t>
      </w:r>
      <w:r>
        <w:t>56-102.</w:t>
      </w:r>
    </w:p>
  </w:footnote>
  <w:footnote w:id="134">
    <w:p w14:paraId="2EEAC442" w14:textId="72A3EDBF" w:rsidR="001D4D5D" w:rsidRDefault="001D4D5D">
      <w:pPr>
        <w:pStyle w:val="FootnoteText"/>
      </w:pPr>
      <w:r>
        <w:rPr>
          <w:rStyle w:val="FootnoteReference"/>
        </w:rPr>
        <w:footnoteRef/>
      </w:r>
      <w:r>
        <w:t xml:space="preserve"> K</w:t>
      </w:r>
      <w:r>
        <w:rPr>
          <w:sz w:val="16"/>
        </w:rPr>
        <w:t>AROL</w:t>
      </w:r>
      <w:r>
        <w:t>,</w:t>
      </w:r>
      <w:r>
        <w:rPr>
          <w:spacing w:val="4"/>
        </w:rPr>
        <w:t xml:space="preserve"> </w:t>
      </w:r>
      <w:r>
        <w:rPr>
          <w:i/>
        </w:rPr>
        <w:t>supra</w:t>
      </w:r>
      <w:r>
        <w:rPr>
          <w:i/>
          <w:spacing w:val="5"/>
        </w:rPr>
        <w:t xml:space="preserve"> </w:t>
      </w:r>
      <w:r>
        <w:t>note</w:t>
      </w:r>
      <w:r>
        <w:rPr>
          <w:spacing w:val="4"/>
        </w:rPr>
        <w:t xml:space="preserve"> </w:t>
      </w:r>
      <w:r>
        <w:t>119,</w:t>
      </w:r>
      <w:r>
        <w:rPr>
          <w:spacing w:val="4"/>
        </w:rPr>
        <w:t xml:space="preserve"> </w:t>
      </w:r>
      <w:r>
        <w:t>at</w:t>
      </w:r>
      <w:r>
        <w:rPr>
          <w:spacing w:val="5"/>
        </w:rPr>
        <w:t xml:space="preserve"> </w:t>
      </w:r>
      <w:r>
        <w:t>11-42.</w:t>
      </w:r>
    </w:p>
  </w:footnote>
  <w:footnote w:id="135">
    <w:p w14:paraId="5149ABA7" w14:textId="1D8D9E69" w:rsidR="003A7F8E" w:rsidRDefault="003A7F8E">
      <w:pPr>
        <w:pStyle w:val="FootnoteText"/>
      </w:pPr>
      <w:r>
        <w:rPr>
          <w:rStyle w:val="FootnoteReference"/>
        </w:rPr>
        <w:footnoteRef/>
      </w:r>
      <w:r>
        <w:t xml:space="preserve"> K</w:t>
      </w:r>
      <w:r>
        <w:rPr>
          <w:sz w:val="16"/>
        </w:rPr>
        <w:t>AROL</w:t>
      </w:r>
      <w:r>
        <w:t>,</w:t>
      </w:r>
      <w:r>
        <w:rPr>
          <w:spacing w:val="5"/>
        </w:rPr>
        <w:t xml:space="preserve"> </w:t>
      </w:r>
      <w:r>
        <w:rPr>
          <w:i/>
        </w:rPr>
        <w:t>supra</w:t>
      </w:r>
      <w:r>
        <w:rPr>
          <w:i/>
          <w:spacing w:val="4"/>
        </w:rPr>
        <w:t xml:space="preserve"> </w:t>
      </w:r>
      <w:r>
        <w:t>note</w:t>
      </w:r>
      <w:r>
        <w:rPr>
          <w:spacing w:val="4"/>
        </w:rPr>
        <w:t xml:space="preserve"> </w:t>
      </w:r>
      <w:r w:rsidR="00EB2CB1">
        <w:fldChar w:fldCharType="begin"/>
      </w:r>
      <w:r w:rsidR="00EB2CB1">
        <w:instrText xml:space="preserve"> NOTEREF _Ref185862447 \h </w:instrText>
      </w:r>
      <w:r w:rsidR="00EB2CB1">
        <w:fldChar w:fldCharType="separate"/>
      </w:r>
      <w:r w:rsidR="00454C1B">
        <w:t>76</w:t>
      </w:r>
      <w:r w:rsidR="00EB2CB1">
        <w:fldChar w:fldCharType="end"/>
      </w:r>
      <w:r>
        <w:t>,</w:t>
      </w:r>
      <w:r>
        <w:rPr>
          <w:spacing w:val="5"/>
        </w:rPr>
        <w:t xml:space="preserve"> </w:t>
      </w:r>
      <w:r>
        <w:t>at</w:t>
      </w:r>
      <w:r>
        <w:rPr>
          <w:spacing w:val="4"/>
        </w:rPr>
        <w:t xml:space="preserve"> </w:t>
      </w:r>
      <w:r>
        <w:t>56.</w:t>
      </w:r>
    </w:p>
  </w:footnote>
  <w:footnote w:id="136">
    <w:p w14:paraId="10631388" w14:textId="3B2FF2B5" w:rsidR="003A7F8E" w:rsidRDefault="003A7F8E">
      <w:pPr>
        <w:pStyle w:val="FootnoteText"/>
      </w:pPr>
      <w:r>
        <w:rPr>
          <w:rStyle w:val="FootnoteReference"/>
        </w:rPr>
        <w:footnoteRef/>
      </w:r>
      <w:r>
        <w:t xml:space="preserve"> Id. at </w:t>
      </w:r>
      <w:r w:rsidR="000364E9">
        <w:t>63.</w:t>
      </w:r>
    </w:p>
  </w:footnote>
  <w:footnote w:id="137">
    <w:p w14:paraId="1A1BDF9A" w14:textId="4125A6AC" w:rsidR="000364E9" w:rsidRDefault="000364E9">
      <w:pPr>
        <w:pStyle w:val="FootnoteText"/>
      </w:pPr>
      <w:r>
        <w:rPr>
          <w:rStyle w:val="FootnoteReference"/>
        </w:rPr>
        <w:footnoteRef/>
      </w:r>
      <w:r>
        <w:t xml:space="preserve"> Id. at 64-67.</w:t>
      </w:r>
    </w:p>
  </w:footnote>
  <w:footnote w:id="138">
    <w:p w14:paraId="6D3DE588" w14:textId="72D8AD48" w:rsidR="005C0EDB" w:rsidRDefault="005C0EDB">
      <w:pPr>
        <w:pStyle w:val="FootnoteText"/>
      </w:pPr>
      <w:r>
        <w:rPr>
          <w:rStyle w:val="FootnoteReference"/>
        </w:rPr>
        <w:footnoteRef/>
      </w:r>
      <w:r>
        <w:t xml:space="preserve"> Id. at 67-81.</w:t>
      </w:r>
    </w:p>
  </w:footnote>
  <w:footnote w:id="139">
    <w:p w14:paraId="4DA0A407" w14:textId="07ADEC98" w:rsidR="00340450" w:rsidRDefault="00340450">
      <w:pPr>
        <w:pStyle w:val="FootnoteText"/>
      </w:pPr>
      <w:r>
        <w:rPr>
          <w:rStyle w:val="FootnoteReference"/>
        </w:rPr>
        <w:footnoteRef/>
      </w:r>
      <w:r>
        <w:t xml:space="preserve"> Id. at 19.</w:t>
      </w:r>
    </w:p>
  </w:footnote>
  <w:footnote w:id="140">
    <w:p w14:paraId="1597B2A7" w14:textId="452E7C64" w:rsidR="00E2296C" w:rsidRDefault="00E2296C">
      <w:pPr>
        <w:pStyle w:val="FootnoteText"/>
      </w:pPr>
      <w:r>
        <w:rPr>
          <w:rStyle w:val="FootnoteReference"/>
        </w:rPr>
        <w:footnoteRef/>
      </w:r>
      <w:r>
        <w:t xml:space="preserve"> </w:t>
      </w:r>
      <w:r w:rsidR="002C6429" w:rsidRPr="002C6429">
        <w:t xml:space="preserve">See id. at 20; see also </w:t>
      </w:r>
      <w:r w:rsidR="00B424F0" w:rsidRPr="00B424F0">
        <w:rPr>
          <w:smallCaps/>
        </w:rPr>
        <w:t>Chong</w:t>
      </w:r>
      <w:r w:rsidR="002C6429" w:rsidRPr="002C6429">
        <w:t>, supra note 97, at 132-41.</w:t>
      </w:r>
    </w:p>
  </w:footnote>
  <w:footnote w:id="141">
    <w:p w14:paraId="1BDEF68B" w14:textId="3C0B0849" w:rsidR="00700834" w:rsidRDefault="00700834">
      <w:pPr>
        <w:pStyle w:val="FootnoteText"/>
      </w:pPr>
      <w:r>
        <w:rPr>
          <w:rStyle w:val="FootnoteReference"/>
        </w:rPr>
        <w:footnoteRef/>
      </w:r>
      <w:r>
        <w:t xml:space="preserve"> </w:t>
      </w:r>
      <w:r w:rsidR="00B424F0" w:rsidRPr="00B424F0">
        <w:rPr>
          <w:smallCaps/>
        </w:rPr>
        <w:t>Carmines &amp; Stimson</w:t>
      </w:r>
      <w:r w:rsidRPr="00700834">
        <w:t xml:space="preserve">, </w:t>
      </w:r>
      <w:r w:rsidRPr="00B424F0">
        <w:rPr>
          <w:i/>
          <w:iCs/>
        </w:rPr>
        <w:t>supra</w:t>
      </w:r>
      <w:r w:rsidRPr="00700834">
        <w:t xml:space="preserve"> note 115, at 191.</w:t>
      </w:r>
    </w:p>
  </w:footnote>
  <w:footnote w:id="142">
    <w:p w14:paraId="1BE4B8E8" w14:textId="2881618F" w:rsidR="00717143" w:rsidRDefault="00717143">
      <w:pPr>
        <w:pStyle w:val="FootnoteText"/>
      </w:pPr>
      <w:r>
        <w:rPr>
          <w:rStyle w:val="FootnoteReference"/>
        </w:rPr>
        <w:footnoteRef/>
      </w:r>
      <w:r>
        <w:t xml:space="preserve"> </w:t>
      </w:r>
      <w:r w:rsidRPr="00B424F0">
        <w:rPr>
          <w:smallCaps/>
        </w:rPr>
        <w:t>Karol</w:t>
      </w:r>
      <w:r w:rsidRPr="00717143">
        <w:t xml:space="preserve">, </w:t>
      </w:r>
      <w:r w:rsidRPr="00B424F0">
        <w:rPr>
          <w:i/>
          <w:iCs/>
        </w:rPr>
        <w:t>supra</w:t>
      </w:r>
      <w:r w:rsidRPr="00717143">
        <w:t xml:space="preserve"> note 119, at 6.</w:t>
      </w:r>
    </w:p>
  </w:footnote>
  <w:footnote w:id="143">
    <w:p w14:paraId="51180818" w14:textId="530EAC4F" w:rsidR="006C4C3E" w:rsidRDefault="006C4C3E">
      <w:pPr>
        <w:pStyle w:val="FootnoteText"/>
      </w:pPr>
      <w:r>
        <w:rPr>
          <w:rStyle w:val="FootnoteReference"/>
        </w:rPr>
        <w:footnoteRef/>
      </w:r>
      <w:r>
        <w:t xml:space="preserve"> </w:t>
      </w:r>
      <w:r w:rsidRPr="00B424F0">
        <w:rPr>
          <w:smallCaps/>
        </w:rPr>
        <w:t>Karol</w:t>
      </w:r>
      <w:r w:rsidRPr="006C4C3E">
        <w:t xml:space="preserve">, </w:t>
      </w:r>
      <w:r w:rsidRPr="00B424F0">
        <w:rPr>
          <w:i/>
          <w:iCs/>
        </w:rPr>
        <w:t>supra</w:t>
      </w:r>
      <w:r w:rsidRPr="006C4C3E">
        <w:t xml:space="preserve"> note </w:t>
      </w:r>
      <w:r w:rsidR="00EB2CB1">
        <w:fldChar w:fldCharType="begin"/>
      </w:r>
      <w:r w:rsidR="00EB2CB1">
        <w:instrText xml:space="preserve"> NOTEREF _Ref185862447 \h </w:instrText>
      </w:r>
      <w:r w:rsidR="00EB2CB1">
        <w:fldChar w:fldCharType="separate"/>
      </w:r>
      <w:r w:rsidR="00454C1B">
        <w:t>76</w:t>
      </w:r>
      <w:r w:rsidR="00EB2CB1">
        <w:fldChar w:fldCharType="end"/>
      </w:r>
      <w:r w:rsidRPr="006C4C3E">
        <w:t>, at 67.</w:t>
      </w:r>
    </w:p>
  </w:footnote>
  <w:footnote w:id="144">
    <w:p w14:paraId="18A494CB" w14:textId="29B68667" w:rsidR="00450DA8" w:rsidRPr="00BB38C5" w:rsidRDefault="00450DA8">
      <w:pPr>
        <w:pStyle w:val="FootnoteText"/>
      </w:pPr>
      <w:r>
        <w:rPr>
          <w:rStyle w:val="FootnoteReference"/>
        </w:rPr>
        <w:footnoteRef/>
      </w:r>
      <w:r>
        <w:t xml:space="preserve"> </w:t>
      </w:r>
      <w:r w:rsidR="00BB38C5" w:rsidRPr="003F5E17">
        <w:rPr>
          <w:smallCaps/>
        </w:rPr>
        <w:t>Dworkin</w:t>
      </w:r>
      <w:r w:rsidR="00BB38C5">
        <w:t xml:space="preserve">, TRS, </w:t>
      </w:r>
      <w:r w:rsidR="00BB38C5">
        <w:rPr>
          <w:i/>
          <w:iCs/>
        </w:rPr>
        <w:t xml:space="preserve">supra </w:t>
      </w:r>
      <w:r w:rsidR="00BB38C5">
        <w:t>note 9, at 22.</w:t>
      </w:r>
    </w:p>
  </w:footnote>
  <w:footnote w:id="145">
    <w:p w14:paraId="1DFFB027" w14:textId="7E63E8A9" w:rsidR="009C1474" w:rsidRDefault="009C1474">
      <w:pPr>
        <w:pStyle w:val="FootnoteText"/>
      </w:pPr>
      <w:r>
        <w:rPr>
          <w:rStyle w:val="FootnoteReference"/>
        </w:rPr>
        <w:footnoteRef/>
      </w:r>
      <w:r>
        <w:t xml:space="preserve"> </w:t>
      </w:r>
      <w:r w:rsidRPr="009C1474">
        <w:rPr>
          <w:smallCaps/>
        </w:rPr>
        <w:t>Dworkin, Freedom's Law</w:t>
      </w:r>
      <w:r w:rsidRPr="009C1474">
        <w:t xml:space="preserve">, supra note </w:t>
      </w:r>
      <w:r w:rsidR="004F0D4F">
        <w:fldChar w:fldCharType="begin"/>
      </w:r>
      <w:r w:rsidR="004F0D4F">
        <w:instrText xml:space="preserve"> NOTEREF _Ref186105781 \h </w:instrText>
      </w:r>
      <w:r w:rsidR="004F0D4F">
        <w:fldChar w:fldCharType="separate"/>
      </w:r>
      <w:r w:rsidR="00454C1B">
        <w:t>22</w:t>
      </w:r>
      <w:r w:rsidR="004F0D4F">
        <w:fldChar w:fldCharType="end"/>
      </w:r>
      <w:r w:rsidRPr="009C1474">
        <w:t>, at 20.</w:t>
      </w:r>
    </w:p>
  </w:footnote>
  <w:footnote w:id="146">
    <w:p w14:paraId="74FEFE6D" w14:textId="10FC1F9C" w:rsidR="00436B98" w:rsidRDefault="00436B98" w:rsidP="00436B98">
      <w:pPr>
        <w:pStyle w:val="FootnoteText"/>
      </w:pPr>
      <w:r>
        <w:rPr>
          <w:rStyle w:val="FootnoteReference"/>
        </w:rPr>
        <w:footnoteRef/>
      </w:r>
      <w:r>
        <w:t xml:space="preserve"> </w:t>
      </w:r>
      <w:r w:rsidR="00731EA0">
        <w:t xml:space="preserve">I do not </w:t>
      </w:r>
      <w:r w:rsidR="00B75560">
        <w:t>claim that Dworkin is correct on this</w:t>
      </w:r>
      <w:r>
        <w:t xml:space="preserve">. </w:t>
      </w:r>
      <w:r w:rsidR="00690B68">
        <w:t>M</w:t>
      </w:r>
      <w:r>
        <w:t>y goal here is to show that, even if we accept Dworkin’s conception of principle, it does not follow that judges and not lawmakers must make constitutional decisions. I therefore accept his framework for the sake of argument.</w:t>
      </w:r>
    </w:p>
  </w:footnote>
  <w:footnote w:id="147">
    <w:p w14:paraId="2DB66A50" w14:textId="3FA5081F" w:rsidR="009C518A" w:rsidRPr="009C518A" w:rsidRDefault="009C518A">
      <w:pPr>
        <w:pStyle w:val="FootnoteText"/>
      </w:pPr>
      <w:r>
        <w:rPr>
          <w:rStyle w:val="FootnoteReference"/>
        </w:rPr>
        <w:footnoteRef/>
      </w:r>
      <w:r>
        <w:t xml:space="preserve"> This is not to say constitutions are designed </w:t>
      </w:r>
      <w:r>
        <w:rPr>
          <w:i/>
          <w:iCs/>
        </w:rPr>
        <w:t>only</w:t>
      </w:r>
      <w:r>
        <w:t xml:space="preserve"> to check majorities. They also define the rules under which preferences will be aggregated, such that it makes no sense to speak of a governing majority in the absence of some sort of constitutional system. </w:t>
      </w:r>
      <w:r w:rsidR="006B4827">
        <w:t xml:space="preserve">See </w:t>
      </w:r>
      <w:r w:rsidR="006B4827" w:rsidRPr="00CA3BEE">
        <w:rPr>
          <w:smallCaps/>
        </w:rPr>
        <w:t>Chafetz</w:t>
      </w:r>
      <w:r w:rsidR="006B4827">
        <w:t xml:space="preserve">, </w:t>
      </w:r>
      <w:r w:rsidR="006B4827">
        <w:rPr>
          <w:i/>
          <w:iCs/>
        </w:rPr>
        <w:t xml:space="preserve">supra </w:t>
      </w:r>
      <w:r w:rsidR="006B4827">
        <w:t xml:space="preserve">note </w:t>
      </w:r>
      <w:r w:rsidR="006B4827">
        <w:fldChar w:fldCharType="begin"/>
      </w:r>
      <w:r w:rsidR="006B4827">
        <w:instrText xml:space="preserve"> NOTEREF _Ref185842536 \h </w:instrText>
      </w:r>
      <w:r w:rsidR="006B4827">
        <w:fldChar w:fldCharType="separate"/>
      </w:r>
      <w:r w:rsidR="00454C1B">
        <w:t>10</w:t>
      </w:r>
      <w:r w:rsidR="006B4827">
        <w:fldChar w:fldCharType="end"/>
      </w:r>
      <w:r w:rsidR="006B4827">
        <w:t xml:space="preserve">, </w:t>
      </w:r>
      <w:proofErr w:type="spellStart"/>
      <w:r w:rsidR="006B4827">
        <w:t>ch.</w:t>
      </w:r>
      <w:proofErr w:type="spellEnd"/>
      <w:r w:rsidR="006B4827">
        <w:t xml:space="preserve"> 1. </w:t>
      </w:r>
      <w:r w:rsidR="00134F50">
        <w:t xml:space="preserve">However, this paper began with a question about the suitability of the political branches to enforce constitutional rights that happen to be unpopular at a particular moment in time. I therefore consider it appropriate to demand that Congress be, at least theoretically, willing to protect certain values </w:t>
      </w:r>
      <w:r w:rsidR="00A165AF">
        <w:t>against</w:t>
      </w:r>
      <w:r w:rsidR="00134F50">
        <w:t xml:space="preserve"> </w:t>
      </w:r>
      <w:r w:rsidR="00A165AF">
        <w:t>numerical</w:t>
      </w:r>
      <w:r w:rsidR="00134F50">
        <w:t xml:space="preserve"> majorities. </w:t>
      </w:r>
    </w:p>
  </w:footnote>
  <w:footnote w:id="148">
    <w:p w14:paraId="67BB1317" w14:textId="39FC4F00" w:rsidR="0094640D" w:rsidRDefault="0094640D">
      <w:pPr>
        <w:pStyle w:val="FootnoteText"/>
      </w:pPr>
      <w:r>
        <w:rPr>
          <w:rStyle w:val="FootnoteReference"/>
        </w:rPr>
        <w:footnoteRef/>
      </w:r>
      <w:r>
        <w:t xml:space="preserve"> </w:t>
      </w:r>
      <w:r w:rsidR="00F81F15" w:rsidRPr="00F81F15">
        <w:rPr>
          <w:smallCaps/>
        </w:rPr>
        <w:t xml:space="preserve">Robert </w:t>
      </w:r>
      <w:r w:rsidRPr="00F81F15">
        <w:rPr>
          <w:smallCaps/>
        </w:rPr>
        <w:t xml:space="preserve">Dahl, </w:t>
      </w:r>
      <w:r w:rsidR="001A49A7" w:rsidRPr="00F81F15">
        <w:rPr>
          <w:smallCaps/>
        </w:rPr>
        <w:t>A Preface to Democratic Theory</w:t>
      </w:r>
      <w:r w:rsidR="00F3530D">
        <w:t xml:space="preserve"> 106 (1956).</w:t>
      </w:r>
    </w:p>
  </w:footnote>
  <w:footnote w:id="149">
    <w:p w14:paraId="6D1BC78D" w14:textId="6D3C7BF5" w:rsidR="001A7442" w:rsidRDefault="001A7442">
      <w:pPr>
        <w:pStyle w:val="FootnoteText"/>
      </w:pPr>
      <w:r>
        <w:rPr>
          <w:rStyle w:val="FootnoteReference"/>
        </w:rPr>
        <w:footnoteRef/>
      </w:r>
      <w:r>
        <w:t xml:space="preserve"> Id.</w:t>
      </w:r>
    </w:p>
  </w:footnote>
  <w:footnote w:id="150">
    <w:p w14:paraId="180A5576" w14:textId="5624DF20" w:rsidR="008272F5" w:rsidRPr="008272F5" w:rsidRDefault="008272F5">
      <w:pPr>
        <w:pStyle w:val="FootnoteText"/>
        <w:rPr>
          <w:i/>
          <w:iCs/>
          <w:u w:val="single"/>
        </w:rPr>
      </w:pPr>
      <w:r>
        <w:rPr>
          <w:rStyle w:val="FootnoteReference"/>
        </w:rPr>
        <w:footnoteRef/>
      </w:r>
      <w:r>
        <w:t xml:space="preserve"> See, e.g., </w:t>
      </w:r>
      <w:r w:rsidR="001B53E7">
        <w:t xml:space="preserve">Bruce Ackerman, </w:t>
      </w:r>
      <w:r w:rsidR="001B53E7">
        <w:rPr>
          <w:i/>
          <w:iCs/>
        </w:rPr>
        <w:t xml:space="preserve">Beyond </w:t>
      </w:r>
      <w:r w:rsidR="001B53E7">
        <w:t xml:space="preserve">Carolene Products, 98 </w:t>
      </w:r>
      <w:r w:rsidR="001B53E7" w:rsidRPr="00921B7E">
        <w:rPr>
          <w:smallCaps/>
        </w:rPr>
        <w:t>Harv. L. Rev</w:t>
      </w:r>
      <w:r w:rsidR="001B53E7">
        <w:t>. 713, 73</w:t>
      </w:r>
      <w:r w:rsidR="005108E2">
        <w:t>6</w:t>
      </w:r>
      <w:r w:rsidR="004A7FF3">
        <w:t xml:space="preserve"> </w:t>
      </w:r>
      <w:r w:rsidR="001B53E7">
        <w:t>(1987).</w:t>
      </w:r>
    </w:p>
  </w:footnote>
  <w:footnote w:id="151">
    <w:p w14:paraId="5278E631" w14:textId="041CD543" w:rsidR="00E220A1" w:rsidRDefault="00E220A1">
      <w:pPr>
        <w:pStyle w:val="FootnoteText"/>
      </w:pPr>
      <w:r>
        <w:rPr>
          <w:rStyle w:val="FootnoteReference"/>
        </w:rPr>
        <w:footnoteRef/>
      </w:r>
      <w:r>
        <w:t xml:space="preserve"> </w:t>
      </w:r>
      <w:r w:rsidR="00CF29B6" w:rsidRPr="00235ABB">
        <w:rPr>
          <w:smallCaps/>
        </w:rPr>
        <w:t>Edward S. Greenberg &amp; Benjamin I. Page, The Struggle for Democracy</w:t>
      </w:r>
      <w:r w:rsidR="00CF29B6">
        <w:t xml:space="preserve"> 268 (1995)</w:t>
      </w:r>
      <w:r w:rsidR="00235ABB">
        <w:t xml:space="preserve">, </w:t>
      </w:r>
      <w:r w:rsidRPr="00B65195">
        <w:rPr>
          <w:smallCaps/>
        </w:rPr>
        <w:t>Judson</w:t>
      </w:r>
      <w:r w:rsidR="00121802" w:rsidRPr="00B65195">
        <w:rPr>
          <w:smallCaps/>
        </w:rPr>
        <w:t xml:space="preserve"> L. James, American Political Parties in Transition</w:t>
      </w:r>
      <w:r w:rsidR="00B65195" w:rsidRPr="00B65195">
        <w:rPr>
          <w:smallCaps/>
        </w:rPr>
        <w:t xml:space="preserve"> 4</w:t>
      </w:r>
      <w:r w:rsidR="00CF29B6">
        <w:rPr>
          <w:smallCaps/>
        </w:rPr>
        <w:t xml:space="preserve"> </w:t>
      </w:r>
      <w:r w:rsidR="00B65195" w:rsidRPr="00B65195">
        <w:rPr>
          <w:smallCaps/>
        </w:rPr>
        <w:t>(1974)</w:t>
      </w:r>
      <w:r w:rsidR="00B65195">
        <w:t>,</w:t>
      </w:r>
      <w:r w:rsidR="00CF0A8E">
        <w:t xml:space="preserve"> </w:t>
      </w:r>
      <w:r w:rsidR="00CF0A8E" w:rsidRPr="00F302C4">
        <w:rPr>
          <w:smallCaps/>
        </w:rPr>
        <w:t>William J. Keefe, Parties, Politics, and Public Policy in America</w:t>
      </w:r>
      <w:r w:rsidR="00CF0A8E">
        <w:t xml:space="preserve"> 10 (1972), </w:t>
      </w:r>
      <w:r w:rsidR="00CF0A8E" w:rsidRPr="00FD69E0">
        <w:rPr>
          <w:smallCaps/>
        </w:rPr>
        <w:t xml:space="preserve">Frank J. </w:t>
      </w:r>
      <w:proofErr w:type="spellStart"/>
      <w:r w:rsidR="00CF0A8E" w:rsidRPr="00FD69E0">
        <w:rPr>
          <w:smallCaps/>
        </w:rPr>
        <w:t>Sorauf</w:t>
      </w:r>
      <w:proofErr w:type="spellEnd"/>
      <w:r w:rsidR="00CF0A8E" w:rsidRPr="00FD69E0">
        <w:rPr>
          <w:smallCaps/>
        </w:rPr>
        <w:t>, Political Parties in the American System</w:t>
      </w:r>
      <w:r w:rsidR="00FD69E0">
        <w:t xml:space="preserve"> 21</w:t>
      </w:r>
      <w:r w:rsidR="00CF0A8E">
        <w:t xml:space="preserve"> (1964)</w:t>
      </w:r>
      <w:r>
        <w:t>.</w:t>
      </w:r>
    </w:p>
  </w:footnote>
  <w:footnote w:id="152">
    <w:p w14:paraId="47049243" w14:textId="5185FB18" w:rsidR="00E220A1" w:rsidRDefault="00E220A1">
      <w:pPr>
        <w:pStyle w:val="FootnoteText"/>
      </w:pPr>
      <w:r>
        <w:rPr>
          <w:rStyle w:val="FootnoteReference"/>
        </w:rPr>
        <w:footnoteRef/>
      </w:r>
      <w:r>
        <w:t xml:space="preserve"> </w:t>
      </w:r>
      <w:r w:rsidR="00072549">
        <w:t xml:space="preserve">See </w:t>
      </w:r>
      <w:r w:rsidR="002A0CE6" w:rsidRPr="00313A4E">
        <w:rPr>
          <w:smallCaps/>
        </w:rPr>
        <w:t xml:space="preserve">John Hart </w:t>
      </w:r>
      <w:r w:rsidR="00183266" w:rsidRPr="00313A4E">
        <w:rPr>
          <w:smallCaps/>
        </w:rPr>
        <w:t xml:space="preserve">Ely, </w:t>
      </w:r>
      <w:r w:rsidR="002A0CE6" w:rsidRPr="00313A4E">
        <w:rPr>
          <w:smallCaps/>
        </w:rPr>
        <w:t>Democracy and</w:t>
      </w:r>
      <w:r w:rsidR="002A0CE6" w:rsidRPr="00313A4E">
        <w:rPr>
          <w:i/>
          <w:iCs/>
          <w:smallCaps/>
        </w:rPr>
        <w:t xml:space="preserve"> </w:t>
      </w:r>
      <w:r w:rsidR="002A0CE6" w:rsidRPr="00313A4E">
        <w:rPr>
          <w:smallCaps/>
        </w:rPr>
        <w:t>Distrust</w:t>
      </w:r>
      <w:r w:rsidR="007670C2" w:rsidRPr="00313A4E">
        <w:rPr>
          <w:smallCaps/>
        </w:rPr>
        <w:t>: A Theory of Judicial Review</w:t>
      </w:r>
      <w:r w:rsidR="007670C2">
        <w:t xml:space="preserve"> </w:t>
      </w:r>
      <w:r w:rsidR="00313A4E">
        <w:t xml:space="preserve">148 (1980), </w:t>
      </w:r>
      <w:r w:rsidR="00072549" w:rsidRPr="00183266">
        <w:rPr>
          <w:smallCaps/>
        </w:rPr>
        <w:t xml:space="preserve">Paul </w:t>
      </w:r>
      <w:proofErr w:type="spellStart"/>
      <w:r w:rsidR="00072549" w:rsidRPr="00183266">
        <w:rPr>
          <w:smallCaps/>
        </w:rPr>
        <w:t>Frymer</w:t>
      </w:r>
      <w:proofErr w:type="spellEnd"/>
      <w:r w:rsidR="00CB78A2" w:rsidRPr="00183266">
        <w:rPr>
          <w:smallCaps/>
        </w:rPr>
        <w:t>, Uneasy Alliances: Race and Party Competition in Amer</w:t>
      </w:r>
      <w:r w:rsidR="00AA5FEB" w:rsidRPr="00183266">
        <w:rPr>
          <w:smallCaps/>
        </w:rPr>
        <w:t>ica</w:t>
      </w:r>
      <w:r w:rsidR="00AA5FEB">
        <w:t xml:space="preserve"> 26- </w:t>
      </w:r>
      <w:r w:rsidR="0012273C">
        <w:t>39</w:t>
      </w:r>
      <w:r w:rsidR="00AA5FEB">
        <w:t xml:space="preserve"> (1999)</w:t>
      </w:r>
      <w:r w:rsidR="00183266">
        <w:t>.</w:t>
      </w:r>
    </w:p>
  </w:footnote>
  <w:footnote w:id="153">
    <w:p w14:paraId="5BD31E67" w14:textId="50D54136" w:rsidR="000C5DAC" w:rsidRDefault="000C5DAC">
      <w:pPr>
        <w:pStyle w:val="FootnoteText"/>
      </w:pPr>
      <w:r>
        <w:rPr>
          <w:rStyle w:val="FootnoteReference"/>
        </w:rPr>
        <w:footnoteRef/>
      </w:r>
      <w:r>
        <w:t xml:space="preserve"> See, e.g., </w:t>
      </w:r>
      <w:proofErr w:type="spellStart"/>
      <w:r w:rsidRPr="00877898">
        <w:rPr>
          <w:smallCaps/>
        </w:rPr>
        <w:t>Frymer</w:t>
      </w:r>
      <w:proofErr w:type="spellEnd"/>
      <w:r w:rsidR="00877898">
        <w:t xml:space="preserve">, </w:t>
      </w:r>
      <w:r w:rsidR="00877898">
        <w:rPr>
          <w:i/>
          <w:iCs/>
        </w:rPr>
        <w:t xml:space="preserve">supra </w:t>
      </w:r>
      <w:r w:rsidR="00877898">
        <w:t xml:space="preserve">note </w:t>
      </w:r>
      <w:r w:rsidR="00877898">
        <w:fldChar w:fldCharType="begin"/>
      </w:r>
      <w:r w:rsidR="00877898">
        <w:instrText xml:space="preserve"> NOTEREF _Ref186106784 \h </w:instrText>
      </w:r>
      <w:r w:rsidR="00877898">
        <w:fldChar w:fldCharType="separate"/>
      </w:r>
      <w:r w:rsidR="00454C1B">
        <w:t>150</w:t>
      </w:r>
      <w:r w:rsidR="00877898">
        <w:fldChar w:fldCharType="end"/>
      </w:r>
      <w:r>
        <w:t>.</w:t>
      </w:r>
    </w:p>
  </w:footnote>
  <w:footnote w:id="154">
    <w:p w14:paraId="62679C22" w14:textId="7648C086" w:rsidR="001F6A11" w:rsidRDefault="001F6A11">
      <w:pPr>
        <w:pStyle w:val="FootnoteText"/>
      </w:pPr>
      <w:r>
        <w:rPr>
          <w:rStyle w:val="FootnoteReference"/>
        </w:rPr>
        <w:footnoteRef/>
      </w:r>
      <w:r>
        <w:t xml:space="preserve"> Ackerman</w:t>
      </w:r>
      <w:r w:rsidR="007A198A">
        <w:t xml:space="preserve">, </w:t>
      </w:r>
      <w:proofErr w:type="spellStart"/>
      <w:r w:rsidR="001B53E7">
        <w:rPr>
          <w:i/>
          <w:iCs/>
        </w:rPr>
        <w:t>surpa</w:t>
      </w:r>
      <w:proofErr w:type="spellEnd"/>
      <w:r w:rsidR="001B53E7">
        <w:rPr>
          <w:i/>
          <w:iCs/>
        </w:rPr>
        <w:t xml:space="preserve"> </w:t>
      </w:r>
      <w:r w:rsidR="001B53E7">
        <w:t>note</w:t>
      </w:r>
      <w:r w:rsidR="00435197">
        <w:t xml:space="preserve"> </w:t>
      </w:r>
      <w:r w:rsidR="00435197">
        <w:fldChar w:fldCharType="begin"/>
      </w:r>
      <w:r w:rsidR="00435197">
        <w:instrText xml:space="preserve"> NOTEREF _Ref186376935 \h </w:instrText>
      </w:r>
      <w:r w:rsidR="00435197">
        <w:fldChar w:fldCharType="separate"/>
      </w:r>
      <w:r w:rsidR="00454C1B">
        <w:t>148</w:t>
      </w:r>
      <w:r w:rsidR="00435197">
        <w:fldChar w:fldCharType="end"/>
      </w:r>
      <w:r w:rsidR="001B53E7">
        <w:t xml:space="preserve">, at </w:t>
      </w:r>
      <w:r w:rsidR="0099764F">
        <w:t>73</w:t>
      </w:r>
      <w:r w:rsidR="005374D8">
        <w:t>2-33</w:t>
      </w:r>
      <w:r>
        <w:t xml:space="preserve">. </w:t>
      </w:r>
    </w:p>
  </w:footnote>
  <w:footnote w:id="155">
    <w:p w14:paraId="0984A9F3" w14:textId="3C03EC48" w:rsidR="00121752" w:rsidRDefault="00121752">
      <w:pPr>
        <w:pStyle w:val="FootnoteText"/>
      </w:pPr>
      <w:r>
        <w:rPr>
          <w:rStyle w:val="FootnoteReference"/>
        </w:rPr>
        <w:footnoteRef/>
      </w:r>
      <w:r w:rsidR="005374D8">
        <w:t xml:space="preserve"> Id. at 733 n. 34</w:t>
      </w:r>
      <w:r>
        <w:t>.</w:t>
      </w:r>
    </w:p>
  </w:footnote>
  <w:footnote w:id="156">
    <w:p w14:paraId="62700978" w14:textId="33FB5492" w:rsidR="006B4742" w:rsidRDefault="006B4742">
      <w:pPr>
        <w:pStyle w:val="FootnoteText"/>
      </w:pPr>
      <w:r>
        <w:rPr>
          <w:rStyle w:val="FootnoteReference"/>
        </w:rPr>
        <w:footnoteRef/>
      </w:r>
      <w:r>
        <w:t xml:space="preserve"> </w:t>
      </w:r>
      <w:r w:rsidR="005811FC">
        <w:t>See sources cited n</w:t>
      </w:r>
      <w:r w:rsidR="00A5259F">
        <w:t>ote</w:t>
      </w:r>
      <w:r w:rsidR="005811FC">
        <w:t xml:space="preserve"> </w:t>
      </w:r>
      <w:r w:rsidR="00E35AC2">
        <w:fldChar w:fldCharType="begin"/>
      </w:r>
      <w:r w:rsidR="00E35AC2">
        <w:instrText xml:space="preserve"> NOTEREF _Ref186106784 \h </w:instrText>
      </w:r>
      <w:r w:rsidR="00E35AC2">
        <w:fldChar w:fldCharType="separate"/>
      </w:r>
      <w:r w:rsidR="00454C1B">
        <w:t>150</w:t>
      </w:r>
      <w:r w:rsidR="00E35AC2">
        <w:fldChar w:fldCharType="end"/>
      </w:r>
      <w:r>
        <w:t>.</w:t>
      </w:r>
    </w:p>
  </w:footnote>
  <w:footnote w:id="157">
    <w:p w14:paraId="4AA911A5" w14:textId="664B626F" w:rsidR="00860C04" w:rsidRDefault="00860C04">
      <w:pPr>
        <w:pStyle w:val="FootnoteText"/>
      </w:pPr>
      <w:r>
        <w:rPr>
          <w:rStyle w:val="FootnoteReference"/>
        </w:rPr>
        <w:footnoteRef/>
      </w:r>
      <w:r>
        <w:t xml:space="preserve"> </w:t>
      </w:r>
      <w:r w:rsidR="00D70BB2" w:rsidRPr="00517150">
        <w:rPr>
          <w:smallCaps/>
        </w:rPr>
        <w:t>Ely</w:t>
      </w:r>
      <w:r w:rsidR="00D70BB2">
        <w:t xml:space="preserve">, </w:t>
      </w:r>
      <w:r w:rsidR="00D70BB2">
        <w:rPr>
          <w:i/>
          <w:iCs/>
        </w:rPr>
        <w:t xml:space="preserve">supra </w:t>
      </w:r>
      <w:r w:rsidR="00D70BB2">
        <w:t xml:space="preserve">note </w:t>
      </w:r>
      <w:r w:rsidR="00517150">
        <w:fldChar w:fldCharType="begin"/>
      </w:r>
      <w:r w:rsidR="00517150">
        <w:instrText xml:space="preserve"> NOTEREF _Ref186106784 \h </w:instrText>
      </w:r>
      <w:r w:rsidR="00517150">
        <w:fldChar w:fldCharType="separate"/>
      </w:r>
      <w:r w:rsidR="00454C1B">
        <w:t>150</w:t>
      </w:r>
      <w:r w:rsidR="00517150">
        <w:fldChar w:fldCharType="end"/>
      </w:r>
      <w:r w:rsidR="00BA141E">
        <w:t xml:space="preserve">, at 148-93; </w:t>
      </w:r>
      <w:proofErr w:type="spellStart"/>
      <w:r w:rsidRPr="00E35AC2">
        <w:rPr>
          <w:smallCaps/>
        </w:rPr>
        <w:t>Frymer</w:t>
      </w:r>
      <w:proofErr w:type="spellEnd"/>
      <w:r w:rsidR="00E35AC2">
        <w:rPr>
          <w:smallCaps/>
        </w:rPr>
        <w:t xml:space="preserve">, </w:t>
      </w:r>
      <w:r w:rsidR="00E35AC2" w:rsidRPr="00E35AC2">
        <w:rPr>
          <w:i/>
          <w:iCs/>
        </w:rPr>
        <w:t>supra</w:t>
      </w:r>
      <w:r w:rsidR="00E35AC2">
        <w:rPr>
          <w:i/>
          <w:iCs/>
        </w:rPr>
        <w:t xml:space="preserve"> </w:t>
      </w:r>
      <w:r w:rsidR="00E35AC2">
        <w:t>n</w:t>
      </w:r>
      <w:r w:rsidR="00874786">
        <w:t>ote</w:t>
      </w:r>
      <w:r w:rsidR="00E35AC2">
        <w:t xml:space="preserve"> </w:t>
      </w:r>
      <w:r w:rsidR="00E35AC2">
        <w:fldChar w:fldCharType="begin"/>
      </w:r>
      <w:r w:rsidR="00E35AC2">
        <w:instrText xml:space="preserve"> NOTEREF _Ref186106784 \h </w:instrText>
      </w:r>
      <w:r w:rsidR="00E35AC2">
        <w:fldChar w:fldCharType="separate"/>
      </w:r>
      <w:r w:rsidR="00454C1B">
        <w:t>150</w:t>
      </w:r>
      <w:r w:rsidR="00E35AC2">
        <w:fldChar w:fldCharType="end"/>
      </w:r>
      <w:r w:rsidR="00E35AC2">
        <w:t xml:space="preserve">, at </w:t>
      </w:r>
      <w:r w:rsidR="00520668">
        <w:t>23</w:t>
      </w:r>
      <w:r>
        <w:t>.</w:t>
      </w:r>
    </w:p>
  </w:footnote>
  <w:footnote w:id="158">
    <w:p w14:paraId="33C21684" w14:textId="2C376A4F" w:rsidR="00014550" w:rsidRPr="005A1ECE" w:rsidRDefault="00014550">
      <w:pPr>
        <w:pStyle w:val="FootnoteText"/>
      </w:pPr>
      <w:r>
        <w:rPr>
          <w:rStyle w:val="FootnoteReference"/>
        </w:rPr>
        <w:footnoteRef/>
      </w:r>
      <w:r>
        <w:t xml:space="preserve"> </w:t>
      </w:r>
      <w:r w:rsidR="00CC0D7F">
        <w:t xml:space="preserve">See generally </w:t>
      </w:r>
      <w:r w:rsidR="00C3739F" w:rsidRPr="00C3739F">
        <w:rPr>
          <w:smallCaps/>
        </w:rPr>
        <w:t xml:space="preserve">Martin </w:t>
      </w:r>
      <w:proofErr w:type="spellStart"/>
      <w:r w:rsidR="00C3739F" w:rsidRPr="00C3739F">
        <w:rPr>
          <w:smallCaps/>
        </w:rPr>
        <w:t>Gilens</w:t>
      </w:r>
      <w:proofErr w:type="spellEnd"/>
      <w:r w:rsidR="00C3739F">
        <w:rPr>
          <w:smallCaps/>
        </w:rPr>
        <w:t>,</w:t>
      </w:r>
      <w:r w:rsidR="00C3739F" w:rsidRPr="00C3739F">
        <w:rPr>
          <w:smallCaps/>
        </w:rPr>
        <w:t xml:space="preserve"> Affluence and Influence: Economic Inequality and Political Power in America</w:t>
      </w:r>
      <w:r w:rsidR="00C3739F">
        <w:rPr>
          <w:smallCaps/>
        </w:rPr>
        <w:t xml:space="preserve"> (2012)</w:t>
      </w:r>
      <w:r w:rsidR="00A177D3">
        <w:rPr>
          <w:smallCaps/>
        </w:rPr>
        <w:t xml:space="preserve">; </w:t>
      </w:r>
      <w:r w:rsidR="005A1ECE">
        <w:rPr>
          <w:smallCaps/>
        </w:rPr>
        <w:t xml:space="preserve">Larry Bartels, </w:t>
      </w:r>
      <w:r w:rsidR="0063560D" w:rsidRPr="0063560D">
        <w:rPr>
          <w:smallCaps/>
        </w:rPr>
        <w:t>Unequal Democracy: The Political Economy of the New Gilded Age</w:t>
      </w:r>
      <w:r w:rsidR="005A1ECE">
        <w:rPr>
          <w:smallCaps/>
        </w:rPr>
        <w:t xml:space="preserve"> (2</w:t>
      </w:r>
      <w:r w:rsidR="005A1ECE">
        <w:t>d ed. 2017).</w:t>
      </w:r>
    </w:p>
  </w:footnote>
  <w:footnote w:id="159">
    <w:p w14:paraId="1F7281FC" w14:textId="101834BC" w:rsidR="00366713" w:rsidRDefault="00366713">
      <w:pPr>
        <w:pStyle w:val="FootnoteText"/>
      </w:pPr>
      <w:r>
        <w:rPr>
          <w:rStyle w:val="FootnoteReference"/>
        </w:rPr>
        <w:footnoteRef/>
      </w:r>
      <w:r>
        <w:t xml:space="preserve"> </w:t>
      </w:r>
      <w:r w:rsidR="00D35B72">
        <w:t xml:space="preserve">See generally </w:t>
      </w:r>
      <w:proofErr w:type="spellStart"/>
      <w:r w:rsidR="008C23F8" w:rsidRPr="00D35B72">
        <w:rPr>
          <w:smallCaps/>
        </w:rPr>
        <w:t>Mancur</w:t>
      </w:r>
      <w:proofErr w:type="spellEnd"/>
      <w:r w:rsidR="008C23F8" w:rsidRPr="00D35B72">
        <w:rPr>
          <w:smallCaps/>
        </w:rPr>
        <w:t xml:space="preserve"> Olson, </w:t>
      </w:r>
      <w:r w:rsidR="00D35B72" w:rsidRPr="00D35B72">
        <w:rPr>
          <w:smallCaps/>
        </w:rPr>
        <w:t>The Logic of Collective Action: Public Goods and the Theory of Groups</w:t>
      </w:r>
      <w:r w:rsidR="00D35B72">
        <w:t xml:space="preserve"> (1965).</w:t>
      </w:r>
    </w:p>
  </w:footnote>
  <w:footnote w:id="160">
    <w:p w14:paraId="1B1A1910" w14:textId="70B481A3" w:rsidR="009C7919" w:rsidRDefault="009C7919">
      <w:pPr>
        <w:pStyle w:val="FootnoteText"/>
      </w:pPr>
      <w:r>
        <w:rPr>
          <w:rStyle w:val="FootnoteReference"/>
        </w:rPr>
        <w:footnoteRef/>
      </w:r>
      <w:r>
        <w:t xml:space="preserve"> </w:t>
      </w:r>
      <w:r w:rsidR="0006081B">
        <w:t>Se</w:t>
      </w:r>
      <w:r w:rsidR="00594777">
        <w:t xml:space="preserve">e, e.g., </w:t>
      </w:r>
      <w:r w:rsidR="00594777" w:rsidRPr="00FF64ED">
        <w:rPr>
          <w:smallCaps/>
        </w:rPr>
        <w:t>Greenberg &amp; Page</w:t>
      </w:r>
      <w:r w:rsidR="0006081B">
        <w:t>,</w:t>
      </w:r>
      <w:r w:rsidR="00594777">
        <w:t xml:space="preserve"> </w:t>
      </w:r>
      <w:r w:rsidR="00594777">
        <w:rPr>
          <w:i/>
          <w:iCs/>
        </w:rPr>
        <w:t xml:space="preserve">supra </w:t>
      </w:r>
      <w:r w:rsidR="00594777">
        <w:t xml:space="preserve">note </w:t>
      </w:r>
      <w:r w:rsidR="00594777">
        <w:fldChar w:fldCharType="begin"/>
      </w:r>
      <w:r w:rsidR="00594777">
        <w:instrText xml:space="preserve"> NOTEREF _Ref186118967 \h </w:instrText>
      </w:r>
      <w:r w:rsidR="00594777">
        <w:fldChar w:fldCharType="separate"/>
      </w:r>
      <w:r w:rsidR="00454C1B">
        <w:t>149</w:t>
      </w:r>
      <w:r w:rsidR="00594777">
        <w:fldChar w:fldCharType="end"/>
      </w:r>
      <w:r w:rsidR="00594777">
        <w:t>, at 268</w:t>
      </w:r>
      <w:r w:rsidR="0006081B">
        <w:t>.</w:t>
      </w:r>
    </w:p>
  </w:footnote>
  <w:footnote w:id="161">
    <w:p w14:paraId="786242DD" w14:textId="4B4EC777" w:rsidR="001D51AF" w:rsidRDefault="001D51AF">
      <w:pPr>
        <w:pStyle w:val="FootnoteText"/>
      </w:pPr>
      <w:r>
        <w:rPr>
          <w:rStyle w:val="FootnoteReference"/>
        </w:rPr>
        <w:footnoteRef/>
      </w:r>
      <w:r>
        <w:t xml:space="preserve"> Se</w:t>
      </w:r>
      <w:r w:rsidR="009B4281">
        <w:t xml:space="preserve">e, e.g., </w:t>
      </w:r>
      <w:r w:rsidR="009B4281" w:rsidRPr="009B4281">
        <w:rPr>
          <w:smallCaps/>
        </w:rPr>
        <w:t>Morris Fiorina, Retrospective Voting in American Elections</w:t>
      </w:r>
      <w:r w:rsidR="009B4281">
        <w:t xml:space="preserve"> (1981)</w:t>
      </w:r>
      <w:r>
        <w:t>.</w:t>
      </w:r>
    </w:p>
  </w:footnote>
  <w:footnote w:id="162">
    <w:p w14:paraId="3C775B6F" w14:textId="026A2432" w:rsidR="00CC6648" w:rsidRDefault="00CC6648">
      <w:pPr>
        <w:pStyle w:val="FootnoteText"/>
      </w:pPr>
      <w:r>
        <w:rPr>
          <w:rStyle w:val="FootnoteReference"/>
        </w:rPr>
        <w:footnoteRef/>
      </w:r>
      <w:r>
        <w:t xml:space="preserve"> The problem with retrospective voting also applies to </w:t>
      </w:r>
      <w:r w:rsidR="00B477F0">
        <w:t>congressional logrolls like the one suggested in Ackerman</w:t>
      </w:r>
      <w:r w:rsidR="0032524D">
        <w:t xml:space="preserve">, </w:t>
      </w:r>
      <w:r w:rsidR="0032524D">
        <w:rPr>
          <w:i/>
          <w:iCs/>
        </w:rPr>
        <w:t xml:space="preserve">supra </w:t>
      </w:r>
      <w:r w:rsidR="0032524D">
        <w:t xml:space="preserve">note </w:t>
      </w:r>
      <w:r w:rsidR="00255814">
        <w:fldChar w:fldCharType="begin"/>
      </w:r>
      <w:r w:rsidR="00255814">
        <w:instrText xml:space="preserve"> NOTEREF _Ref186376935 \h </w:instrText>
      </w:r>
      <w:r w:rsidR="00255814">
        <w:fldChar w:fldCharType="separate"/>
      </w:r>
      <w:r w:rsidR="00454C1B">
        <w:t>148</w:t>
      </w:r>
      <w:r w:rsidR="00255814">
        <w:fldChar w:fldCharType="end"/>
      </w:r>
      <w:r w:rsidR="00157AA3">
        <w:t>, at 732-34</w:t>
      </w:r>
      <w:r w:rsidR="00B477F0">
        <w:t xml:space="preserve">. Ackerman suggests, plausibly, that a congressional coalition will generally be willing to trade some policy benefit for a block of votes controlled by a minority group. </w:t>
      </w:r>
      <w:r w:rsidR="002A19F2">
        <w:t xml:space="preserve">However, this kind of trade can only ensure minority-friendly policies in a particular piece of legislation. It cannot provide the group in question with a lasting commitment </w:t>
      </w:r>
      <w:r w:rsidR="00227CCB">
        <w:t>that its rights will be respected in future legislation, since that future legislation will be assembled after the minority group has already supplied its votes and lost its leverage.</w:t>
      </w:r>
      <w:r w:rsidR="009D46AE">
        <w:t xml:space="preserve"> </w:t>
      </w:r>
      <w:r w:rsidR="0052255B">
        <w:t xml:space="preserve">Game theorists have long struggled </w:t>
      </w:r>
      <w:r w:rsidR="001D0C6D">
        <w:t>to identify mechanisms to enforce these kinds of long-term bargains</w:t>
      </w:r>
      <w:r w:rsidR="000325FD">
        <w:t xml:space="preserve">. </w:t>
      </w:r>
      <w:r w:rsidR="000325FD" w:rsidRPr="000C4763">
        <w:rPr>
          <w:i/>
          <w:iCs/>
        </w:rPr>
        <w:t>See, e.g.</w:t>
      </w:r>
      <w:r w:rsidR="000325FD">
        <w:t xml:space="preserve">, Kenneth </w:t>
      </w:r>
      <w:proofErr w:type="spellStart"/>
      <w:r w:rsidR="000325FD">
        <w:t>Shepsle</w:t>
      </w:r>
      <w:proofErr w:type="spellEnd"/>
      <w:r w:rsidR="000325FD">
        <w:t xml:space="preserve"> &amp; Barry Weingast, </w:t>
      </w:r>
      <w:r w:rsidR="00E20694">
        <w:rPr>
          <w:i/>
          <w:iCs/>
        </w:rPr>
        <w:t xml:space="preserve">The Institutional Foundations of Committee </w:t>
      </w:r>
      <w:r w:rsidR="00E20694" w:rsidRPr="00E20694">
        <w:rPr>
          <w:i/>
          <w:iCs/>
        </w:rPr>
        <w:t>Power</w:t>
      </w:r>
      <w:r w:rsidR="00E20694">
        <w:t xml:space="preserve">, 81 </w:t>
      </w:r>
      <w:r w:rsidR="00E20694" w:rsidRPr="004841A0">
        <w:rPr>
          <w:smallCaps/>
        </w:rPr>
        <w:t>Am. Pol. Sci. Rev.</w:t>
      </w:r>
      <w:r w:rsidR="00E20694">
        <w:t xml:space="preserve"> 85</w:t>
      </w:r>
      <w:r w:rsidR="004841A0">
        <w:t>, 85 (1987).</w:t>
      </w:r>
      <w:r w:rsidR="00E20694">
        <w:t xml:space="preserve"> </w:t>
      </w:r>
      <w:r w:rsidR="004841A0">
        <w:t xml:space="preserve">The classic solutions do not apply here. </w:t>
      </w:r>
      <w:r w:rsidR="009D46AE" w:rsidRPr="00E20694">
        <w:t>Similarly</w:t>
      </w:r>
      <w:r w:rsidR="009D46AE">
        <w:t xml:space="preserve">, the problem with retrospective voting </w:t>
      </w:r>
      <w:r w:rsidR="00422B3D">
        <w:t xml:space="preserve">will undermine a minority group’s efforts to secure other kinds of long-term commitments. </w:t>
      </w:r>
      <w:r w:rsidR="00C14F0A">
        <w:t xml:space="preserve">If Black voters, for example, want not just passage of civil rights legislation but assurances that such legislation will not be undermined by </w:t>
      </w:r>
      <w:r w:rsidR="00AD6FFC">
        <w:t>under-enforcement or judicial hostility, retrospective voting does not help it achieve this goal.</w:t>
      </w:r>
    </w:p>
  </w:footnote>
  <w:footnote w:id="163">
    <w:p w14:paraId="29A75A1B" w14:textId="4619A4FF" w:rsidR="00DB0EF0" w:rsidRDefault="00DB0EF0">
      <w:pPr>
        <w:pStyle w:val="FootnoteText"/>
      </w:pPr>
      <w:r>
        <w:rPr>
          <w:rStyle w:val="FootnoteReference"/>
        </w:rPr>
        <w:footnoteRef/>
      </w:r>
      <w:r>
        <w:t xml:space="preserve"> </w:t>
      </w:r>
      <w:r w:rsidR="00262FDD" w:rsidRPr="00476B95">
        <w:rPr>
          <w:smallCaps/>
        </w:rPr>
        <w:t xml:space="preserve">John D. </w:t>
      </w:r>
      <w:proofErr w:type="spellStart"/>
      <w:r w:rsidR="00262FDD" w:rsidRPr="00476B95">
        <w:rPr>
          <w:smallCaps/>
        </w:rPr>
        <w:t>Skrentny</w:t>
      </w:r>
      <w:proofErr w:type="spellEnd"/>
      <w:r w:rsidR="00262FDD" w:rsidRPr="00476B95">
        <w:rPr>
          <w:smallCaps/>
        </w:rPr>
        <w:t>, The Minority Rights Revolution</w:t>
      </w:r>
      <w:r w:rsidR="00262FDD">
        <w:t xml:space="preserve"> 5 (2002)</w:t>
      </w:r>
    </w:p>
  </w:footnote>
  <w:footnote w:id="164">
    <w:p w14:paraId="0D410753" w14:textId="570B4D55" w:rsidR="00822956" w:rsidRDefault="00822956">
      <w:pPr>
        <w:pStyle w:val="FootnoteText"/>
      </w:pPr>
      <w:r>
        <w:rPr>
          <w:rStyle w:val="FootnoteReference"/>
        </w:rPr>
        <w:footnoteRef/>
      </w:r>
      <w:r>
        <w:t xml:space="preserve"> The game does not require </w:t>
      </w:r>
      <w:r w:rsidR="00F4580D">
        <w:t xml:space="preserve">that the minority group with strong preferences constitute the entirely of an existing ascriptive group. If, for example, half of all Black Americans strongly support civil rights protections, then the minority group for the purposes of the game is simply the group </w:t>
      </w:r>
      <w:r w:rsidR="007566A6">
        <w:t xml:space="preserve">of Black Americans who strongly support civil rights (plus whichever non-Black Americans feel the same way). </w:t>
      </w:r>
      <w:r w:rsidR="00ED73F8">
        <w:t>The key is that come bloc of voters will support whichever coalition is best on civil rights, not that this bloc of voters come from a recognizable social group.</w:t>
      </w:r>
    </w:p>
  </w:footnote>
  <w:footnote w:id="165">
    <w:p w14:paraId="31CD9C8A" w14:textId="6311C77B" w:rsidR="00F72507" w:rsidRDefault="00F72507">
      <w:pPr>
        <w:pStyle w:val="FootnoteText"/>
      </w:pPr>
      <w:r>
        <w:rPr>
          <w:rStyle w:val="FootnoteReference"/>
        </w:rPr>
        <w:footnoteRef/>
      </w:r>
      <w:r>
        <w:t xml:space="preserve"> The exact makeup of the continuum does not matter. What matters</w:t>
      </w:r>
      <w:r w:rsidR="00E45E49">
        <w:t xml:space="preserve"> is that there be a sufficient number of options on the spectrum from strong to weak such that a policy maker can tailor their </w:t>
      </w:r>
      <w:r w:rsidR="00130C05">
        <w:t xml:space="preserve">policy choice to their political incentives. If </w:t>
      </w:r>
      <w:r w:rsidR="00324364">
        <w:t>minority group members want only one policy</w:t>
      </w:r>
      <w:r w:rsidR="00F05A34">
        <w:t>, and that policy is unpopular, th</w:t>
      </w:r>
      <w:r w:rsidR="009F4E90">
        <w:t>en policy makers must either adopt the unpopular policy or do nothing to help the minority group, and they may choose t</w:t>
      </w:r>
      <w:r w:rsidR="00DD7681">
        <w:t>o do nothing. If they have an infinite number of options that the minority group prefers to the status quo, they are likely to pick one.</w:t>
      </w:r>
      <w:r w:rsidR="009F4E90">
        <w:t xml:space="preserve"> </w:t>
      </w:r>
    </w:p>
  </w:footnote>
  <w:footnote w:id="166">
    <w:p w14:paraId="29D10E93" w14:textId="3CBD1F6C" w:rsidR="00E81AFB" w:rsidRDefault="00E81AFB">
      <w:pPr>
        <w:pStyle w:val="FootnoteText"/>
      </w:pPr>
      <w:r>
        <w:rPr>
          <w:rStyle w:val="FootnoteReference"/>
        </w:rPr>
        <w:footnoteRef/>
      </w:r>
      <w:r>
        <w:t xml:space="preserve"> If the two parties offer the same policy – or two policies so similar that the minority group will not plausibly move as a bloc to the party offering the marginally </w:t>
      </w:r>
      <w:r w:rsidR="00F31537">
        <w:t>better policy – the game continues.</w:t>
      </w:r>
    </w:p>
  </w:footnote>
  <w:footnote w:id="167">
    <w:p w14:paraId="46C51E38" w14:textId="296BD92E" w:rsidR="007F70DA" w:rsidRDefault="007F70DA">
      <w:pPr>
        <w:pStyle w:val="FootnoteText"/>
      </w:pPr>
      <w:r>
        <w:rPr>
          <w:rStyle w:val="FootnoteReference"/>
        </w:rPr>
        <w:footnoteRef/>
      </w:r>
      <w:r>
        <w:t xml:space="preserve"> This is necessary to ensure the game </w:t>
      </w:r>
      <w:r w:rsidR="002621CA">
        <w:t>describes politicians’ willingness to protect rights in the face of majority preferences.</w:t>
      </w:r>
      <w:r w:rsidR="001763DD">
        <w:t xml:space="preserve"> If the general electorate </w:t>
      </w:r>
      <w:r w:rsidR="00B24B84">
        <w:t xml:space="preserve">supports some of the options on the rights policy list, then we can think of the game as involving only those policies that the general electorate does not support. </w:t>
      </w:r>
    </w:p>
  </w:footnote>
  <w:footnote w:id="168">
    <w:p w14:paraId="42120F5B" w14:textId="3C42DD18" w:rsidR="00556DF7" w:rsidRDefault="00556DF7">
      <w:pPr>
        <w:pStyle w:val="FootnoteText"/>
      </w:pPr>
      <w:r>
        <w:rPr>
          <w:rStyle w:val="FootnoteReference"/>
        </w:rPr>
        <w:footnoteRef/>
      </w:r>
      <w:r>
        <w:t xml:space="preserve"> I am torn as to whether the auction should be conceived as a winner-pays auction, where only the </w:t>
      </w:r>
      <w:proofErr w:type="spellStart"/>
      <w:r>
        <w:t>wining</w:t>
      </w:r>
      <w:proofErr w:type="spellEnd"/>
      <w:r>
        <w:t xml:space="preserve"> bidder pays what it bid, or an all-pay auction</w:t>
      </w:r>
      <w:r w:rsidR="006967B2">
        <w:t xml:space="preserve">, in which every player pays their bid amount, regardless of whether they win. </w:t>
      </w:r>
      <w:r w:rsidR="00DB51F0">
        <w:t xml:space="preserve">It is possible that a </w:t>
      </w:r>
      <w:r w:rsidR="008D298C">
        <w:t xml:space="preserve">losing bidder will avoid enacting its proposed policy and avoid accountability, because it did not succeed in moving the minority group in question into its coalition. However, I suspect that in most cases </w:t>
      </w:r>
      <w:r w:rsidR="006511FE">
        <w:t xml:space="preserve">politicians will pay a price proportionate to their bid, either because that act of bidding </w:t>
      </w:r>
      <w:r w:rsidR="00D63A23">
        <w:t xml:space="preserve">requires them to enact some unpopular policy or because they are punished just for proposing an unpopular policy that never becomes law. </w:t>
      </w:r>
      <w:r w:rsidR="007D1806">
        <w:t xml:space="preserve">Douglas Arnold provides a helpful framework for thinking through these kinds of accountability questions in </w:t>
      </w:r>
      <w:r w:rsidR="007D1806" w:rsidRPr="007D1806">
        <w:rPr>
          <w:smallCaps/>
        </w:rPr>
        <w:t>The Logic of Congressional Action</w:t>
      </w:r>
      <w:r w:rsidR="007D1806">
        <w:t xml:space="preserve"> (1992). If </w:t>
      </w:r>
      <w:r w:rsidR="00BE021F">
        <w:t xml:space="preserve">the minority incorporation game looks like an all-pay auction, the bidder that must pay more for minority group support will bid far less than it would have in a winner-pays auction, to account for the risk that it will have to pay it bid while losing the auction. </w:t>
      </w:r>
      <w:r w:rsidR="009D72A1">
        <w:t xml:space="preserve">In other words, the </w:t>
      </w:r>
      <w:proofErr w:type="spellStart"/>
      <w:r w:rsidR="009D72A1">
        <w:t>countermajoritarian</w:t>
      </w:r>
      <w:proofErr w:type="spellEnd"/>
      <w:r w:rsidR="009D72A1">
        <w:t xml:space="preserve"> tension I describe in the text is likely to be more powerful than I make it sound.</w:t>
      </w:r>
    </w:p>
  </w:footnote>
  <w:footnote w:id="169">
    <w:p w14:paraId="43B29A4A" w14:textId="648F1A62" w:rsidR="00DB63E0" w:rsidRDefault="00DB63E0">
      <w:pPr>
        <w:pStyle w:val="FootnoteText"/>
      </w:pPr>
      <w:r>
        <w:rPr>
          <w:rStyle w:val="FootnoteReference"/>
        </w:rPr>
        <w:footnoteRef/>
      </w:r>
      <w:r>
        <w:t xml:space="preserve"> I assume there are two both for the sake of simplicity and because an auction between the two dominant political parties is </w:t>
      </w:r>
      <w:r w:rsidR="00E57476">
        <w:t xml:space="preserve">probably the clearest and most common example of the minority incorporation game in practice. </w:t>
      </w:r>
    </w:p>
  </w:footnote>
  <w:footnote w:id="170">
    <w:p w14:paraId="3DF440D0" w14:textId="0D4DAE41" w:rsidR="002E309A" w:rsidRPr="00F81232" w:rsidRDefault="002E309A">
      <w:pPr>
        <w:pStyle w:val="FootnoteText"/>
      </w:pPr>
      <w:r>
        <w:rPr>
          <w:rStyle w:val="FootnoteReference"/>
        </w:rPr>
        <w:footnoteRef/>
      </w:r>
      <w:r>
        <w:t xml:space="preserve"> See Andrew Proctor</w:t>
      </w:r>
      <w:r w:rsidR="00F81232">
        <w:t xml:space="preserve">, </w:t>
      </w:r>
      <w:r w:rsidR="00F81232" w:rsidRPr="00F81232">
        <w:rPr>
          <w:i/>
          <w:iCs/>
        </w:rPr>
        <w:t xml:space="preserve">Coming </w:t>
      </w:r>
      <w:r w:rsidR="005314FC">
        <w:rPr>
          <w:i/>
          <w:iCs/>
        </w:rPr>
        <w:t>O</w:t>
      </w:r>
      <w:r w:rsidR="00F81232" w:rsidRPr="00F81232">
        <w:rPr>
          <w:i/>
          <w:iCs/>
        </w:rPr>
        <w:t>ut to Vote: The Construction of a Lesbian and Gay Electoral Constituency in the United States</w:t>
      </w:r>
      <w:r w:rsidR="00F81232">
        <w:t xml:space="preserve">, </w:t>
      </w:r>
      <w:r w:rsidR="00C57ED4">
        <w:t xml:space="preserve">116 </w:t>
      </w:r>
      <w:r w:rsidR="00F81232" w:rsidRPr="000F6BEE">
        <w:rPr>
          <w:smallCaps/>
        </w:rPr>
        <w:t>Am. Pol. Sci. Rev.</w:t>
      </w:r>
      <w:r w:rsidR="00C57ED4">
        <w:t xml:space="preserve"> 777, 78</w:t>
      </w:r>
      <w:r w:rsidR="00804DA7">
        <w:t>0</w:t>
      </w:r>
      <w:r w:rsidR="00C57ED4">
        <w:t>-8</w:t>
      </w:r>
      <w:r w:rsidR="00804DA7">
        <w:t>2</w:t>
      </w:r>
      <w:r w:rsidR="00C57ED4">
        <w:t xml:space="preserve"> (2022)</w:t>
      </w:r>
    </w:p>
  </w:footnote>
  <w:footnote w:id="171">
    <w:p w14:paraId="02D0BAAB" w14:textId="68CE6C4A" w:rsidR="00A4717E" w:rsidRDefault="00A4717E">
      <w:pPr>
        <w:pStyle w:val="FootnoteText"/>
      </w:pPr>
      <w:r>
        <w:rPr>
          <w:rStyle w:val="FootnoteReference"/>
        </w:rPr>
        <w:footnoteRef/>
      </w:r>
      <w:r>
        <w:t xml:space="preserve"> In particular, I assume that </w:t>
      </w:r>
      <w:r w:rsidR="00F467F0">
        <w:t>some but not all voters will leave the</w:t>
      </w:r>
      <w:r w:rsidR="00E5625E">
        <w:t xml:space="preserve"> political party they like best if that party proposes policies with which they disagree. If </w:t>
      </w:r>
      <w:r w:rsidR="00BB4B82">
        <w:t>every general electorate voter opposed to civil unions voted against the party that proposed them, th</w:t>
      </w:r>
      <w:r w:rsidR="00547E37">
        <w:t xml:space="preserve">is would violate my assumption that the general electorate has less intense preferences on rights issues than the minority group whose rights are at stake. </w:t>
      </w:r>
      <w:r w:rsidR="009F7825">
        <w:t xml:space="preserve">In that case, no politician would support minority rights. </w:t>
      </w:r>
      <w:r w:rsidR="00DD1D72">
        <w:t xml:space="preserve">On the other hand, if no member of the general electorate changes their vote based on a civil unions proposal </w:t>
      </w:r>
      <w:r w:rsidR="002F1C8F">
        <w:t xml:space="preserve">– say, because they still prefer their Republican Party, all things considered, even if it takes a single liberal position </w:t>
      </w:r>
      <w:r w:rsidR="005E7E0C">
        <w:t>–</w:t>
      </w:r>
      <w:r w:rsidR="002F1C8F">
        <w:t xml:space="preserve"> </w:t>
      </w:r>
      <w:r w:rsidR="005E7E0C">
        <w:t xml:space="preserve">then the party with a more anti-gay coalition should adopt the more pro-gay policies. </w:t>
      </w:r>
      <w:r w:rsidR="00DE19D0">
        <w:t xml:space="preserve">I consider this unlikely, though demonstrating that goes beyond the scope of this paper. </w:t>
      </w:r>
      <w:r w:rsidR="008B2B91">
        <w:t xml:space="preserve">Finally, it is possible that conservative Democrats will leave their party if it takes a pro-gay stand, while conservative Republicans will not. </w:t>
      </w:r>
      <w:r w:rsidR="00511F0D">
        <w:t xml:space="preserve">This is plausible, and I assume only that any partisan differential in </w:t>
      </w:r>
      <w:r w:rsidR="002644C5">
        <w:t xml:space="preserve">how conservative voters react to pro-gay policies is outweighed by the fact that so many more conservative voters are part of the </w:t>
      </w:r>
      <w:r w:rsidR="006C5B46">
        <w:t>Republicans</w:t>
      </w:r>
      <w:r w:rsidR="002135A6">
        <w:t>’</w:t>
      </w:r>
      <w:r w:rsidR="006C5B46">
        <w:t xml:space="preserve"> </w:t>
      </w:r>
      <w:r w:rsidR="002644C5">
        <w:t xml:space="preserve">aspirational </w:t>
      </w:r>
      <w:r w:rsidR="006C5B46">
        <w:t>majority coalition.</w:t>
      </w:r>
    </w:p>
  </w:footnote>
  <w:footnote w:id="172">
    <w:p w14:paraId="445A13E4" w14:textId="0EE7D38A" w:rsidR="00B0757A" w:rsidRDefault="00B0757A">
      <w:pPr>
        <w:pStyle w:val="FootnoteText"/>
      </w:pPr>
      <w:r>
        <w:rPr>
          <w:rStyle w:val="FootnoteReference"/>
        </w:rPr>
        <w:footnoteRef/>
      </w:r>
      <w:r>
        <w:t xml:space="preserve"> </w:t>
      </w:r>
      <w:r w:rsidR="000D0E18" w:rsidRPr="003272A6">
        <w:rPr>
          <w:smallCaps/>
        </w:rPr>
        <w:t>Karol</w:t>
      </w:r>
      <w:r w:rsidR="000D0E18" w:rsidRPr="000D0E18">
        <w:t xml:space="preserve">, </w:t>
      </w:r>
      <w:r w:rsidR="000D0E18" w:rsidRPr="003272A6">
        <w:rPr>
          <w:i/>
          <w:iCs/>
        </w:rPr>
        <w:t>supra</w:t>
      </w:r>
      <w:r w:rsidR="000D0E18" w:rsidRPr="000D0E18">
        <w:t xml:space="preserve"> note </w:t>
      </w:r>
      <w:r w:rsidR="00EB2CB1">
        <w:fldChar w:fldCharType="begin"/>
      </w:r>
      <w:r w:rsidR="00EB2CB1">
        <w:instrText xml:space="preserve"> NOTEREF _Ref185862447 \h </w:instrText>
      </w:r>
      <w:r w:rsidR="00EB2CB1">
        <w:fldChar w:fldCharType="separate"/>
      </w:r>
      <w:r w:rsidR="00454C1B">
        <w:t>76</w:t>
      </w:r>
      <w:r w:rsidR="00EB2CB1">
        <w:fldChar w:fldCharType="end"/>
      </w:r>
      <w:r w:rsidR="000D0E18" w:rsidRPr="000D0E18">
        <w:t>, at 18.</w:t>
      </w:r>
    </w:p>
  </w:footnote>
  <w:footnote w:id="173">
    <w:p w14:paraId="5549F36F" w14:textId="0EC7192F" w:rsidR="002717B4" w:rsidRDefault="002717B4">
      <w:pPr>
        <w:pStyle w:val="FootnoteText"/>
      </w:pPr>
      <w:r>
        <w:rPr>
          <w:rStyle w:val="FootnoteReference"/>
        </w:rPr>
        <w:footnoteRef/>
      </w:r>
      <w:r>
        <w:t xml:space="preserve"> </w:t>
      </w:r>
      <w:r w:rsidR="000A6CD0">
        <w:t xml:space="preserve">In the real world, as opposed to my stylized model, this process may take a </w:t>
      </w:r>
      <w:r w:rsidR="00D3230F">
        <w:t xml:space="preserve">long time. See </w:t>
      </w:r>
      <w:r w:rsidR="00C31A1C">
        <w:t>id. at 56-102 (describing slow party position change on abortion and gun rights)</w:t>
      </w:r>
      <w:r w:rsidR="00D3230F">
        <w:t xml:space="preserve">. </w:t>
      </w:r>
      <w:r w:rsidR="00B2421C">
        <w:t xml:space="preserve">As I discus below, a minority group may remain divided between two parties </w:t>
      </w:r>
      <w:r w:rsidR="00E77B00">
        <w:t xml:space="preserve">indefinitely. However, </w:t>
      </w:r>
      <w:r w:rsidR="00A42E71">
        <w:t xml:space="preserve">when one of the dominant political parties decisively wins a bid for a minority group’s support, we should expect to see </w:t>
      </w:r>
      <w:r w:rsidR="003157EC">
        <w:t>the parties polarize over that group’s rights.</w:t>
      </w:r>
    </w:p>
  </w:footnote>
  <w:footnote w:id="174">
    <w:p w14:paraId="23104AE7" w14:textId="345EC45C" w:rsidR="00530821" w:rsidRPr="00530821" w:rsidRDefault="00530821">
      <w:pPr>
        <w:pStyle w:val="FootnoteText"/>
      </w:pPr>
      <w:r>
        <w:rPr>
          <w:rStyle w:val="FootnoteReference"/>
        </w:rPr>
        <w:footnoteRef/>
      </w:r>
      <w:r>
        <w:t xml:space="preserve"> See Proctor, </w:t>
      </w:r>
      <w:r>
        <w:rPr>
          <w:i/>
          <w:iCs/>
        </w:rPr>
        <w:t xml:space="preserve">supra </w:t>
      </w:r>
      <w:r w:rsidRPr="00530821">
        <w:t>note</w:t>
      </w:r>
      <w:r>
        <w:t xml:space="preserve"> </w:t>
      </w:r>
      <w:r w:rsidR="000C1C27">
        <w:fldChar w:fldCharType="begin"/>
      </w:r>
      <w:r w:rsidR="000C1C27">
        <w:instrText xml:space="preserve"> NOTEREF _Ref186119832 \h </w:instrText>
      </w:r>
      <w:r w:rsidR="000C1C27">
        <w:fldChar w:fldCharType="separate"/>
      </w:r>
      <w:r w:rsidR="00454C1B">
        <w:t>168</w:t>
      </w:r>
      <w:r w:rsidR="000C1C27">
        <w:fldChar w:fldCharType="end"/>
      </w:r>
      <w:r w:rsidR="000C1C27">
        <w:t>, at 777.</w:t>
      </w:r>
    </w:p>
  </w:footnote>
  <w:footnote w:id="175">
    <w:p w14:paraId="3B2042C4" w14:textId="1BFA097E" w:rsidR="00D46F90" w:rsidRDefault="00D46F90">
      <w:pPr>
        <w:pStyle w:val="FootnoteText"/>
      </w:pPr>
      <w:r>
        <w:rPr>
          <w:rStyle w:val="FootnoteReference"/>
        </w:rPr>
        <w:footnoteRef/>
      </w:r>
      <w:r>
        <w:t xml:space="preserve"> </w:t>
      </w:r>
      <w:r w:rsidR="00E62EFF">
        <w:t>Id. at 786.</w:t>
      </w:r>
    </w:p>
  </w:footnote>
  <w:footnote w:id="176">
    <w:p w14:paraId="3953D709" w14:textId="2F02C5D7" w:rsidR="005229BF" w:rsidRDefault="005229BF">
      <w:pPr>
        <w:pStyle w:val="FootnoteText"/>
      </w:pPr>
      <w:r>
        <w:rPr>
          <w:rStyle w:val="FootnoteReference"/>
        </w:rPr>
        <w:footnoteRef/>
      </w:r>
      <w:r>
        <w:t xml:space="preserve"> Id. at 780-82.</w:t>
      </w:r>
    </w:p>
  </w:footnote>
  <w:footnote w:id="177">
    <w:p w14:paraId="17ACED90" w14:textId="6A4598E4" w:rsidR="00EF0DDC" w:rsidRDefault="00EF0DDC" w:rsidP="00EF0DDC">
      <w:pPr>
        <w:pStyle w:val="FootnoteText"/>
      </w:pPr>
      <w:r>
        <w:rPr>
          <w:rStyle w:val="FootnoteReference"/>
        </w:rPr>
        <w:footnoteRef/>
      </w:r>
      <w:r>
        <w:t xml:space="preserve"> As Proctor note</w:t>
      </w:r>
      <w:r w:rsidR="009F347F">
        <w:t>s</w:t>
      </w:r>
      <w:r>
        <w:t xml:space="preserve">, this welcoming posture was neither automatic nor consistent. </w:t>
      </w:r>
      <w:r w:rsidR="00210BFB">
        <w:t>Id. at 786-87</w:t>
      </w:r>
      <w:r>
        <w:t>.</w:t>
      </w:r>
    </w:p>
  </w:footnote>
  <w:footnote w:id="178">
    <w:p w14:paraId="2842FA64" w14:textId="377F891E" w:rsidR="00F80675" w:rsidRPr="00F80675" w:rsidRDefault="00F80675">
      <w:pPr>
        <w:pStyle w:val="FootnoteText"/>
      </w:pPr>
      <w:r>
        <w:rPr>
          <w:rStyle w:val="FootnoteReference"/>
        </w:rPr>
        <w:footnoteRef/>
      </w:r>
      <w:r>
        <w:t xml:space="preserve"> See, e.g., </w:t>
      </w:r>
      <w:r w:rsidRPr="003959B9">
        <w:rPr>
          <w:smallCaps/>
        </w:rPr>
        <w:t>Schickler</w:t>
      </w:r>
      <w:r>
        <w:t xml:space="preserve">, </w:t>
      </w:r>
      <w:r>
        <w:rPr>
          <w:i/>
          <w:iCs/>
        </w:rPr>
        <w:t xml:space="preserve">supra </w:t>
      </w:r>
      <w:r>
        <w:t xml:space="preserve">note </w:t>
      </w:r>
      <w:r w:rsidR="008019BA">
        <w:fldChar w:fldCharType="begin"/>
      </w:r>
      <w:r w:rsidR="008019BA">
        <w:instrText xml:space="preserve"> NOTEREF _Ref185855043 \h </w:instrText>
      </w:r>
      <w:r w:rsidR="008019BA">
        <w:fldChar w:fldCharType="separate"/>
      </w:r>
      <w:r w:rsidR="00454C1B">
        <w:t>48</w:t>
      </w:r>
      <w:r w:rsidR="008019BA">
        <w:fldChar w:fldCharType="end"/>
      </w:r>
      <w:r>
        <w:t xml:space="preserve">, at </w:t>
      </w:r>
      <w:r w:rsidR="0085135B">
        <w:t>113-223.</w:t>
      </w:r>
    </w:p>
  </w:footnote>
  <w:footnote w:id="179">
    <w:p w14:paraId="5CFBC728" w14:textId="26AF4C35" w:rsidR="00924960" w:rsidRPr="00924960" w:rsidRDefault="00924960">
      <w:pPr>
        <w:pStyle w:val="FootnoteText"/>
      </w:pPr>
      <w:r>
        <w:rPr>
          <w:rStyle w:val="FootnoteReference"/>
        </w:rPr>
        <w:footnoteRef/>
      </w:r>
      <w:r>
        <w:t xml:space="preserve"> See </w:t>
      </w:r>
      <w:r>
        <w:rPr>
          <w:i/>
          <w:iCs/>
        </w:rPr>
        <w:t>supra</w:t>
      </w:r>
      <w:r>
        <w:t xml:space="preserve">. </w:t>
      </w:r>
    </w:p>
  </w:footnote>
  <w:footnote w:id="180">
    <w:p w14:paraId="28D555AC" w14:textId="5D067693" w:rsidR="00AB0B6A" w:rsidRDefault="00AB0B6A">
      <w:pPr>
        <w:pStyle w:val="FootnoteText"/>
      </w:pPr>
      <w:r>
        <w:rPr>
          <w:rStyle w:val="FootnoteReference"/>
        </w:rPr>
        <w:footnoteRef/>
      </w:r>
      <w:r>
        <w:t xml:space="preserve"> </w:t>
      </w:r>
      <w:r w:rsidRPr="00521876">
        <w:rPr>
          <w:smallCaps/>
        </w:rPr>
        <w:t>Joseph E. Lowndes, From the New Deal to the New Right: Race and the Southern Origins of Modern Conservatism</w:t>
      </w:r>
      <w:r>
        <w:t xml:space="preserve"> 11-45 (2008).</w:t>
      </w:r>
    </w:p>
  </w:footnote>
  <w:footnote w:id="181">
    <w:p w14:paraId="1B152F5C" w14:textId="75F5EB85" w:rsidR="001E630F" w:rsidRDefault="001E630F">
      <w:pPr>
        <w:pStyle w:val="FootnoteText"/>
      </w:pPr>
      <w:r>
        <w:rPr>
          <w:rStyle w:val="FootnoteReference"/>
        </w:rPr>
        <w:footnoteRef/>
      </w:r>
      <w:r>
        <w:t xml:space="preserve"> </w:t>
      </w:r>
      <w:r w:rsidRPr="00851860">
        <w:rPr>
          <w:smallCaps/>
        </w:rPr>
        <w:t>Carmines &amp; Stimson</w:t>
      </w:r>
      <w:r>
        <w:t xml:space="preserve">, </w:t>
      </w:r>
      <w:r>
        <w:rPr>
          <w:i/>
          <w:iCs/>
        </w:rPr>
        <w:t xml:space="preserve">supra </w:t>
      </w:r>
      <w:r>
        <w:t xml:space="preserve">note </w:t>
      </w:r>
      <w:r>
        <w:fldChar w:fldCharType="begin"/>
      </w:r>
      <w:r>
        <w:instrText xml:space="preserve"> NOTEREF _Ref186120323 \h </w:instrText>
      </w:r>
      <w:r>
        <w:fldChar w:fldCharType="separate"/>
      </w:r>
      <w:r w:rsidR="00454C1B">
        <w:t>77</w:t>
      </w:r>
      <w:r>
        <w:fldChar w:fldCharType="end"/>
      </w:r>
      <w:r>
        <w:t>, at 53-54.</w:t>
      </w:r>
    </w:p>
  </w:footnote>
  <w:footnote w:id="182">
    <w:p w14:paraId="3A3E13BD" w14:textId="1993FCB1" w:rsidR="00195957" w:rsidRPr="00AF3DA3" w:rsidRDefault="00195957">
      <w:pPr>
        <w:pStyle w:val="FootnoteText"/>
      </w:pPr>
      <w:r>
        <w:rPr>
          <w:rStyle w:val="FootnoteReference"/>
        </w:rPr>
        <w:footnoteRef/>
      </w:r>
      <w:r>
        <w:t xml:space="preserve"> This is a good time to remember that </w:t>
      </w:r>
      <w:r w:rsidR="008C5AD2">
        <w:t xml:space="preserve">my model is a stylized vision of American politics, designed to focus on the implications of political incentives. I do not deny that for many participants in the 1960s civil rights battles, including </w:t>
      </w:r>
      <w:r w:rsidR="00AF3DA3">
        <w:t xml:space="preserve">many in the White House, the fight was waged because it was seen as the right thing to do. See, e.g. </w:t>
      </w:r>
      <w:r w:rsidR="003D2119" w:rsidRPr="0064491B">
        <w:rPr>
          <w:smallCaps/>
        </w:rPr>
        <w:t>Charles Whalen &amp; Barbara Whalen, The Longest Debate: A Legislative History of the 1964 Civil Rights Act</w:t>
      </w:r>
      <w:r w:rsidR="003D2119">
        <w:rPr>
          <w:smallCaps/>
        </w:rPr>
        <w:t xml:space="preserve"> 16 (1985)</w:t>
      </w:r>
      <w:r w:rsidR="00D55C7D">
        <w:t>.</w:t>
      </w:r>
    </w:p>
  </w:footnote>
  <w:footnote w:id="183">
    <w:p w14:paraId="6E1D09A5" w14:textId="77777777" w:rsidR="007716A9" w:rsidRDefault="007716A9" w:rsidP="007716A9">
      <w:pPr>
        <w:pStyle w:val="FootnoteText"/>
      </w:pPr>
      <w:r>
        <w:rPr>
          <w:rStyle w:val="FootnoteReference"/>
        </w:rPr>
        <w:footnoteRef/>
      </w:r>
      <w:r>
        <w:t xml:space="preserve"> See </w:t>
      </w:r>
      <w:r w:rsidRPr="00200771">
        <w:rPr>
          <w:smallCaps/>
        </w:rPr>
        <w:t>Barry Goldwater, The Conscience of a Conservative</w:t>
      </w:r>
      <w:r>
        <w:t xml:space="preserve"> 25-32 (1960).</w:t>
      </w:r>
    </w:p>
  </w:footnote>
  <w:footnote w:id="184">
    <w:p w14:paraId="1B4404CC" w14:textId="5808DB34" w:rsidR="00DB697C" w:rsidRDefault="00DB697C" w:rsidP="00DB697C">
      <w:pPr>
        <w:pStyle w:val="FootnoteText"/>
      </w:pPr>
      <w:r>
        <w:rPr>
          <w:rStyle w:val="FootnoteReference"/>
        </w:rPr>
        <w:footnoteRef/>
      </w:r>
      <w:r>
        <w:t xml:space="preserve"> </w:t>
      </w:r>
      <w:r w:rsidRPr="00851860">
        <w:rPr>
          <w:smallCaps/>
        </w:rPr>
        <w:t>Carmines &amp; Stimson</w:t>
      </w:r>
      <w:r>
        <w:t xml:space="preserve">, </w:t>
      </w:r>
      <w:r>
        <w:rPr>
          <w:i/>
          <w:iCs/>
        </w:rPr>
        <w:t xml:space="preserve">supra </w:t>
      </w:r>
      <w:r>
        <w:t xml:space="preserve">note </w:t>
      </w:r>
      <w:r>
        <w:fldChar w:fldCharType="begin"/>
      </w:r>
      <w:r>
        <w:instrText xml:space="preserve"> NOTEREF _Ref186120323 \h </w:instrText>
      </w:r>
      <w:r>
        <w:fldChar w:fldCharType="separate"/>
      </w:r>
      <w:r w:rsidR="00454C1B">
        <w:t>77</w:t>
      </w:r>
      <w:r>
        <w:fldChar w:fldCharType="end"/>
      </w:r>
      <w:r>
        <w:t>, at 63.</w:t>
      </w:r>
    </w:p>
  </w:footnote>
  <w:footnote w:id="185">
    <w:p w14:paraId="0D590B13" w14:textId="12B13B6F" w:rsidR="003959B9" w:rsidRDefault="003959B9">
      <w:pPr>
        <w:pStyle w:val="FootnoteText"/>
      </w:pPr>
      <w:r>
        <w:rPr>
          <w:rStyle w:val="FootnoteReference"/>
        </w:rPr>
        <w:footnoteRef/>
      </w:r>
      <w:r>
        <w:t xml:space="preserve"> </w:t>
      </w:r>
      <w:proofErr w:type="spellStart"/>
      <w:r w:rsidR="00F65A6E" w:rsidRPr="005E7D33">
        <w:rPr>
          <w:smallCaps/>
        </w:rPr>
        <w:t>Frymer</w:t>
      </w:r>
      <w:proofErr w:type="spellEnd"/>
      <w:r w:rsidR="00F65A6E">
        <w:t xml:space="preserve">, </w:t>
      </w:r>
      <w:r w:rsidR="00F65A6E">
        <w:rPr>
          <w:i/>
          <w:iCs/>
        </w:rPr>
        <w:t xml:space="preserve">supra </w:t>
      </w:r>
      <w:r w:rsidR="00F65A6E">
        <w:t xml:space="preserve">note </w:t>
      </w:r>
      <w:r w:rsidR="00F65A6E">
        <w:fldChar w:fldCharType="begin"/>
      </w:r>
      <w:r w:rsidR="00F65A6E">
        <w:instrText xml:space="preserve"> NOTEREF _Ref186106784 \h </w:instrText>
      </w:r>
      <w:r w:rsidR="00F65A6E">
        <w:fldChar w:fldCharType="separate"/>
      </w:r>
      <w:r w:rsidR="00454C1B">
        <w:t>150</w:t>
      </w:r>
      <w:r w:rsidR="00F65A6E">
        <w:fldChar w:fldCharType="end"/>
      </w:r>
      <w:r w:rsidR="00F65A6E">
        <w:t>, at 100.</w:t>
      </w:r>
    </w:p>
  </w:footnote>
  <w:footnote w:id="186">
    <w:p w14:paraId="78C2C8F2" w14:textId="533D467C" w:rsidR="0022466A" w:rsidRPr="0022466A" w:rsidRDefault="0022466A">
      <w:pPr>
        <w:pStyle w:val="FootnoteText"/>
      </w:pPr>
      <w:r>
        <w:rPr>
          <w:rStyle w:val="FootnoteReference"/>
        </w:rPr>
        <w:footnoteRef/>
      </w:r>
      <w:r>
        <w:t xml:space="preserve"> See, e.g., </w:t>
      </w:r>
      <w:r w:rsidR="005C28AE" w:rsidRPr="00A92C4B">
        <w:rPr>
          <w:i/>
          <w:iCs/>
        </w:rPr>
        <w:t>See</w:t>
      </w:r>
      <w:r w:rsidR="005C28AE">
        <w:t xml:space="preserve"> </w:t>
      </w:r>
      <w:r w:rsidR="005C28AE" w:rsidRPr="00F751F1">
        <w:rPr>
          <w:smallCaps/>
        </w:rPr>
        <w:t>Bruce Ackerman, We the People, Vol. III: The Civil Rights Revolution</w:t>
      </w:r>
      <w:r w:rsidR="005C28AE">
        <w:t xml:space="preserve"> 15</w:t>
      </w:r>
      <w:r w:rsidR="00624EC6">
        <w:t>4</w:t>
      </w:r>
      <w:r w:rsidR="005C28AE">
        <w:t xml:space="preserve"> (2014).</w:t>
      </w:r>
    </w:p>
  </w:footnote>
  <w:footnote w:id="187">
    <w:p w14:paraId="6B0AD2B2" w14:textId="715E0CC2" w:rsidR="00070DAC" w:rsidRDefault="00070DAC">
      <w:pPr>
        <w:pStyle w:val="FootnoteText"/>
      </w:pPr>
      <w:r>
        <w:rPr>
          <w:rStyle w:val="FootnoteReference"/>
        </w:rPr>
        <w:footnoteRef/>
      </w:r>
      <w:r>
        <w:t xml:space="preserve"> See Civil Rights Act of 1964, Title II (public accommodations) and Title VII (</w:t>
      </w:r>
      <w:r w:rsidR="00A96618">
        <w:t xml:space="preserve">regulating employment). </w:t>
      </w:r>
    </w:p>
  </w:footnote>
  <w:footnote w:id="188">
    <w:p w14:paraId="60C3C313" w14:textId="337EAA0B" w:rsidR="00262DF8" w:rsidRDefault="00262DF8" w:rsidP="00262DF8">
      <w:pPr>
        <w:pStyle w:val="FootnoteText"/>
      </w:pPr>
      <w:r>
        <w:rPr>
          <w:rStyle w:val="FootnoteReference"/>
        </w:rPr>
        <w:footnoteRef/>
      </w:r>
      <w:r>
        <w:t xml:space="preserve"> See, e.g., Gordon Allott to Ray Gibbons, Sept. 19, 1963. LCCR papers, Part I: Box 50; </w:t>
      </w:r>
      <w:r w:rsidR="007C30A9">
        <w:t>Robert Taft, Jr., to Ray Gibbons, Sept. 12, 1963, LCCR papers, Part I: Box 50; John B. Anderson to Ray Gibbons, Sept. 10, 1963, LCCR papers, Part I: Box 50.</w:t>
      </w:r>
    </w:p>
  </w:footnote>
  <w:footnote w:id="189">
    <w:p w14:paraId="4C7D79FE" w14:textId="58D48D67" w:rsidR="00675301" w:rsidRPr="00C37683" w:rsidRDefault="00675301">
      <w:pPr>
        <w:pStyle w:val="FootnoteText"/>
      </w:pPr>
      <w:r>
        <w:rPr>
          <w:rStyle w:val="FootnoteReference"/>
        </w:rPr>
        <w:footnoteRef/>
      </w:r>
      <w:r>
        <w:t xml:space="preserve"> </w:t>
      </w:r>
      <w:r w:rsidR="00C37683" w:rsidRPr="004144CC">
        <w:rPr>
          <w:smallCaps/>
        </w:rPr>
        <w:t>Foner</w:t>
      </w:r>
      <w:r w:rsidR="00C37683">
        <w:t xml:space="preserve">, </w:t>
      </w:r>
      <w:r w:rsidR="00C37683">
        <w:rPr>
          <w:i/>
          <w:iCs/>
        </w:rPr>
        <w:t xml:space="preserve">supra </w:t>
      </w:r>
      <w:r w:rsidR="00C37683">
        <w:t xml:space="preserve">note </w:t>
      </w:r>
      <w:r w:rsidR="00C37683">
        <w:fldChar w:fldCharType="begin"/>
      </w:r>
      <w:r w:rsidR="00C37683">
        <w:instrText xml:space="preserve"> NOTEREF _Ref186458868 \h </w:instrText>
      </w:r>
      <w:r w:rsidR="00C37683">
        <w:fldChar w:fldCharType="separate"/>
      </w:r>
      <w:r w:rsidR="00454C1B">
        <w:t>116</w:t>
      </w:r>
      <w:r w:rsidR="00C37683">
        <w:fldChar w:fldCharType="end"/>
      </w:r>
      <w:r w:rsidR="00C37683">
        <w:t>, at</w:t>
      </w:r>
      <w:r w:rsidR="009F0685">
        <w:t xml:space="preserve"> 1</w:t>
      </w:r>
      <w:r w:rsidR="00936117">
        <w:t>1-40</w:t>
      </w:r>
      <w:r w:rsidR="009F0685">
        <w:t>.</w:t>
      </w:r>
    </w:p>
  </w:footnote>
  <w:footnote w:id="190">
    <w:p w14:paraId="1F2E080F" w14:textId="090043AE" w:rsidR="0060494D" w:rsidRPr="00097684" w:rsidRDefault="0060494D">
      <w:pPr>
        <w:pStyle w:val="FootnoteText"/>
      </w:pPr>
      <w:r>
        <w:rPr>
          <w:rStyle w:val="FootnoteReference"/>
        </w:rPr>
        <w:footnoteRef/>
      </w:r>
      <w:r>
        <w:t xml:space="preserve"> </w:t>
      </w:r>
      <w:r w:rsidR="00097684" w:rsidRPr="00D654ED">
        <w:rPr>
          <w:smallCaps/>
        </w:rPr>
        <w:t>Goldwater</w:t>
      </w:r>
      <w:r w:rsidR="00097684">
        <w:t xml:space="preserve">, </w:t>
      </w:r>
      <w:r w:rsidR="00097684">
        <w:rPr>
          <w:i/>
          <w:iCs/>
        </w:rPr>
        <w:t xml:space="preserve">supra </w:t>
      </w:r>
      <w:r w:rsidR="00097684">
        <w:t xml:space="preserve">note </w:t>
      </w:r>
      <w:r w:rsidR="001478DE">
        <w:fldChar w:fldCharType="begin"/>
      </w:r>
      <w:r w:rsidR="001478DE">
        <w:instrText xml:space="preserve"> NOTEREF _Ref186459843 \h </w:instrText>
      </w:r>
      <w:r w:rsidR="001478DE">
        <w:fldChar w:fldCharType="separate"/>
      </w:r>
      <w:r w:rsidR="00454C1B">
        <w:t>181</w:t>
      </w:r>
      <w:r w:rsidR="001478DE">
        <w:fldChar w:fldCharType="end"/>
      </w:r>
      <w:r w:rsidR="00097684">
        <w:t xml:space="preserve">, at </w:t>
      </w:r>
      <w:r w:rsidR="00686AEE">
        <w:t>29.</w:t>
      </w:r>
    </w:p>
  </w:footnote>
  <w:footnote w:id="191">
    <w:p w14:paraId="2DD08535" w14:textId="7BFE9B91" w:rsidR="0038711A" w:rsidRPr="0038711A" w:rsidRDefault="0038711A">
      <w:pPr>
        <w:pStyle w:val="FootnoteText"/>
      </w:pPr>
      <w:r>
        <w:rPr>
          <w:rStyle w:val="FootnoteReference"/>
        </w:rPr>
        <w:footnoteRef/>
      </w:r>
      <w:r>
        <w:t xml:space="preserve"> </w:t>
      </w:r>
      <w:r w:rsidRPr="00967D79">
        <w:rPr>
          <w:smallCaps/>
        </w:rPr>
        <w:t>Whalen &amp; Whalen</w:t>
      </w:r>
      <w:r>
        <w:t xml:space="preserve">, </w:t>
      </w:r>
      <w:r>
        <w:rPr>
          <w:i/>
          <w:iCs/>
        </w:rPr>
        <w:t>supra</w:t>
      </w:r>
      <w:r>
        <w:t xml:space="preserve"> note </w:t>
      </w:r>
      <w:r w:rsidR="00E4021B">
        <w:fldChar w:fldCharType="begin"/>
      </w:r>
      <w:r w:rsidR="00E4021B">
        <w:instrText xml:space="preserve"> NOTEREF _Ref186459684 \h </w:instrText>
      </w:r>
      <w:r w:rsidR="00E4021B">
        <w:fldChar w:fldCharType="separate"/>
      </w:r>
      <w:r w:rsidR="00454C1B">
        <w:t>180</w:t>
      </w:r>
      <w:r w:rsidR="00E4021B">
        <w:fldChar w:fldCharType="end"/>
      </w:r>
      <w:r w:rsidR="00FE6BA5">
        <w:t>, at 2</w:t>
      </w:r>
      <w:r w:rsidR="003626C1">
        <w:t>9</w:t>
      </w:r>
      <w:r w:rsidR="00FE6BA5">
        <w:t>-7</w:t>
      </w:r>
      <w:r w:rsidR="003626C1">
        <w:t>1</w:t>
      </w:r>
      <w:r w:rsidR="00FE6BA5">
        <w:t>, 14</w:t>
      </w:r>
      <w:r w:rsidR="003626C1">
        <w:t>9</w:t>
      </w:r>
      <w:r w:rsidR="00FE6BA5">
        <w:t>-</w:t>
      </w:r>
      <w:r w:rsidR="003626C1">
        <w:t>9</w:t>
      </w:r>
      <w:r w:rsidR="00FE6BA5">
        <w:t>4</w:t>
      </w:r>
      <w:r w:rsidR="003626C1">
        <w:t>.</w:t>
      </w:r>
    </w:p>
  </w:footnote>
  <w:footnote w:id="192">
    <w:p w14:paraId="6732826E" w14:textId="08E81802" w:rsidR="008C2578" w:rsidRDefault="008C2578" w:rsidP="008C2578">
      <w:pPr>
        <w:pStyle w:val="FootnoteText"/>
      </w:pPr>
      <w:r>
        <w:rPr>
          <w:rStyle w:val="FootnoteReference"/>
        </w:rPr>
        <w:footnoteRef/>
      </w:r>
      <w:r>
        <w:t xml:space="preserve"> </w:t>
      </w:r>
      <w:r w:rsidRPr="0004738D">
        <w:t>See</w:t>
      </w:r>
      <w:r>
        <w:rPr>
          <w:i/>
          <w:iCs/>
        </w:rPr>
        <w:t xml:space="preserve"> </w:t>
      </w:r>
      <w:r w:rsidR="0004738D">
        <w:t xml:space="preserve">id. </w:t>
      </w:r>
      <w:r w:rsidR="00D654ED">
        <w:t xml:space="preserve">at </w:t>
      </w:r>
      <w:r w:rsidRPr="00D654ED">
        <w:t>6</w:t>
      </w:r>
      <w:r>
        <w:t>-9; Gordon Allott to Ray Gibbons, Sept. 19, 1963. LCCR papers, Part I: Box 50; Frances Bolton to Mrs. Albert C. Eisenberg, Sept. 13, 1963, LCCR papers, Part I: Box 50; Robert Taft, Jr., to Ray Gibbons, Sept. 12, 1963, LCCR papers, Part I: Box 50; John B. Anderson to Ray Gibbons, Sept. 10, 1963, LCCR papers, Part I: Box 50.</w:t>
      </w:r>
    </w:p>
  </w:footnote>
  <w:footnote w:id="193">
    <w:p w14:paraId="2FA716D8" w14:textId="17EF80C7" w:rsidR="009F2A2B" w:rsidRPr="00DD5044" w:rsidRDefault="009F2A2B" w:rsidP="009F2A2B">
      <w:pPr>
        <w:pStyle w:val="FootnoteText"/>
      </w:pPr>
      <w:r>
        <w:rPr>
          <w:rStyle w:val="FootnoteReference"/>
        </w:rPr>
        <w:footnoteRef/>
      </w:r>
      <w:r>
        <w:t xml:space="preserve"> </w:t>
      </w:r>
      <w:r w:rsidRPr="00FB4B35">
        <w:rPr>
          <w:smallCaps/>
        </w:rPr>
        <w:t>Karol</w:t>
      </w:r>
      <w:r>
        <w:t xml:space="preserve">, </w:t>
      </w:r>
      <w:r>
        <w:rPr>
          <w:i/>
          <w:iCs/>
        </w:rPr>
        <w:t xml:space="preserve">supra </w:t>
      </w:r>
      <w:r>
        <w:t xml:space="preserve">note </w:t>
      </w:r>
      <w:r w:rsidR="00FC6A43">
        <w:fldChar w:fldCharType="begin"/>
      </w:r>
      <w:r w:rsidR="00FC6A43">
        <w:instrText xml:space="preserve"> NOTEREF _Ref185862447 \h </w:instrText>
      </w:r>
      <w:r w:rsidR="00FC6A43">
        <w:fldChar w:fldCharType="separate"/>
      </w:r>
      <w:r w:rsidR="00454C1B">
        <w:t>76</w:t>
      </w:r>
      <w:r w:rsidR="00FC6A43">
        <w:fldChar w:fldCharType="end"/>
      </w:r>
      <w:r>
        <w:t>, at 118.</w:t>
      </w:r>
    </w:p>
  </w:footnote>
  <w:footnote w:id="194">
    <w:p w14:paraId="397C0DB0" w14:textId="6A69B43F" w:rsidR="00FB4B35" w:rsidRDefault="00FB4B35">
      <w:pPr>
        <w:pStyle w:val="FootnoteText"/>
      </w:pPr>
      <w:r>
        <w:rPr>
          <w:rStyle w:val="FootnoteReference"/>
        </w:rPr>
        <w:footnoteRef/>
      </w:r>
      <w:r>
        <w:t xml:space="preserve"> Id.; see also </w:t>
      </w:r>
      <w:r w:rsidR="00022513" w:rsidRPr="00851860">
        <w:rPr>
          <w:smallCaps/>
        </w:rPr>
        <w:t>Carmines &amp; Stimson</w:t>
      </w:r>
      <w:r w:rsidR="00022513">
        <w:t xml:space="preserve">, </w:t>
      </w:r>
      <w:r w:rsidR="00022513">
        <w:rPr>
          <w:i/>
          <w:iCs/>
        </w:rPr>
        <w:t xml:space="preserve">supra </w:t>
      </w:r>
      <w:r w:rsidR="00022513">
        <w:t xml:space="preserve">note </w:t>
      </w:r>
      <w:r w:rsidR="00022513">
        <w:fldChar w:fldCharType="begin"/>
      </w:r>
      <w:r w:rsidR="00022513">
        <w:instrText xml:space="preserve"> NOTEREF _Ref186120323 \h </w:instrText>
      </w:r>
      <w:r w:rsidR="00022513">
        <w:fldChar w:fldCharType="separate"/>
      </w:r>
      <w:r w:rsidR="00454C1B">
        <w:t>77</w:t>
      </w:r>
      <w:r w:rsidR="00022513">
        <w:fldChar w:fldCharType="end"/>
      </w:r>
      <w:r w:rsidR="00022513">
        <w:t xml:space="preserve">, at </w:t>
      </w:r>
      <w:r w:rsidR="00625ED5">
        <w:t>70.</w:t>
      </w:r>
    </w:p>
  </w:footnote>
  <w:footnote w:id="195">
    <w:p w14:paraId="4A7AF5B2" w14:textId="28C031F6" w:rsidR="00A26E19" w:rsidRPr="00F16E7F" w:rsidRDefault="00A26E19">
      <w:pPr>
        <w:pStyle w:val="FootnoteText"/>
      </w:pPr>
      <w:r>
        <w:rPr>
          <w:rStyle w:val="FootnoteReference"/>
        </w:rPr>
        <w:footnoteRef/>
      </w:r>
      <w:r>
        <w:t xml:space="preserve"> </w:t>
      </w:r>
      <w:proofErr w:type="spellStart"/>
      <w:r w:rsidRPr="005E7D33">
        <w:rPr>
          <w:smallCaps/>
        </w:rPr>
        <w:t>Frymer</w:t>
      </w:r>
      <w:proofErr w:type="spellEnd"/>
      <w:r w:rsidR="00F16E7F">
        <w:t xml:space="preserve">, </w:t>
      </w:r>
      <w:r w:rsidR="00F16E7F">
        <w:rPr>
          <w:i/>
          <w:iCs/>
        </w:rPr>
        <w:t xml:space="preserve">supra </w:t>
      </w:r>
      <w:r w:rsidR="00F16E7F">
        <w:t xml:space="preserve">note </w:t>
      </w:r>
      <w:r w:rsidR="00641BEC">
        <w:fldChar w:fldCharType="begin"/>
      </w:r>
      <w:r w:rsidR="00641BEC">
        <w:instrText xml:space="preserve"> NOTEREF _Ref186106784 \h </w:instrText>
      </w:r>
      <w:r w:rsidR="00641BEC">
        <w:fldChar w:fldCharType="separate"/>
      </w:r>
      <w:r w:rsidR="00454C1B">
        <w:t>150</w:t>
      </w:r>
      <w:r w:rsidR="00641BEC">
        <w:fldChar w:fldCharType="end"/>
      </w:r>
      <w:r w:rsidR="00F16E7F">
        <w:t>, at 117-25.</w:t>
      </w:r>
    </w:p>
  </w:footnote>
  <w:footnote w:id="196">
    <w:p w14:paraId="33623E95" w14:textId="4DDAC883" w:rsidR="008D16AD" w:rsidRDefault="008D16AD">
      <w:pPr>
        <w:pStyle w:val="FootnoteText"/>
      </w:pPr>
      <w:r>
        <w:rPr>
          <w:rStyle w:val="FootnoteReference"/>
        </w:rPr>
        <w:footnoteRef/>
      </w:r>
      <w:r>
        <w:t xml:space="preserve"> </w:t>
      </w:r>
      <w:r w:rsidRPr="00851860">
        <w:rPr>
          <w:smallCaps/>
        </w:rPr>
        <w:t>Carmines &amp; Stimson</w:t>
      </w:r>
      <w:r>
        <w:t xml:space="preserve">, </w:t>
      </w:r>
      <w:r>
        <w:rPr>
          <w:i/>
          <w:iCs/>
        </w:rPr>
        <w:t xml:space="preserve">supra </w:t>
      </w:r>
      <w:r>
        <w:t xml:space="preserve">note </w:t>
      </w:r>
      <w:r>
        <w:fldChar w:fldCharType="begin"/>
      </w:r>
      <w:r>
        <w:instrText xml:space="preserve"> NOTEREF _Ref186120323 \h </w:instrText>
      </w:r>
      <w:r>
        <w:fldChar w:fldCharType="separate"/>
      </w:r>
      <w:r w:rsidR="00454C1B">
        <w:t>77</w:t>
      </w:r>
      <w:r>
        <w:fldChar w:fldCharType="end"/>
      </w:r>
      <w:r>
        <w:t xml:space="preserve">, at </w:t>
      </w:r>
      <w:r w:rsidR="00C107DB">
        <w:t>119</w:t>
      </w:r>
      <w:r w:rsidR="00617037">
        <w:t>, 128</w:t>
      </w:r>
      <w:r>
        <w:t>.</w:t>
      </w:r>
    </w:p>
  </w:footnote>
  <w:footnote w:id="197">
    <w:p w14:paraId="427970B7" w14:textId="7E4A7462" w:rsidR="00313E6C" w:rsidRDefault="00313E6C">
      <w:pPr>
        <w:pStyle w:val="FootnoteText"/>
      </w:pPr>
      <w:r>
        <w:rPr>
          <w:rStyle w:val="FootnoteReference"/>
        </w:rPr>
        <w:footnoteRef/>
      </w:r>
      <w:r>
        <w:t xml:space="preserve"> Note that the “minority supportive party” </w:t>
      </w:r>
      <w:r w:rsidR="006A6C30">
        <w:t xml:space="preserve">may be different for different minority groups. </w:t>
      </w:r>
      <w:r w:rsidR="008C625E">
        <w:t>One party may support the rights of Black people, the LGBT community, and immigrants, while the other supports conservative Christians, gun owners, and residents of rural areas.</w:t>
      </w:r>
      <w:r w:rsidR="00F97D90">
        <w:t xml:space="preserve"> </w:t>
      </w:r>
      <w:r w:rsidR="006556C3">
        <w:t xml:space="preserve">The model presented here suggests that the parties will polarize over particular rights questions, not rights generally. </w:t>
      </w:r>
    </w:p>
  </w:footnote>
  <w:footnote w:id="198">
    <w:p w14:paraId="360867F4" w14:textId="30D2CE11" w:rsidR="00500DB1" w:rsidRDefault="00500DB1">
      <w:pPr>
        <w:pStyle w:val="FootnoteText"/>
      </w:pPr>
      <w:r>
        <w:rPr>
          <w:rStyle w:val="FootnoteReference"/>
        </w:rPr>
        <w:footnoteRef/>
      </w:r>
      <w:r>
        <w:t xml:space="preserve"> </w:t>
      </w:r>
      <w:r w:rsidR="00EE5253">
        <w:t xml:space="preserve">As I have throughout, I ignore here important questions about the political resources available to the minority group in question. </w:t>
      </w:r>
      <w:r w:rsidR="0052722C">
        <w:t xml:space="preserve">Those have been much-discussed elsewhere. See. They raise questions about how much politicians will do to protect particular minority groups, but unless a group has nothing to offer ambitious politicians it should receive some degree of protection from the dynamic described here. I make no claim that </w:t>
      </w:r>
      <w:r w:rsidR="00183697">
        <w:t xml:space="preserve">the level of protection is normatively appropriate. However, proponents of various normative theories can use the descriptive account offered here to </w:t>
      </w:r>
      <w:r w:rsidR="006B287D">
        <w:t>evaluate such a claim.</w:t>
      </w:r>
    </w:p>
  </w:footnote>
  <w:footnote w:id="199">
    <w:p w14:paraId="40C161E4" w14:textId="2A105CCD" w:rsidR="00BB5AE0" w:rsidRDefault="00BB5AE0" w:rsidP="00BB5AE0">
      <w:pPr>
        <w:pStyle w:val="FootnoteText"/>
      </w:pPr>
      <w:r>
        <w:rPr>
          <w:rStyle w:val="FootnoteReference"/>
        </w:rPr>
        <w:footnoteRef/>
      </w:r>
      <w:r>
        <w:t xml:space="preserve"> </w:t>
      </w:r>
      <w:r w:rsidR="009124E6">
        <w:t>La</w:t>
      </w:r>
      <w:r w:rsidR="00602328">
        <w:t>W</w:t>
      </w:r>
      <w:r w:rsidR="009124E6">
        <w:t xml:space="preserve">anda </w:t>
      </w:r>
      <w:r>
        <w:t xml:space="preserve">Cox </w:t>
      </w:r>
      <w:r w:rsidR="00602328">
        <w:t xml:space="preserve">&amp; Joyn H. </w:t>
      </w:r>
      <w:r>
        <w:t xml:space="preserve">Cox, </w:t>
      </w:r>
      <w:r w:rsidRPr="0097475E">
        <w:rPr>
          <w:i/>
          <w:iCs/>
        </w:rPr>
        <w:t>Negro Suffrage</w:t>
      </w:r>
      <w:r w:rsidR="00602328" w:rsidRPr="0097475E">
        <w:rPr>
          <w:i/>
          <w:iCs/>
        </w:rPr>
        <w:t xml:space="preserve"> and Republican Politics: The Problem of Motivation in Reconstruction Historiography</w:t>
      </w:r>
      <w:r w:rsidR="00602328">
        <w:t xml:space="preserve">, </w:t>
      </w:r>
      <w:r w:rsidR="00FB3DA5">
        <w:t xml:space="preserve">33 </w:t>
      </w:r>
      <w:r w:rsidR="00FB3DA5" w:rsidRPr="008C170D">
        <w:rPr>
          <w:smallCaps/>
        </w:rPr>
        <w:t>J. So. Hist.</w:t>
      </w:r>
      <w:r w:rsidR="00FB3DA5">
        <w:t xml:space="preserve"> 3</w:t>
      </w:r>
      <w:r w:rsidR="009135A3">
        <w:t>03</w:t>
      </w:r>
      <w:r>
        <w:t>, 317</w:t>
      </w:r>
      <w:r w:rsidR="00FB3DA5">
        <w:t xml:space="preserve"> (1967)</w:t>
      </w:r>
      <w:r>
        <w:t xml:space="preserve"> </w:t>
      </w:r>
      <w:r w:rsidR="00FB3DA5">
        <w:t>(q</w:t>
      </w:r>
      <w:r>
        <w:t xml:space="preserve">uoted in </w:t>
      </w:r>
      <w:proofErr w:type="spellStart"/>
      <w:r w:rsidRPr="00FB3DA5">
        <w:rPr>
          <w:smallCaps/>
        </w:rPr>
        <w:t>Frymer</w:t>
      </w:r>
      <w:proofErr w:type="spellEnd"/>
      <w:r w:rsidR="00FB3DA5">
        <w:rPr>
          <w:smallCaps/>
        </w:rPr>
        <w:t xml:space="preserve">, </w:t>
      </w:r>
      <w:r w:rsidR="00FB3DA5" w:rsidRPr="00FB3DA5">
        <w:rPr>
          <w:i/>
          <w:iCs/>
        </w:rPr>
        <w:t>supra</w:t>
      </w:r>
      <w:r>
        <w:t xml:space="preserve"> </w:t>
      </w:r>
      <w:r w:rsidR="00FA6B80">
        <w:fldChar w:fldCharType="begin"/>
      </w:r>
      <w:r w:rsidR="00FA6B80">
        <w:instrText xml:space="preserve"> NOTEREF _Ref186106784 \h </w:instrText>
      </w:r>
      <w:r w:rsidR="00FA6B80">
        <w:fldChar w:fldCharType="separate"/>
      </w:r>
      <w:r w:rsidR="00454C1B">
        <w:t>150</w:t>
      </w:r>
      <w:r w:rsidR="00FA6B80">
        <w:fldChar w:fldCharType="end"/>
      </w:r>
      <w:r w:rsidR="00FA6B80">
        <w:t xml:space="preserve">, at </w:t>
      </w:r>
      <w:r>
        <w:t>72</w:t>
      </w:r>
      <w:r w:rsidR="006017D9">
        <w:t>)</w:t>
      </w:r>
      <w:r>
        <w:t>.</w:t>
      </w:r>
    </w:p>
  </w:footnote>
  <w:footnote w:id="200">
    <w:p w14:paraId="55D54D5B" w14:textId="2FCD5B34" w:rsidR="00BB5AE0" w:rsidRPr="0047235C" w:rsidRDefault="00BB5AE0" w:rsidP="00BB5AE0">
      <w:pPr>
        <w:pStyle w:val="FootnoteText"/>
      </w:pPr>
      <w:r>
        <w:rPr>
          <w:rStyle w:val="FootnoteReference"/>
        </w:rPr>
        <w:footnoteRef/>
      </w:r>
      <w:r>
        <w:t xml:space="preserve"> </w:t>
      </w:r>
      <w:r w:rsidR="005C279D" w:rsidRPr="005C279D">
        <w:t>Congressional Globe, Third Session, Fortieth Congress (January 28, 1869), 673</w:t>
      </w:r>
      <w:r>
        <w:t xml:space="preserve"> </w:t>
      </w:r>
      <w:r w:rsidR="00E04CDD">
        <w:t>(q</w:t>
      </w:r>
      <w:r>
        <w:t xml:space="preserve">uoted in </w:t>
      </w:r>
      <w:proofErr w:type="spellStart"/>
      <w:r w:rsidRPr="00E04CDD">
        <w:rPr>
          <w:smallCaps/>
        </w:rPr>
        <w:t>Frymer</w:t>
      </w:r>
      <w:proofErr w:type="spellEnd"/>
      <w:r>
        <w:t xml:space="preserve">, </w:t>
      </w:r>
      <w:r w:rsidR="00E04CDD">
        <w:rPr>
          <w:i/>
          <w:iCs/>
        </w:rPr>
        <w:t xml:space="preserve">supra </w:t>
      </w:r>
      <w:r w:rsidR="00E04CDD">
        <w:t xml:space="preserve">note </w:t>
      </w:r>
      <w:r w:rsidR="00E04CDD">
        <w:fldChar w:fldCharType="begin"/>
      </w:r>
      <w:r w:rsidR="00E04CDD">
        <w:instrText xml:space="preserve"> NOTEREF _Ref186106784 \h </w:instrText>
      </w:r>
      <w:r w:rsidR="00E04CDD">
        <w:fldChar w:fldCharType="separate"/>
      </w:r>
      <w:r w:rsidR="00454C1B">
        <w:t>150</w:t>
      </w:r>
      <w:r w:rsidR="00E04CDD">
        <w:fldChar w:fldCharType="end"/>
      </w:r>
      <w:r w:rsidR="00E04CDD">
        <w:t xml:space="preserve">, at </w:t>
      </w:r>
      <w:r>
        <w:t>72</w:t>
      </w:r>
      <w:r w:rsidR="00E04CDD">
        <w:t>)</w:t>
      </w:r>
      <w:r>
        <w:t>.</w:t>
      </w:r>
      <w:r w:rsidR="004B7E0C">
        <w:t xml:space="preserve"> </w:t>
      </w:r>
    </w:p>
  </w:footnote>
  <w:footnote w:id="201">
    <w:p w14:paraId="7D37B98C" w14:textId="07BD0907" w:rsidR="008C1ED7" w:rsidRPr="00B21D94" w:rsidRDefault="008C1ED7">
      <w:pPr>
        <w:pStyle w:val="FootnoteText"/>
        <w:rPr>
          <w:b/>
          <w:bCs/>
        </w:rPr>
      </w:pPr>
      <w:r>
        <w:rPr>
          <w:rStyle w:val="FootnoteReference"/>
        </w:rPr>
        <w:footnoteRef/>
      </w:r>
      <w:r>
        <w:t xml:space="preserve"> </w:t>
      </w:r>
      <w:proofErr w:type="spellStart"/>
      <w:r w:rsidR="00BA78F4" w:rsidRPr="00E04CDD">
        <w:rPr>
          <w:smallCaps/>
        </w:rPr>
        <w:t>Frymer</w:t>
      </w:r>
      <w:proofErr w:type="spellEnd"/>
      <w:r w:rsidR="00BA78F4">
        <w:t xml:space="preserve">, </w:t>
      </w:r>
      <w:r w:rsidR="00BA78F4">
        <w:rPr>
          <w:i/>
          <w:iCs/>
        </w:rPr>
        <w:t xml:space="preserve">supra </w:t>
      </w:r>
      <w:r w:rsidR="00BA78F4">
        <w:t xml:space="preserve">note </w:t>
      </w:r>
      <w:r w:rsidR="00BA78F4">
        <w:fldChar w:fldCharType="begin"/>
      </w:r>
      <w:r w:rsidR="00BA78F4">
        <w:instrText xml:space="preserve"> NOTEREF _Ref186106784 \h </w:instrText>
      </w:r>
      <w:r w:rsidR="00BA78F4">
        <w:fldChar w:fldCharType="separate"/>
      </w:r>
      <w:r w:rsidR="00454C1B">
        <w:t>150</w:t>
      </w:r>
      <w:r w:rsidR="00BA78F4">
        <w:fldChar w:fldCharType="end"/>
      </w:r>
      <w:r w:rsidR="00BA78F4">
        <w:t>, at 109.</w:t>
      </w:r>
      <w:r w:rsidR="00B21D94">
        <w:t xml:space="preserve"> Evidence from the 1964 elections suggests Robert Kennedy may have been too pessimistic. </w:t>
      </w:r>
      <w:r w:rsidR="00B21D94">
        <w:rPr>
          <w:i/>
          <w:iCs/>
        </w:rPr>
        <w:t>See id.</w:t>
      </w:r>
      <w:r w:rsidR="00B21D94">
        <w:t xml:space="preserve"> at 110.</w:t>
      </w:r>
    </w:p>
  </w:footnote>
  <w:footnote w:id="202">
    <w:p w14:paraId="2CE4A0ED" w14:textId="14354BAC" w:rsidR="00146C40" w:rsidRDefault="00146C40">
      <w:pPr>
        <w:pStyle w:val="FootnoteText"/>
      </w:pPr>
      <w:r>
        <w:rPr>
          <w:rStyle w:val="FootnoteReference"/>
        </w:rPr>
        <w:footnoteRef/>
      </w:r>
      <w:r>
        <w:t xml:space="preserve"> </w:t>
      </w:r>
      <w:r w:rsidR="00581242">
        <w:t xml:space="preserve">Id. at </w:t>
      </w:r>
      <w:r w:rsidR="008D3A9E">
        <w:t>123-30.</w:t>
      </w:r>
    </w:p>
  </w:footnote>
  <w:footnote w:id="203">
    <w:p w14:paraId="6D7A3F93" w14:textId="54EAD37C" w:rsidR="002175F9" w:rsidRPr="00D169EC" w:rsidRDefault="002175F9">
      <w:pPr>
        <w:pStyle w:val="FootnoteText"/>
      </w:pPr>
      <w:r>
        <w:rPr>
          <w:rStyle w:val="FootnoteReference"/>
        </w:rPr>
        <w:footnoteRef/>
      </w:r>
      <w:r>
        <w:t xml:space="preserve"> </w:t>
      </w:r>
      <w:r w:rsidR="00B64F71">
        <w:t xml:space="preserve">Proctor, </w:t>
      </w:r>
      <w:r w:rsidR="00B64F71">
        <w:rPr>
          <w:i/>
          <w:iCs/>
        </w:rPr>
        <w:t xml:space="preserve">supra </w:t>
      </w:r>
      <w:r w:rsidR="00B64F71" w:rsidRPr="00530821">
        <w:t>note</w:t>
      </w:r>
      <w:r w:rsidR="00B64F71">
        <w:t xml:space="preserve"> </w:t>
      </w:r>
      <w:r w:rsidR="00B64F71">
        <w:fldChar w:fldCharType="begin"/>
      </w:r>
      <w:r w:rsidR="00B64F71">
        <w:instrText xml:space="preserve"> NOTEREF _Ref186119832 \h </w:instrText>
      </w:r>
      <w:r w:rsidR="00B64F71">
        <w:fldChar w:fldCharType="separate"/>
      </w:r>
      <w:r w:rsidR="00454C1B">
        <w:t>168</w:t>
      </w:r>
      <w:r w:rsidR="00B64F71">
        <w:fldChar w:fldCharType="end"/>
      </w:r>
      <w:r w:rsidR="00B64F71">
        <w:t>, at 786-87.</w:t>
      </w:r>
    </w:p>
  </w:footnote>
  <w:footnote w:id="204">
    <w:p w14:paraId="637325B8" w14:textId="1A2253F6" w:rsidR="00124283" w:rsidRDefault="00124283">
      <w:pPr>
        <w:pStyle w:val="FootnoteText"/>
      </w:pPr>
      <w:r>
        <w:rPr>
          <w:rStyle w:val="FootnoteReference"/>
        </w:rPr>
        <w:footnoteRef/>
      </w:r>
      <w:r>
        <w:t xml:space="preserve"> </w:t>
      </w:r>
      <w:proofErr w:type="spellStart"/>
      <w:r w:rsidR="00B93D38" w:rsidRPr="00E04CDD">
        <w:rPr>
          <w:smallCaps/>
        </w:rPr>
        <w:t>Frymer</w:t>
      </w:r>
      <w:proofErr w:type="spellEnd"/>
      <w:r w:rsidR="00B93D38">
        <w:t xml:space="preserve">, </w:t>
      </w:r>
      <w:r w:rsidR="00B93D38">
        <w:rPr>
          <w:i/>
          <w:iCs/>
        </w:rPr>
        <w:t xml:space="preserve">supra </w:t>
      </w:r>
      <w:r w:rsidR="00B93D38">
        <w:t xml:space="preserve">note </w:t>
      </w:r>
      <w:r w:rsidR="00B93D38">
        <w:fldChar w:fldCharType="begin"/>
      </w:r>
      <w:r w:rsidR="00B93D38">
        <w:instrText xml:space="preserve"> NOTEREF _Ref186106784 \h </w:instrText>
      </w:r>
      <w:r w:rsidR="00B93D38">
        <w:fldChar w:fldCharType="separate"/>
      </w:r>
      <w:r w:rsidR="00454C1B">
        <w:t>150</w:t>
      </w:r>
      <w:r w:rsidR="00B93D38">
        <w:fldChar w:fldCharType="end"/>
      </w:r>
      <w:r w:rsidR="00B93D38">
        <w:t xml:space="preserve">, at </w:t>
      </w:r>
      <w:r w:rsidR="00023B69">
        <w:t>198-205</w:t>
      </w:r>
      <w:r>
        <w:t>.</w:t>
      </w:r>
    </w:p>
  </w:footnote>
  <w:footnote w:id="205">
    <w:p w14:paraId="4BABD5B5" w14:textId="029884D3" w:rsidR="008557A4" w:rsidRDefault="008557A4">
      <w:pPr>
        <w:pStyle w:val="FootnoteText"/>
      </w:pPr>
      <w:r>
        <w:rPr>
          <w:rStyle w:val="FootnoteReference"/>
        </w:rPr>
        <w:footnoteRef/>
      </w:r>
      <w:r>
        <w:t xml:space="preserve"> In a widely influential argument, </w:t>
      </w:r>
      <w:r w:rsidR="00001E4C">
        <w:t>Matt Grossman</w:t>
      </w:r>
      <w:r>
        <w:t xml:space="preserve"> and </w:t>
      </w:r>
      <w:r w:rsidR="00001E4C">
        <w:t xml:space="preserve">David A. Hopkins </w:t>
      </w:r>
      <w:r>
        <w:t xml:space="preserve">have argued that the Democratic and </w:t>
      </w:r>
      <w:r w:rsidR="001C1B66">
        <w:t>Republican parties are fundamentally different, in that Republicans are a party</w:t>
      </w:r>
      <w:r w:rsidR="00BA70F5">
        <w:t xml:space="preserve"> </w:t>
      </w:r>
      <w:r w:rsidR="001C1B66">
        <w:t>unified by an ideology, while Democrats are a coalition of interest groups.</w:t>
      </w:r>
      <w:r w:rsidR="00E90C9C">
        <w:t xml:space="preserve"> See generally </w:t>
      </w:r>
      <w:r w:rsidR="00E90C9C">
        <w:rPr>
          <w:smallCaps/>
        </w:rPr>
        <w:t>Asymmetric Politics: Ideological Republicans and Group Interest Democrats (2016).</w:t>
      </w:r>
      <w:r w:rsidR="001C1B66">
        <w:t xml:space="preserve"> </w:t>
      </w:r>
      <w:r w:rsidR="00BA70F5">
        <w:t xml:space="preserve">While this may be true on some level, Republicans have clearly sought to unite </w:t>
      </w:r>
      <w:r w:rsidR="00655769">
        <w:t xml:space="preserve">groups that could plausibly have seen themselves as having distinct interests, for example downscale social conservatives and allies of big business. </w:t>
      </w:r>
      <w:r w:rsidR="002D5692">
        <w:t xml:space="preserve">Whether or not this makes them a coalition of interest groups, as opposed to an ideologically united party, is outside the scope of this paper. </w:t>
      </w:r>
      <w:r w:rsidR="00713CF0">
        <w:t xml:space="preserve">What is important is that Republicans, like Democrats, have to decide what they stand for with an eye to who their professed ideals will </w:t>
      </w:r>
      <w:r w:rsidR="0040759D">
        <w:t>bring into, and exclude from, their party coalition.</w:t>
      </w:r>
    </w:p>
  </w:footnote>
  <w:footnote w:id="206">
    <w:p w14:paraId="62C9C05D" w14:textId="25353830" w:rsidR="00237661" w:rsidRDefault="00237661">
      <w:pPr>
        <w:pStyle w:val="FootnoteText"/>
      </w:pPr>
      <w:r>
        <w:rPr>
          <w:rStyle w:val="FootnoteReference"/>
        </w:rPr>
        <w:footnoteRef/>
      </w:r>
      <w:r>
        <w:t xml:space="preserve"> </w:t>
      </w:r>
      <w:proofErr w:type="spellStart"/>
      <w:r w:rsidR="00CA2F35" w:rsidRPr="00E04CDD">
        <w:rPr>
          <w:smallCaps/>
        </w:rPr>
        <w:t>Frymer</w:t>
      </w:r>
      <w:proofErr w:type="spellEnd"/>
      <w:r w:rsidR="00CA2F35">
        <w:t xml:space="preserve">, </w:t>
      </w:r>
      <w:r w:rsidR="00CA2F35">
        <w:rPr>
          <w:i/>
          <w:iCs/>
        </w:rPr>
        <w:t xml:space="preserve">supra </w:t>
      </w:r>
      <w:r w:rsidR="00CA2F35">
        <w:t xml:space="preserve">note </w:t>
      </w:r>
      <w:r w:rsidR="00CA2F35">
        <w:fldChar w:fldCharType="begin"/>
      </w:r>
      <w:r w:rsidR="00CA2F35">
        <w:instrText xml:space="preserve"> NOTEREF _Ref186106784 \h </w:instrText>
      </w:r>
      <w:r w:rsidR="00CA2F35">
        <w:fldChar w:fldCharType="separate"/>
      </w:r>
      <w:r w:rsidR="00454C1B">
        <w:t>150</w:t>
      </w:r>
      <w:r w:rsidR="00CA2F35">
        <w:fldChar w:fldCharType="end"/>
      </w:r>
      <w:r w:rsidR="00CA2F35">
        <w:t>, at 40-62</w:t>
      </w:r>
      <w:r>
        <w:t>.</w:t>
      </w:r>
    </w:p>
  </w:footnote>
  <w:footnote w:id="207">
    <w:p w14:paraId="3F98BE26" w14:textId="323402B6" w:rsidR="00EB69E1" w:rsidRDefault="00EB69E1">
      <w:pPr>
        <w:pStyle w:val="FootnoteText"/>
      </w:pPr>
      <w:r>
        <w:rPr>
          <w:rStyle w:val="FootnoteReference"/>
        </w:rPr>
        <w:footnoteRef/>
      </w:r>
      <w:r>
        <w:t xml:space="preserve"> </w:t>
      </w:r>
      <w:proofErr w:type="spellStart"/>
      <w:r w:rsidRPr="00476B95">
        <w:rPr>
          <w:smallCaps/>
        </w:rPr>
        <w:t>Skrentny</w:t>
      </w:r>
      <w:proofErr w:type="spellEnd"/>
      <w:r w:rsidR="00476B95" w:rsidRPr="00476B95">
        <w:rPr>
          <w:smallCaps/>
        </w:rPr>
        <w:t xml:space="preserve">, </w:t>
      </w:r>
      <w:r w:rsidR="00AF492E">
        <w:rPr>
          <w:i/>
          <w:iCs/>
        </w:rPr>
        <w:t xml:space="preserve">supra </w:t>
      </w:r>
      <w:r w:rsidR="00AF492E">
        <w:t xml:space="preserve">note </w:t>
      </w:r>
      <w:r w:rsidR="00AF492E">
        <w:fldChar w:fldCharType="begin"/>
      </w:r>
      <w:r w:rsidR="00AF492E">
        <w:instrText xml:space="preserve"> NOTEREF _Ref186378147 \h </w:instrText>
      </w:r>
      <w:r w:rsidR="00AF492E">
        <w:fldChar w:fldCharType="separate"/>
      </w:r>
      <w:r w:rsidR="00454C1B">
        <w:t>161</w:t>
      </w:r>
      <w:r w:rsidR="00AF492E">
        <w:fldChar w:fldCharType="end"/>
      </w:r>
      <w:r w:rsidR="00AF492E">
        <w:t xml:space="preserve">, at </w:t>
      </w:r>
      <w:r w:rsidR="00B30C06">
        <w:t>143-164</w:t>
      </w:r>
      <w:r w:rsidR="00476B95">
        <w:t>.</w:t>
      </w:r>
    </w:p>
  </w:footnote>
  <w:footnote w:id="208">
    <w:p w14:paraId="28FDC4B1" w14:textId="389AC11D" w:rsidR="00EB69E1" w:rsidRDefault="00EB69E1">
      <w:pPr>
        <w:pStyle w:val="FootnoteText"/>
      </w:pPr>
      <w:r>
        <w:rPr>
          <w:rStyle w:val="FootnoteReference"/>
        </w:rPr>
        <w:footnoteRef/>
      </w:r>
      <w:r>
        <w:t xml:space="preserve"> </w:t>
      </w:r>
      <w:proofErr w:type="spellStart"/>
      <w:r w:rsidR="004134C3" w:rsidRPr="00E04CDD">
        <w:rPr>
          <w:smallCaps/>
        </w:rPr>
        <w:t>Frymer</w:t>
      </w:r>
      <w:proofErr w:type="spellEnd"/>
      <w:r w:rsidR="004134C3">
        <w:t xml:space="preserve">, </w:t>
      </w:r>
      <w:r w:rsidR="004134C3">
        <w:rPr>
          <w:i/>
          <w:iCs/>
        </w:rPr>
        <w:t xml:space="preserve">supra </w:t>
      </w:r>
      <w:r w:rsidR="004134C3">
        <w:t xml:space="preserve">note </w:t>
      </w:r>
      <w:r w:rsidR="004134C3">
        <w:fldChar w:fldCharType="begin"/>
      </w:r>
      <w:r w:rsidR="004134C3">
        <w:instrText xml:space="preserve"> NOTEREF _Ref186106784 \h </w:instrText>
      </w:r>
      <w:r w:rsidR="004134C3">
        <w:fldChar w:fldCharType="separate"/>
      </w:r>
      <w:r w:rsidR="00454C1B">
        <w:t>150</w:t>
      </w:r>
      <w:r w:rsidR="004134C3">
        <w:fldChar w:fldCharType="end"/>
      </w:r>
      <w:r w:rsidR="004134C3">
        <w:t>, at 205-08.</w:t>
      </w:r>
    </w:p>
  </w:footnote>
  <w:footnote w:id="209">
    <w:p w14:paraId="6D1A5EF9" w14:textId="4E2AE18F" w:rsidR="002F3A48" w:rsidRDefault="002F3A48">
      <w:pPr>
        <w:pStyle w:val="FootnoteText"/>
      </w:pPr>
      <w:r>
        <w:rPr>
          <w:rStyle w:val="FootnoteReference"/>
        </w:rPr>
        <w:footnoteRef/>
      </w:r>
      <w:r>
        <w:t xml:space="preserve"> </w:t>
      </w:r>
      <w:r w:rsidR="00346307">
        <w:t>See</w:t>
      </w:r>
      <w:r w:rsidR="005A246C">
        <w:t>, e.g.,</w:t>
      </w:r>
      <w:r w:rsidR="00346307">
        <w:t xml:space="preserve"> </w:t>
      </w:r>
      <w:r w:rsidR="00346307" w:rsidRPr="00DF53A5">
        <w:rPr>
          <w:smallCaps/>
        </w:rPr>
        <w:t xml:space="preserve">Duane </w:t>
      </w:r>
      <w:proofErr w:type="spellStart"/>
      <w:r w:rsidR="00346307" w:rsidRPr="00DF53A5">
        <w:rPr>
          <w:smallCaps/>
        </w:rPr>
        <w:t>Tananbaum</w:t>
      </w:r>
      <w:proofErr w:type="spellEnd"/>
      <w:r w:rsidR="00346307" w:rsidRPr="00DF53A5">
        <w:rPr>
          <w:smallCaps/>
        </w:rPr>
        <w:t>, The Bricker Amendment Controversy: A Test of Eisenhower’s Political Leadership</w:t>
      </w:r>
      <w:r w:rsidR="00346307">
        <w:t xml:space="preserve"> (</w:t>
      </w:r>
      <w:r w:rsidR="00DF53A5">
        <w:t>1988)</w:t>
      </w:r>
      <w:r w:rsidR="00371674">
        <w:t xml:space="preserve">. </w:t>
      </w:r>
    </w:p>
  </w:footnote>
  <w:footnote w:id="210">
    <w:p w14:paraId="65C3CD77" w14:textId="2B720DD4" w:rsidR="00684E52" w:rsidRDefault="00684E52">
      <w:pPr>
        <w:pStyle w:val="FootnoteText"/>
      </w:pPr>
      <w:r>
        <w:rPr>
          <w:rStyle w:val="FootnoteReference"/>
        </w:rPr>
        <w:footnoteRef/>
      </w:r>
      <w:r>
        <w:t xml:space="preserve"> </w:t>
      </w:r>
      <w:proofErr w:type="spellStart"/>
      <w:r w:rsidR="00903979" w:rsidRPr="00E04CDD">
        <w:rPr>
          <w:smallCaps/>
        </w:rPr>
        <w:t>Frymer</w:t>
      </w:r>
      <w:proofErr w:type="spellEnd"/>
      <w:r w:rsidR="00903979">
        <w:t xml:space="preserve">, </w:t>
      </w:r>
      <w:r w:rsidR="00903979">
        <w:rPr>
          <w:i/>
          <w:iCs/>
        </w:rPr>
        <w:t xml:space="preserve">supra </w:t>
      </w:r>
      <w:r w:rsidR="00903979">
        <w:t xml:space="preserve">note </w:t>
      </w:r>
      <w:r w:rsidR="00903979">
        <w:fldChar w:fldCharType="begin"/>
      </w:r>
      <w:r w:rsidR="00903979">
        <w:instrText xml:space="preserve"> NOTEREF _Ref186106784 \h </w:instrText>
      </w:r>
      <w:r w:rsidR="00903979">
        <w:fldChar w:fldCharType="separate"/>
      </w:r>
      <w:r w:rsidR="00454C1B">
        <w:t>150</w:t>
      </w:r>
      <w:r w:rsidR="00903979">
        <w:fldChar w:fldCharType="end"/>
      </w:r>
      <w:r w:rsidR="00903979">
        <w:t>, at 40-62.</w:t>
      </w:r>
    </w:p>
  </w:footnote>
  <w:footnote w:id="211">
    <w:p w14:paraId="453FA150" w14:textId="59FFCF8A" w:rsidR="00684E52" w:rsidRDefault="00684E52">
      <w:pPr>
        <w:pStyle w:val="FootnoteText"/>
      </w:pPr>
      <w:r>
        <w:rPr>
          <w:rStyle w:val="FootnoteReference"/>
        </w:rPr>
        <w:footnoteRef/>
      </w:r>
      <w:r w:rsidR="00F662F5">
        <w:t xml:space="preserve"> </w:t>
      </w:r>
      <w:r w:rsidR="00F662F5" w:rsidRPr="00F662F5">
        <w:rPr>
          <w:smallCaps/>
        </w:rPr>
        <w:t>Eric Foner, Reconstruction: America’s Unfinished Revolution</w:t>
      </w:r>
      <w:r w:rsidR="00F662F5">
        <w:t>, 1863-1877, 564-602 (2011).</w:t>
      </w:r>
    </w:p>
  </w:footnote>
  <w:footnote w:id="212">
    <w:p w14:paraId="340C2B97" w14:textId="4BFED221" w:rsidR="00BC6154" w:rsidRDefault="00BC6154">
      <w:pPr>
        <w:pStyle w:val="FootnoteText"/>
      </w:pPr>
      <w:r>
        <w:rPr>
          <w:rStyle w:val="FootnoteReference"/>
        </w:rPr>
        <w:footnoteRef/>
      </w:r>
      <w:r>
        <w:t xml:space="preserve"> </w:t>
      </w:r>
      <w:r w:rsidR="009B52E8">
        <w:t xml:space="preserve">Vesla Weaver, </w:t>
      </w:r>
      <w:r w:rsidR="009B52E8" w:rsidRPr="00C91304">
        <w:rPr>
          <w:i/>
          <w:iCs/>
        </w:rPr>
        <w:t>Fr</w:t>
      </w:r>
      <w:r w:rsidR="00E06A52" w:rsidRPr="00C91304">
        <w:rPr>
          <w:i/>
          <w:iCs/>
        </w:rPr>
        <w:t>ontlash: Race and the Development of Punitive Crime Policy</w:t>
      </w:r>
      <w:r w:rsidR="00E06A52">
        <w:t xml:space="preserve">, </w:t>
      </w:r>
      <w:r w:rsidR="000B441C">
        <w:t xml:space="preserve">21 </w:t>
      </w:r>
      <w:r w:rsidR="000B441C" w:rsidRPr="00C6312C">
        <w:rPr>
          <w:smallCaps/>
        </w:rPr>
        <w:t>Stud. Am. Pol. Dev.</w:t>
      </w:r>
      <w:r w:rsidR="000B441C">
        <w:t xml:space="preserve"> 230</w:t>
      </w:r>
      <w:r w:rsidR="009B52E8">
        <w:t>, 251-59</w:t>
      </w:r>
      <w:r w:rsidR="000B441C">
        <w:t xml:space="preserve"> (2007)</w:t>
      </w:r>
      <w:r>
        <w:t>.</w:t>
      </w:r>
    </w:p>
  </w:footnote>
  <w:footnote w:id="213">
    <w:p w14:paraId="090B019A" w14:textId="1BC00C75" w:rsidR="00706959" w:rsidRDefault="00706959">
      <w:pPr>
        <w:pStyle w:val="FootnoteText"/>
      </w:pPr>
      <w:r>
        <w:rPr>
          <w:rStyle w:val="FootnoteReference"/>
        </w:rPr>
        <w:footnoteRef/>
      </w:r>
      <w:r>
        <w:t xml:space="preserve"> </w:t>
      </w:r>
      <w:r w:rsidR="00C6312C">
        <w:t xml:space="preserve">Proctor, </w:t>
      </w:r>
      <w:r w:rsidR="00C6312C">
        <w:rPr>
          <w:i/>
          <w:iCs/>
        </w:rPr>
        <w:t xml:space="preserve">supra </w:t>
      </w:r>
      <w:r w:rsidR="00C6312C" w:rsidRPr="00530821">
        <w:t>note</w:t>
      </w:r>
      <w:r w:rsidR="00C6312C">
        <w:t xml:space="preserve"> </w:t>
      </w:r>
      <w:r w:rsidR="00C6312C">
        <w:fldChar w:fldCharType="begin"/>
      </w:r>
      <w:r w:rsidR="00C6312C">
        <w:instrText xml:space="preserve"> NOTEREF _Ref186119832 \h </w:instrText>
      </w:r>
      <w:r w:rsidR="00C6312C">
        <w:fldChar w:fldCharType="separate"/>
      </w:r>
      <w:r w:rsidR="00454C1B">
        <w:t>168</w:t>
      </w:r>
      <w:r w:rsidR="00C6312C">
        <w:fldChar w:fldCharType="end"/>
      </w:r>
      <w:r w:rsidR="00C6312C">
        <w:t>, at 786-87.</w:t>
      </w:r>
    </w:p>
  </w:footnote>
  <w:footnote w:id="214">
    <w:p w14:paraId="7F241807" w14:textId="7D359492" w:rsidR="00CB32BC" w:rsidRPr="00B3721F" w:rsidRDefault="00CB32BC">
      <w:pPr>
        <w:pStyle w:val="FootnoteText"/>
      </w:pPr>
      <w:r>
        <w:rPr>
          <w:rStyle w:val="FootnoteReference"/>
        </w:rPr>
        <w:footnoteRef/>
      </w:r>
      <w:r>
        <w:t xml:space="preserve"> </w:t>
      </w:r>
      <w:proofErr w:type="spellStart"/>
      <w:r w:rsidR="00B3721F" w:rsidRPr="00E04CDD">
        <w:rPr>
          <w:smallCaps/>
        </w:rPr>
        <w:t>Frymer</w:t>
      </w:r>
      <w:proofErr w:type="spellEnd"/>
      <w:r w:rsidR="00B3721F">
        <w:t xml:space="preserve">, </w:t>
      </w:r>
      <w:r w:rsidR="00B3721F">
        <w:rPr>
          <w:i/>
          <w:iCs/>
        </w:rPr>
        <w:t xml:space="preserve">supra </w:t>
      </w:r>
      <w:r w:rsidR="00B3721F">
        <w:t xml:space="preserve">note </w:t>
      </w:r>
      <w:r w:rsidR="00B3721F">
        <w:fldChar w:fldCharType="begin"/>
      </w:r>
      <w:r w:rsidR="00B3721F">
        <w:instrText xml:space="preserve"> NOTEREF _Ref186106784 \h </w:instrText>
      </w:r>
      <w:r w:rsidR="00B3721F">
        <w:fldChar w:fldCharType="separate"/>
      </w:r>
      <w:r w:rsidR="00454C1B">
        <w:t>150</w:t>
      </w:r>
      <w:r w:rsidR="00B3721F">
        <w:fldChar w:fldCharType="end"/>
      </w:r>
      <w:r w:rsidR="00B3721F">
        <w:t xml:space="preserve">, at </w:t>
      </w:r>
      <w:r w:rsidR="00831129">
        <w:t>18</w:t>
      </w:r>
      <w:r w:rsidR="00B3721F">
        <w:t>.</w:t>
      </w:r>
    </w:p>
  </w:footnote>
  <w:footnote w:id="215">
    <w:p w14:paraId="73E2598D" w14:textId="64769565" w:rsidR="00743B7E" w:rsidRDefault="00743B7E">
      <w:pPr>
        <w:pStyle w:val="FootnoteText"/>
      </w:pPr>
      <w:r>
        <w:rPr>
          <w:rStyle w:val="FootnoteReference"/>
        </w:rPr>
        <w:footnoteRef/>
      </w:r>
      <w:r>
        <w:t xml:space="preserve"> </w:t>
      </w:r>
      <w:r w:rsidR="00A70158">
        <w:t>Id. at 62-100.</w:t>
      </w:r>
    </w:p>
  </w:footnote>
  <w:footnote w:id="216">
    <w:p w14:paraId="356DA975" w14:textId="0CF274E3" w:rsidR="00A70158" w:rsidRDefault="00A70158">
      <w:pPr>
        <w:pStyle w:val="FootnoteText"/>
      </w:pPr>
      <w:r>
        <w:rPr>
          <w:rStyle w:val="FootnoteReference"/>
        </w:rPr>
        <w:footnoteRef/>
      </w:r>
      <w:r>
        <w:t xml:space="preserve"> </w:t>
      </w:r>
      <w:r w:rsidR="005F2348">
        <w:t xml:space="preserve">See generally </w:t>
      </w:r>
      <w:r w:rsidR="002158AB" w:rsidRPr="002158AB">
        <w:rPr>
          <w:smallCaps/>
        </w:rPr>
        <w:t>Ira Katznelson,</w:t>
      </w:r>
      <w:r w:rsidRPr="002158AB">
        <w:rPr>
          <w:smallCaps/>
        </w:rPr>
        <w:t xml:space="preserve"> </w:t>
      </w:r>
      <w:r w:rsidR="002158AB" w:rsidRPr="002158AB">
        <w:rPr>
          <w:smallCaps/>
        </w:rPr>
        <w:t>When Affirmative Action Was White: An Untold History of Racial Inequality in Twentieth-Century America</w:t>
      </w:r>
      <w:r w:rsidR="002158AB">
        <w:t xml:space="preserve"> (2006).</w:t>
      </w:r>
    </w:p>
  </w:footnote>
  <w:footnote w:id="217">
    <w:p w14:paraId="306808C7" w14:textId="6BF05F1D" w:rsidR="00250C00" w:rsidRDefault="00250C00">
      <w:pPr>
        <w:pStyle w:val="FootnoteText"/>
      </w:pPr>
      <w:r>
        <w:rPr>
          <w:rStyle w:val="FootnoteReference"/>
        </w:rPr>
        <w:footnoteRef/>
      </w:r>
      <w:r>
        <w:t xml:space="preserve"> </w:t>
      </w:r>
      <w:r w:rsidR="005731B6">
        <w:t xml:space="preserve">Proctor, </w:t>
      </w:r>
      <w:r w:rsidR="005731B6">
        <w:rPr>
          <w:i/>
          <w:iCs/>
        </w:rPr>
        <w:t xml:space="preserve">supra </w:t>
      </w:r>
      <w:r w:rsidR="005731B6" w:rsidRPr="00530821">
        <w:t>note</w:t>
      </w:r>
      <w:r w:rsidR="005731B6">
        <w:t xml:space="preserve"> </w:t>
      </w:r>
      <w:r w:rsidR="005731B6">
        <w:fldChar w:fldCharType="begin"/>
      </w:r>
      <w:r w:rsidR="005731B6">
        <w:instrText xml:space="preserve"> NOTEREF _Ref186119832 \h </w:instrText>
      </w:r>
      <w:r w:rsidR="005731B6">
        <w:fldChar w:fldCharType="separate"/>
      </w:r>
      <w:r w:rsidR="00454C1B">
        <w:t>168</w:t>
      </w:r>
      <w:r w:rsidR="005731B6">
        <w:fldChar w:fldCharType="end"/>
      </w:r>
      <w:r w:rsidR="005731B6">
        <w:t>, at 785-86.</w:t>
      </w:r>
    </w:p>
  </w:footnote>
  <w:footnote w:id="218">
    <w:p w14:paraId="2E005C3A" w14:textId="59B54AD7" w:rsidR="00BE7E46" w:rsidRPr="00BE7E46" w:rsidRDefault="00BE7E46">
      <w:pPr>
        <w:pStyle w:val="FootnoteText"/>
      </w:pPr>
      <w:r>
        <w:rPr>
          <w:rStyle w:val="FootnoteReference"/>
        </w:rPr>
        <w:footnoteRef/>
      </w:r>
      <w:r>
        <w:t xml:space="preserve"> The Editors, </w:t>
      </w:r>
      <w:r>
        <w:rPr>
          <w:i/>
          <w:iCs/>
        </w:rPr>
        <w:t>The Future of the Democratic Party</w:t>
      </w:r>
      <w:r>
        <w:t xml:space="preserve">, </w:t>
      </w:r>
      <w:r w:rsidRPr="00134E1E">
        <w:rPr>
          <w:smallCaps/>
        </w:rPr>
        <w:t>The Atlantic</w:t>
      </w:r>
      <w:r>
        <w:t xml:space="preserve"> (</w:t>
      </w:r>
      <w:r w:rsidR="00134E1E">
        <w:t>Dec. 28, 2024).</w:t>
      </w:r>
    </w:p>
  </w:footnote>
  <w:footnote w:id="219">
    <w:p w14:paraId="29CCC373" w14:textId="40B7DC92" w:rsidR="00E33131" w:rsidRDefault="00E33131">
      <w:pPr>
        <w:pStyle w:val="FootnoteText"/>
      </w:pPr>
      <w:r>
        <w:rPr>
          <w:rStyle w:val="FootnoteReference"/>
        </w:rPr>
        <w:footnoteRef/>
      </w:r>
      <w:r w:rsidR="00C50C47">
        <w:t xml:space="preserve"> For a general argument on this point</w:t>
      </w:r>
      <w:r w:rsidR="00AC392F">
        <w:t xml:space="preserve">, see Lawrence J. McAndrews, </w:t>
      </w:r>
      <w:r w:rsidR="00AC392F">
        <w:rPr>
          <w:i/>
          <w:iCs/>
        </w:rPr>
        <w:t>Talking the Talk: Bill Clinton and School Desegregation</w:t>
      </w:r>
      <w:r w:rsidR="00262D13">
        <w:t xml:space="preserve">, 79 </w:t>
      </w:r>
      <w:r w:rsidR="00262D13" w:rsidRPr="00716500">
        <w:rPr>
          <w:smallCaps/>
        </w:rPr>
        <w:t>Int. Soc. Sci. Rev.</w:t>
      </w:r>
      <w:r w:rsidR="00262D13">
        <w:t xml:space="preserve"> 87</w:t>
      </w:r>
      <w:r w:rsidR="00AC392F">
        <w:rPr>
          <w:i/>
          <w:iCs/>
        </w:rPr>
        <w:t>,</w:t>
      </w:r>
      <w:r w:rsidR="00AC392F" w:rsidRPr="00262D13">
        <w:t xml:space="preserve"> 93</w:t>
      </w:r>
      <w:r w:rsidR="00C50C47">
        <w:t xml:space="preserve"> </w:t>
      </w:r>
      <w:r w:rsidR="00262D13">
        <w:t>(2004) and sources cited there.</w:t>
      </w:r>
    </w:p>
  </w:footnote>
  <w:footnote w:id="220">
    <w:p w14:paraId="66FA37F5" w14:textId="0951739A" w:rsidR="00FF485E" w:rsidRDefault="00FF485E">
      <w:pPr>
        <w:pStyle w:val="FootnoteText"/>
      </w:pPr>
      <w:r>
        <w:rPr>
          <w:rStyle w:val="FootnoteReference"/>
        </w:rPr>
        <w:footnoteRef/>
      </w:r>
      <w:r>
        <w:t xml:space="preserve"> </w:t>
      </w:r>
      <w:r w:rsidR="00BB246A">
        <w:t xml:space="preserve">See, e.g., </w:t>
      </w:r>
      <w:r w:rsidR="00BB246A" w:rsidRPr="003D30B4">
        <w:rPr>
          <w:smallCaps/>
        </w:rPr>
        <w:t>Jennifer Brier, Infectious Ideas: U.S. Political Responses to the AIDS Crisis</w:t>
      </w:r>
      <w:r w:rsidR="00BB246A">
        <w:t xml:space="preserve"> (</w:t>
      </w:r>
      <w:r w:rsidR="003D30B4">
        <w:t>2009).</w:t>
      </w:r>
    </w:p>
  </w:footnote>
  <w:footnote w:id="221">
    <w:p w14:paraId="42071B0B" w14:textId="1C9026C4" w:rsidR="00D76D0B" w:rsidRDefault="00D76D0B">
      <w:pPr>
        <w:pStyle w:val="FootnoteText"/>
      </w:pPr>
      <w:r>
        <w:rPr>
          <w:rStyle w:val="FootnoteReference"/>
        </w:rPr>
        <w:footnoteRef/>
      </w:r>
      <w:r>
        <w:t xml:space="preserve"> </w:t>
      </w:r>
      <w:r w:rsidR="003C7FEC">
        <w:t xml:space="preserve">See, e.g., </w:t>
      </w:r>
      <w:r w:rsidR="003C7FEC" w:rsidRPr="00CD08E8">
        <w:rPr>
          <w:smallCaps/>
        </w:rPr>
        <w:t>Carmines &amp; Stimson</w:t>
      </w:r>
      <w:r w:rsidR="003C7FEC">
        <w:t>,</w:t>
      </w:r>
      <w:r w:rsidR="003C7FEC" w:rsidRPr="00CD08E8">
        <w:rPr>
          <w:i/>
          <w:iCs/>
        </w:rPr>
        <w:t xml:space="preserve"> supra</w:t>
      </w:r>
      <w:r w:rsidR="003C7FEC">
        <w:t xml:space="preserve"> note 115, at 70.</w:t>
      </w:r>
    </w:p>
  </w:footnote>
  <w:footnote w:id="222">
    <w:p w14:paraId="54FBFC4B" w14:textId="1A5B13B9" w:rsidR="00535315" w:rsidRPr="00883114" w:rsidRDefault="00535315">
      <w:pPr>
        <w:pStyle w:val="FootnoteText"/>
      </w:pPr>
      <w:r>
        <w:rPr>
          <w:rStyle w:val="FootnoteReference"/>
        </w:rPr>
        <w:footnoteRef/>
      </w:r>
      <w:r>
        <w:t xml:space="preserve"> </w:t>
      </w:r>
      <w:r w:rsidRPr="00883114">
        <w:rPr>
          <w:smallCaps/>
        </w:rPr>
        <w:t>Foner</w:t>
      </w:r>
      <w:r w:rsidR="00883114">
        <w:rPr>
          <w:smallCaps/>
        </w:rPr>
        <w:t xml:space="preserve">, </w:t>
      </w:r>
      <w:r w:rsidR="00883114">
        <w:rPr>
          <w:i/>
          <w:iCs/>
        </w:rPr>
        <w:t>supra</w:t>
      </w:r>
      <w:r w:rsidR="00883114">
        <w:t xml:space="preserve"> note </w:t>
      </w:r>
      <w:r w:rsidR="00883114">
        <w:fldChar w:fldCharType="begin"/>
      </w:r>
      <w:r w:rsidR="00883114">
        <w:instrText xml:space="preserve"> NOTEREF _Ref186198543 \h </w:instrText>
      </w:r>
      <w:r w:rsidR="00883114">
        <w:fldChar w:fldCharType="separate"/>
      </w:r>
      <w:r w:rsidR="00454C1B">
        <w:t>209</w:t>
      </w:r>
      <w:r w:rsidR="00883114">
        <w:fldChar w:fldCharType="end"/>
      </w:r>
      <w:r w:rsidR="00883114">
        <w:t>, at 564-602.</w:t>
      </w:r>
    </w:p>
  </w:footnote>
  <w:footnote w:id="223">
    <w:p w14:paraId="45E6276A" w14:textId="110389CE" w:rsidR="00BC75BF" w:rsidRDefault="00BC75BF">
      <w:pPr>
        <w:pStyle w:val="FootnoteText"/>
      </w:pPr>
      <w:r>
        <w:rPr>
          <w:rStyle w:val="FootnoteReference"/>
        </w:rPr>
        <w:footnoteRef/>
      </w:r>
      <w:r>
        <w:t xml:space="preserve"> See </w:t>
      </w:r>
      <w:r w:rsidR="004461A2">
        <w:t xml:space="preserve">generally </w:t>
      </w:r>
      <w:r w:rsidR="00A16F92" w:rsidRPr="00D031EE">
        <w:rPr>
          <w:smallCaps/>
        </w:rPr>
        <w:t xml:space="preserve">Keith Whittington, </w:t>
      </w:r>
      <w:r w:rsidR="00D031EE" w:rsidRPr="00D031EE">
        <w:rPr>
          <w:smallCaps/>
        </w:rPr>
        <w:t>Political Foundations of Judicial Supremacy</w:t>
      </w:r>
      <w:r w:rsidR="00D031EE">
        <w:t xml:space="preserve"> (2007); </w:t>
      </w:r>
      <w:r w:rsidR="00C00A5E">
        <w:t xml:space="preserve">Mark A. Graber, </w:t>
      </w:r>
      <w:r w:rsidR="00C00A5E">
        <w:rPr>
          <w:i/>
          <w:iCs/>
        </w:rPr>
        <w:t xml:space="preserve">The </w:t>
      </w:r>
      <w:proofErr w:type="spellStart"/>
      <w:r w:rsidR="00C00A5E">
        <w:rPr>
          <w:i/>
          <w:iCs/>
        </w:rPr>
        <w:t>Nonmajoritarian</w:t>
      </w:r>
      <w:proofErr w:type="spellEnd"/>
      <w:r w:rsidR="00C00A5E">
        <w:rPr>
          <w:i/>
          <w:iCs/>
        </w:rPr>
        <w:t xml:space="preserve"> Difficulty: Legislative Deference to the </w:t>
      </w:r>
      <w:r w:rsidR="00C00A5E" w:rsidRPr="00C00A5E">
        <w:rPr>
          <w:i/>
          <w:iCs/>
        </w:rPr>
        <w:t>Judiciary</w:t>
      </w:r>
      <w:r w:rsidR="00C00A5E">
        <w:t xml:space="preserve">, </w:t>
      </w:r>
      <w:r w:rsidR="00147013">
        <w:t xml:space="preserve">7 </w:t>
      </w:r>
      <w:r w:rsidR="00147013" w:rsidRPr="0058107C">
        <w:rPr>
          <w:smallCaps/>
        </w:rPr>
        <w:t>Stud. Am. Pol. Dev.</w:t>
      </w:r>
      <w:r w:rsidR="00147013">
        <w:t xml:space="preserve"> 35 (1993);</w:t>
      </w:r>
      <w:r w:rsidR="00C00A5E">
        <w:t xml:space="preserve"> </w:t>
      </w:r>
      <w:r w:rsidR="00CC6111" w:rsidRPr="00C00A5E">
        <w:t>Keith</w:t>
      </w:r>
      <w:r w:rsidR="00CC6111">
        <w:t xml:space="preserve"> </w:t>
      </w:r>
      <w:r>
        <w:t>Whittington</w:t>
      </w:r>
      <w:r w:rsidR="00CC6111">
        <w:t xml:space="preserve">, </w:t>
      </w:r>
      <w:r w:rsidR="00BB4E11" w:rsidRPr="00BB4E11">
        <w:rPr>
          <w:i/>
          <w:iCs/>
        </w:rPr>
        <w:t>“Interpose Your Friendly Hand”: Political Supports for the Exercise of Judicial Review by the United States Supreme Court</w:t>
      </w:r>
      <w:r w:rsidR="00BB4E11">
        <w:t xml:space="preserve">, 99 </w:t>
      </w:r>
      <w:r w:rsidR="00BB4E11" w:rsidRPr="00760BAA">
        <w:rPr>
          <w:smallCaps/>
        </w:rPr>
        <w:t>Am. Pol. Sci. Rev.</w:t>
      </w:r>
      <w:r w:rsidR="00760BAA">
        <w:t xml:space="preserve"> 583</w:t>
      </w:r>
      <w:r w:rsidR="00BB4E11" w:rsidRPr="00BB4E11">
        <w:t xml:space="preserve"> (2005)</w:t>
      </w:r>
      <w:r>
        <w:t>.</w:t>
      </w:r>
    </w:p>
  </w:footnote>
  <w:footnote w:id="224">
    <w:p w14:paraId="69B54E36" w14:textId="16331D8F" w:rsidR="004C58F8" w:rsidRPr="00E5087C" w:rsidRDefault="004C58F8">
      <w:pPr>
        <w:pStyle w:val="FootnoteText"/>
        <w:rPr>
          <w:i/>
          <w:iCs/>
        </w:rPr>
      </w:pPr>
      <w:r>
        <w:rPr>
          <w:rStyle w:val="FootnoteReference"/>
        </w:rPr>
        <w:footnoteRef/>
      </w:r>
      <w:r>
        <w:t xml:space="preserve"> </w:t>
      </w:r>
      <w:r w:rsidR="00C96CCC">
        <w:t xml:space="preserve">Whittington, </w:t>
      </w:r>
      <w:r w:rsidR="00C96CCC">
        <w:rPr>
          <w:i/>
          <w:iCs/>
        </w:rPr>
        <w:t>supra</w:t>
      </w:r>
      <w:r w:rsidR="00C96CCC">
        <w:t xml:space="preserve"> note </w:t>
      </w:r>
      <w:r w:rsidR="00482AE6">
        <w:fldChar w:fldCharType="begin"/>
      </w:r>
      <w:r w:rsidR="00482AE6">
        <w:instrText xml:space="preserve"> NOTEREF _Ref186199072 \h </w:instrText>
      </w:r>
      <w:r w:rsidR="00482AE6">
        <w:fldChar w:fldCharType="separate"/>
      </w:r>
      <w:r w:rsidR="00454C1B">
        <w:t>221</w:t>
      </w:r>
      <w:r w:rsidR="00482AE6">
        <w:fldChar w:fldCharType="end"/>
      </w:r>
      <w:r w:rsidR="00482AE6">
        <w:t>, at 592-93.</w:t>
      </w:r>
    </w:p>
  </w:footnote>
  <w:footnote w:id="225">
    <w:p w14:paraId="24AE17A5" w14:textId="53CEB676" w:rsidR="00E97278" w:rsidRDefault="00E97278" w:rsidP="00E97278">
      <w:pPr>
        <w:pStyle w:val="FootnoteText"/>
      </w:pPr>
      <w:r>
        <w:rPr>
          <w:rStyle w:val="FootnoteReference"/>
        </w:rPr>
        <w:footnoteRef/>
      </w:r>
      <w:r>
        <w:t xml:space="preserve"> Graber, </w:t>
      </w:r>
      <w:r>
        <w:rPr>
          <w:i/>
          <w:iCs/>
        </w:rPr>
        <w:t xml:space="preserve">supra </w:t>
      </w:r>
      <w:r>
        <w:t xml:space="preserve">note </w:t>
      </w:r>
      <w:r>
        <w:fldChar w:fldCharType="begin"/>
      </w:r>
      <w:r>
        <w:instrText xml:space="preserve"> NOTEREF _Ref186199072 \h </w:instrText>
      </w:r>
      <w:r>
        <w:fldChar w:fldCharType="separate"/>
      </w:r>
      <w:r w:rsidR="00454C1B">
        <w:t>221</w:t>
      </w:r>
      <w:r>
        <w:fldChar w:fldCharType="end"/>
      </w:r>
      <w:r>
        <w:t>, at 46-50.</w:t>
      </w:r>
    </w:p>
  </w:footnote>
  <w:footnote w:id="226">
    <w:p w14:paraId="6E9889AD" w14:textId="03638405" w:rsidR="00E97278" w:rsidRDefault="00E97278">
      <w:pPr>
        <w:pStyle w:val="FootnoteText"/>
      </w:pPr>
      <w:r>
        <w:rPr>
          <w:rStyle w:val="FootnoteReference"/>
        </w:rPr>
        <w:footnoteRef/>
      </w:r>
      <w:r>
        <w:t xml:space="preserve"> </w:t>
      </w:r>
      <w:r w:rsidR="000D2F4F">
        <w:t>Id. at 53-61</w:t>
      </w:r>
      <w:r w:rsidR="007C1039">
        <w:t>.</w:t>
      </w:r>
    </w:p>
  </w:footnote>
  <w:footnote w:id="227">
    <w:p w14:paraId="781156A1" w14:textId="1ECB96C3" w:rsidR="00435E3E" w:rsidRDefault="00435E3E">
      <w:pPr>
        <w:pStyle w:val="FootnoteText"/>
      </w:pPr>
      <w:r>
        <w:rPr>
          <w:rStyle w:val="FootnoteReference"/>
        </w:rPr>
        <w:footnoteRef/>
      </w:r>
      <w:r>
        <w:t xml:space="preserve"> I</w:t>
      </w:r>
      <w:r w:rsidRPr="00435E3E">
        <w:t>d.</w:t>
      </w:r>
      <w:r>
        <w:t xml:space="preserve"> at 50-53</w:t>
      </w:r>
      <w:r w:rsidR="007C1039">
        <w:t>.</w:t>
      </w:r>
    </w:p>
  </w:footnote>
  <w:footnote w:id="228">
    <w:p w14:paraId="6B3ADF2C" w14:textId="30C9C30C" w:rsidR="00D62663" w:rsidRDefault="00D62663">
      <w:pPr>
        <w:pStyle w:val="FootnoteText"/>
      </w:pPr>
      <w:r>
        <w:rPr>
          <w:rStyle w:val="FootnoteReference"/>
        </w:rPr>
        <w:footnoteRef/>
      </w:r>
      <w:r>
        <w:t xml:space="preserve"> </w:t>
      </w:r>
      <w:proofErr w:type="spellStart"/>
      <w:r w:rsidRPr="00E04CDD">
        <w:rPr>
          <w:smallCaps/>
        </w:rPr>
        <w:t>Frymer</w:t>
      </w:r>
      <w:proofErr w:type="spellEnd"/>
      <w:r>
        <w:t xml:space="preserve">, </w:t>
      </w:r>
      <w:r>
        <w:rPr>
          <w:i/>
          <w:iCs/>
        </w:rPr>
        <w:t xml:space="preserve">supra </w:t>
      </w:r>
      <w:r>
        <w:t xml:space="preserve">note </w:t>
      </w:r>
      <w:r>
        <w:fldChar w:fldCharType="begin"/>
      </w:r>
      <w:r>
        <w:instrText xml:space="preserve"> NOTEREF _Ref186106784 \h </w:instrText>
      </w:r>
      <w:r>
        <w:fldChar w:fldCharType="separate"/>
      </w:r>
      <w:r w:rsidR="00454C1B">
        <w:t>150</w:t>
      </w:r>
      <w:r>
        <w:fldChar w:fldCharType="end"/>
      </w:r>
      <w:r>
        <w:t>, at 214-</w:t>
      </w:r>
      <w:r w:rsidR="00DF01A4">
        <w:t>16</w:t>
      </w:r>
      <w:r>
        <w:t>.</w:t>
      </w:r>
    </w:p>
  </w:footnote>
  <w:footnote w:id="229">
    <w:p w14:paraId="6CADEDB8" w14:textId="38A353FE" w:rsidR="00417626" w:rsidRDefault="00417626">
      <w:pPr>
        <w:pStyle w:val="FootnoteText"/>
      </w:pPr>
      <w:r>
        <w:rPr>
          <w:rStyle w:val="FootnoteReference"/>
        </w:rPr>
        <w:footnoteRef/>
      </w:r>
      <w:r>
        <w:t xml:space="preserve"> Id. at </w:t>
      </w:r>
      <w:r w:rsidR="00C21B3A">
        <w:t>216.</w:t>
      </w:r>
    </w:p>
  </w:footnote>
  <w:footnote w:id="230">
    <w:p w14:paraId="6748D57E" w14:textId="5C661F75" w:rsidR="009B25DC" w:rsidRDefault="009B25DC" w:rsidP="009B25DC">
      <w:pPr>
        <w:pStyle w:val="FootnoteText"/>
      </w:pPr>
      <w:r>
        <w:rPr>
          <w:rStyle w:val="FootnoteReference"/>
        </w:rPr>
        <w:footnoteRef/>
      </w:r>
      <w:r>
        <w:t xml:space="preserve"> </w:t>
      </w:r>
      <w:proofErr w:type="spellStart"/>
      <w:r w:rsidRPr="00F632D5">
        <w:rPr>
          <w:smallCaps/>
        </w:rPr>
        <w:t>Tushnet</w:t>
      </w:r>
      <w:proofErr w:type="spellEnd"/>
      <w:r w:rsidRPr="00F632D5">
        <w:rPr>
          <w:smallCaps/>
        </w:rPr>
        <w:t>, Taking The Constitution</w:t>
      </w:r>
      <w:r w:rsidRPr="00B06D4B">
        <w:t xml:space="preserve">, supra note </w:t>
      </w:r>
      <w:r>
        <w:fldChar w:fldCharType="begin"/>
      </w:r>
      <w:r>
        <w:instrText xml:space="preserve"> NOTEREF _Ref185842536 \h </w:instrText>
      </w:r>
      <w:r>
        <w:fldChar w:fldCharType="separate"/>
      </w:r>
      <w:r w:rsidR="00454C1B">
        <w:t>10</w:t>
      </w:r>
      <w:r>
        <w:fldChar w:fldCharType="end"/>
      </w:r>
      <w:r w:rsidRPr="00B06D4B">
        <w:t xml:space="preserve">, at 106-40. </w:t>
      </w:r>
      <w:r>
        <w:t xml:space="preserve">The idea of an incentive-compatible Constitution, as </w:t>
      </w:r>
      <w:proofErr w:type="spellStart"/>
      <w:r>
        <w:t>Tushnet</w:t>
      </w:r>
      <w:proofErr w:type="spellEnd"/>
      <w:r>
        <w:t xml:space="preserve"> acknowledges, has deep roots in American constitutional history</w:t>
      </w:r>
      <w:r w:rsidRPr="00B06D4B">
        <w:t xml:space="preserve">. Id. at 107-10. See generally </w:t>
      </w:r>
      <w:r w:rsidRPr="00954B8E">
        <w:rPr>
          <w:smallCaps/>
        </w:rPr>
        <w:t xml:space="preserve">Michael </w:t>
      </w:r>
      <w:proofErr w:type="spellStart"/>
      <w:r w:rsidRPr="00954B8E">
        <w:rPr>
          <w:smallCaps/>
        </w:rPr>
        <w:t>Kammen</w:t>
      </w:r>
      <w:proofErr w:type="spellEnd"/>
      <w:r w:rsidRPr="00954B8E">
        <w:rPr>
          <w:smallCaps/>
        </w:rPr>
        <w:t>, A Machine That Would Go Of Itself</w:t>
      </w:r>
      <w:r w:rsidRPr="00B06D4B">
        <w:t xml:space="preserve"> (2006).</w:t>
      </w:r>
    </w:p>
  </w:footnote>
  <w:footnote w:id="231">
    <w:p w14:paraId="309E64BF" w14:textId="152B647F" w:rsidR="00E90400" w:rsidRDefault="00E90400">
      <w:pPr>
        <w:pStyle w:val="FootnoteText"/>
      </w:pPr>
      <w:r>
        <w:rPr>
          <w:rStyle w:val="FootnoteReference"/>
        </w:rPr>
        <w:footnoteRef/>
      </w:r>
      <w:r>
        <w:t xml:space="preserve"> </w:t>
      </w:r>
      <w:r w:rsidRPr="00E90400">
        <w:t>494 U.S. 872 (1990)</w:t>
      </w:r>
      <w:r>
        <w:t>.</w:t>
      </w:r>
    </w:p>
  </w:footnote>
  <w:footnote w:id="232">
    <w:p w14:paraId="26FC9457" w14:textId="48691E6C" w:rsidR="0031789C" w:rsidRDefault="0031789C">
      <w:pPr>
        <w:pStyle w:val="FootnoteText"/>
      </w:pPr>
      <w:r>
        <w:rPr>
          <w:rStyle w:val="FootnoteReference"/>
        </w:rPr>
        <w:footnoteRef/>
      </w:r>
      <w:r>
        <w:t xml:space="preserve"> </w:t>
      </w:r>
      <w:r w:rsidRPr="0031789C">
        <w:t>Sherbert v. Verner, 374 U.S. 398 (1963)</w:t>
      </w:r>
      <w:r>
        <w:t>.</w:t>
      </w:r>
    </w:p>
  </w:footnote>
  <w:footnote w:id="233">
    <w:p w14:paraId="3EC70BC3" w14:textId="0572816C" w:rsidR="0087374F" w:rsidRDefault="0087374F">
      <w:pPr>
        <w:pStyle w:val="FootnoteText"/>
      </w:pPr>
      <w:r>
        <w:rPr>
          <w:rStyle w:val="FootnoteReference"/>
        </w:rPr>
        <w:footnoteRef/>
      </w:r>
      <w:r>
        <w:t xml:space="preserve"> </w:t>
      </w:r>
      <w:r w:rsidR="00761B80">
        <w:t xml:space="preserve">494 U.S. at </w:t>
      </w:r>
      <w:r w:rsidR="00293FDA">
        <w:t>878.</w:t>
      </w:r>
    </w:p>
  </w:footnote>
  <w:footnote w:id="234">
    <w:p w14:paraId="4CFC03CC" w14:textId="0AEBE532" w:rsidR="00162F4E" w:rsidRPr="0057238B" w:rsidRDefault="00162F4E">
      <w:pPr>
        <w:pStyle w:val="FootnoteText"/>
      </w:pPr>
      <w:r>
        <w:rPr>
          <w:rStyle w:val="FootnoteReference"/>
        </w:rPr>
        <w:footnoteRef/>
      </w:r>
      <w:r>
        <w:t xml:space="preserve"> For more on the relationship between liberal values and the defense of the often illiberal views of </w:t>
      </w:r>
      <w:r w:rsidR="00E450C1">
        <w:t xml:space="preserve">minority groups, see </w:t>
      </w:r>
      <w:r w:rsidR="00E91506" w:rsidRPr="006B36BA">
        <w:rPr>
          <w:smallCaps/>
        </w:rPr>
        <w:t>Merlin Owen Newton</w:t>
      </w:r>
      <w:r w:rsidR="00056B4B">
        <w:rPr>
          <w:smallCaps/>
        </w:rPr>
        <w:t>,</w:t>
      </w:r>
      <w:r w:rsidR="00E91506" w:rsidRPr="006B36BA">
        <w:rPr>
          <w:smallCaps/>
        </w:rPr>
        <w:t xml:space="preserve"> Armed with the Constitution: Jehovah's Witnesses in Alabama and the U.S. Supreme Court, 1939–1946</w:t>
      </w:r>
      <w:r w:rsidR="006B36BA">
        <w:t xml:space="preserve"> (1995)</w:t>
      </w:r>
      <w:r w:rsidR="00E450C1">
        <w:t xml:space="preserve">, </w:t>
      </w:r>
      <w:r w:rsidR="0057238B" w:rsidRPr="00BE438C">
        <w:rPr>
          <w:smallCaps/>
        </w:rPr>
        <w:t>Noel</w:t>
      </w:r>
      <w:r w:rsidR="0057238B">
        <w:t xml:space="preserve">, </w:t>
      </w:r>
      <w:r w:rsidR="0057238B">
        <w:rPr>
          <w:i/>
          <w:iCs/>
        </w:rPr>
        <w:t xml:space="preserve">supra </w:t>
      </w:r>
      <w:r w:rsidR="0057238B">
        <w:t xml:space="preserve">note </w:t>
      </w:r>
      <w:r w:rsidR="00BE438C">
        <w:fldChar w:fldCharType="begin"/>
      </w:r>
      <w:r w:rsidR="00BE438C">
        <w:instrText xml:space="preserve"> NOTEREF _Ref186102463 \h </w:instrText>
      </w:r>
      <w:r w:rsidR="00BE438C">
        <w:fldChar w:fldCharType="separate"/>
      </w:r>
      <w:r w:rsidR="00454C1B">
        <w:t>115</w:t>
      </w:r>
      <w:r w:rsidR="00BE438C">
        <w:fldChar w:fldCharType="end"/>
      </w:r>
      <w:r w:rsidR="0057238B">
        <w:t xml:space="preserve">, at 71-75 (describing </w:t>
      </w:r>
      <w:r w:rsidR="00D17DCB">
        <w:t>liberal support for Muslims offended by portrayals of the Prophet Mohammed).</w:t>
      </w:r>
    </w:p>
  </w:footnote>
  <w:footnote w:id="235">
    <w:p w14:paraId="7E5AB40F" w14:textId="749D7796" w:rsidR="00751AA1" w:rsidRPr="00411D80" w:rsidRDefault="00751AA1">
      <w:pPr>
        <w:pStyle w:val="FootnoteText"/>
      </w:pPr>
      <w:r>
        <w:rPr>
          <w:rStyle w:val="FootnoteReference"/>
        </w:rPr>
        <w:footnoteRef/>
      </w:r>
      <w:r>
        <w:t xml:space="preserve"> </w:t>
      </w:r>
      <w:r w:rsidR="00411D80">
        <w:t xml:space="preserve">See </w:t>
      </w:r>
      <w:r w:rsidR="00EE3FBE" w:rsidRPr="00634915">
        <w:rPr>
          <w:smallCaps/>
        </w:rPr>
        <w:t>Daniel K. Williams, God’s Own Party: The Making of the Christian Right</w:t>
      </w:r>
      <w:r w:rsidR="00EE3FBE">
        <w:t xml:space="preserve"> </w:t>
      </w:r>
      <w:r w:rsidR="001A2EB1">
        <w:t xml:space="preserve">213-45 </w:t>
      </w:r>
      <w:r w:rsidR="00EE3FBE">
        <w:t xml:space="preserve">(2010); </w:t>
      </w:r>
      <w:r w:rsidR="00411D80">
        <w:t xml:space="preserve">John C. Green &amp; James L. Guth, </w:t>
      </w:r>
      <w:r w:rsidR="00411D80">
        <w:rPr>
          <w:i/>
          <w:iCs/>
        </w:rPr>
        <w:t>The Christian Right in the Republican Party: The Case of Pat Robertson’s Supporters</w:t>
      </w:r>
      <w:r w:rsidR="00411D80">
        <w:t xml:space="preserve">, </w:t>
      </w:r>
      <w:r w:rsidR="003C7363">
        <w:t xml:space="preserve">50 J. Pol. </w:t>
      </w:r>
      <w:r w:rsidR="004007B4">
        <w:t xml:space="preserve">150, 150 (1988) (arguing </w:t>
      </w:r>
      <w:r w:rsidR="001A2EB1">
        <w:t>Christian conservatives would soon be assimilated into Republican Party).</w:t>
      </w:r>
    </w:p>
  </w:footnote>
  <w:footnote w:id="236">
    <w:p w14:paraId="5D0141F9" w14:textId="2F324B6A" w:rsidR="00D409C2" w:rsidRPr="000F6B2C" w:rsidRDefault="00D409C2" w:rsidP="000F6B2C">
      <w:pPr>
        <w:spacing w:line="249" w:lineRule="auto"/>
        <w:ind w:left="141" w:right="921" w:firstLine="134"/>
        <w:rPr>
          <w:sz w:val="20"/>
        </w:rPr>
      </w:pPr>
      <w:r>
        <w:rPr>
          <w:rStyle w:val="FootnoteReference"/>
        </w:rPr>
        <w:footnoteRef/>
      </w:r>
      <w:r>
        <w:t xml:space="preserve"> </w:t>
      </w:r>
      <w:r w:rsidR="00E60852">
        <w:rPr>
          <w:sz w:val="20"/>
        </w:rPr>
        <w:t xml:space="preserve">Robert F. Drinan &amp; Jennifer I. Huffman, </w:t>
      </w:r>
      <w:r w:rsidR="00E60852">
        <w:rPr>
          <w:i/>
          <w:sz w:val="20"/>
        </w:rPr>
        <w:t xml:space="preserve">The Religious Freedom Restoration Act: </w:t>
      </w:r>
      <w:r w:rsidR="005D6EC1">
        <w:rPr>
          <w:i/>
          <w:sz w:val="20"/>
        </w:rPr>
        <w:t>A</w:t>
      </w:r>
      <w:r w:rsidR="00E60852">
        <w:rPr>
          <w:i/>
          <w:sz w:val="20"/>
        </w:rPr>
        <w:t xml:space="preserve"> Legislative</w:t>
      </w:r>
      <w:r w:rsidR="00E60852">
        <w:rPr>
          <w:i/>
          <w:spacing w:val="1"/>
          <w:sz w:val="20"/>
        </w:rPr>
        <w:t xml:space="preserve"> </w:t>
      </w:r>
      <w:r w:rsidR="00E60852">
        <w:rPr>
          <w:i/>
          <w:sz w:val="20"/>
        </w:rPr>
        <w:t>History</w:t>
      </w:r>
      <w:r w:rsidR="00E60852">
        <w:rPr>
          <w:sz w:val="20"/>
        </w:rPr>
        <w:t>,</w:t>
      </w:r>
      <w:r w:rsidR="00E60852">
        <w:rPr>
          <w:spacing w:val="-1"/>
          <w:sz w:val="20"/>
        </w:rPr>
        <w:t xml:space="preserve"> </w:t>
      </w:r>
      <w:r w:rsidR="00E60852">
        <w:rPr>
          <w:sz w:val="20"/>
        </w:rPr>
        <w:t>10</w:t>
      </w:r>
      <w:r w:rsidR="00E60852">
        <w:rPr>
          <w:spacing w:val="5"/>
          <w:sz w:val="20"/>
        </w:rPr>
        <w:t xml:space="preserve"> </w:t>
      </w:r>
      <w:r w:rsidR="00E60852">
        <w:rPr>
          <w:sz w:val="20"/>
        </w:rPr>
        <w:t>J.</w:t>
      </w:r>
      <w:r w:rsidR="00E60852">
        <w:rPr>
          <w:spacing w:val="10"/>
          <w:sz w:val="20"/>
        </w:rPr>
        <w:t xml:space="preserve"> </w:t>
      </w:r>
      <w:r w:rsidR="00E60852">
        <w:rPr>
          <w:sz w:val="20"/>
        </w:rPr>
        <w:t>L.</w:t>
      </w:r>
      <w:r w:rsidR="00E60852">
        <w:rPr>
          <w:spacing w:val="9"/>
          <w:sz w:val="20"/>
        </w:rPr>
        <w:t xml:space="preserve"> </w:t>
      </w:r>
      <w:r w:rsidR="00E60852">
        <w:rPr>
          <w:sz w:val="20"/>
        </w:rPr>
        <w:t>&amp;</w:t>
      </w:r>
      <w:r w:rsidR="00E60852">
        <w:rPr>
          <w:spacing w:val="10"/>
          <w:sz w:val="20"/>
        </w:rPr>
        <w:t xml:space="preserve"> </w:t>
      </w:r>
      <w:r w:rsidR="00E60852">
        <w:rPr>
          <w:sz w:val="20"/>
        </w:rPr>
        <w:t>R</w:t>
      </w:r>
      <w:r w:rsidR="00E60852">
        <w:rPr>
          <w:sz w:val="16"/>
        </w:rPr>
        <w:t>ELIGION</w:t>
      </w:r>
      <w:r w:rsidR="00E60852">
        <w:rPr>
          <w:spacing w:val="15"/>
          <w:sz w:val="16"/>
        </w:rPr>
        <w:t xml:space="preserve"> </w:t>
      </w:r>
      <w:r w:rsidR="00E60852">
        <w:rPr>
          <w:sz w:val="20"/>
        </w:rPr>
        <w:t>531,</w:t>
      </w:r>
      <w:r w:rsidR="00E60852">
        <w:rPr>
          <w:spacing w:val="-1"/>
          <w:sz w:val="20"/>
        </w:rPr>
        <w:t xml:space="preserve"> </w:t>
      </w:r>
      <w:r w:rsidR="00E60852">
        <w:rPr>
          <w:sz w:val="20"/>
        </w:rPr>
        <w:t>531 (1993).</w:t>
      </w:r>
    </w:p>
  </w:footnote>
  <w:footnote w:id="237">
    <w:p w14:paraId="12DD64A7" w14:textId="6B99D470" w:rsidR="00632748" w:rsidRPr="00E66CCA" w:rsidRDefault="00632748">
      <w:pPr>
        <w:pStyle w:val="FootnoteText"/>
      </w:pPr>
      <w:r>
        <w:rPr>
          <w:rStyle w:val="FootnoteReference"/>
        </w:rPr>
        <w:footnoteRef/>
      </w:r>
      <w:r>
        <w:t xml:space="preserve"> </w:t>
      </w:r>
      <w:r w:rsidR="00656D0B">
        <w:t xml:space="preserve">Proponents of the Act </w:t>
      </w:r>
      <w:r w:rsidR="00E42C7B">
        <w:t xml:space="preserve">claimed that this rule was simply the rule in place before </w:t>
      </w:r>
      <w:r w:rsidR="00E42C7B">
        <w:rPr>
          <w:i/>
          <w:iCs/>
        </w:rPr>
        <w:t>Smith</w:t>
      </w:r>
      <w:r w:rsidR="00E42C7B">
        <w:t xml:space="preserve">, as articulated in </w:t>
      </w:r>
      <w:r w:rsidR="00E42C7B">
        <w:rPr>
          <w:i/>
          <w:iCs/>
        </w:rPr>
        <w:t>Sherbert</w:t>
      </w:r>
      <w:r w:rsidR="00E42C7B">
        <w:t xml:space="preserve">. </w:t>
      </w:r>
      <w:r w:rsidR="00E66CCA">
        <w:rPr>
          <w:i/>
          <w:iCs/>
        </w:rPr>
        <w:t xml:space="preserve">Id. </w:t>
      </w:r>
      <w:r w:rsidR="00E66CCA">
        <w:t xml:space="preserve">at </w:t>
      </w:r>
      <w:r w:rsidR="00C02483">
        <w:t>533.</w:t>
      </w:r>
      <w:r w:rsidR="00CD505C">
        <w:t xml:space="preserve"> See also </w:t>
      </w:r>
      <w:r w:rsidR="0022021A">
        <w:t xml:space="preserve">Martin S. Lederman, </w:t>
      </w:r>
      <w:r w:rsidR="0022021A" w:rsidRPr="0022021A">
        <w:rPr>
          <w:i/>
          <w:iCs/>
        </w:rPr>
        <w:t>Reconstructing RFRA: The Contested Legacy of Religious Freedom Restoration</w:t>
      </w:r>
      <w:r w:rsidR="0022021A">
        <w:t xml:space="preserve">, </w:t>
      </w:r>
      <w:r w:rsidR="00BA2940" w:rsidRPr="00BA2940">
        <w:rPr>
          <w:smallCaps/>
        </w:rPr>
        <w:t xml:space="preserve">125 </w:t>
      </w:r>
      <w:r w:rsidR="0022021A" w:rsidRPr="00BA2940">
        <w:rPr>
          <w:smallCaps/>
        </w:rPr>
        <w:t>Yale L.J. Forum</w:t>
      </w:r>
      <w:r w:rsidR="0022021A">
        <w:t xml:space="preserve"> </w:t>
      </w:r>
      <w:r w:rsidR="00C73C37">
        <w:t xml:space="preserve">416, </w:t>
      </w:r>
      <w:r w:rsidR="00CD505C">
        <w:t>430-31 (</w:t>
      </w:r>
      <w:r w:rsidR="00C73C37">
        <w:t>2015).</w:t>
      </w:r>
    </w:p>
  </w:footnote>
  <w:footnote w:id="238">
    <w:p w14:paraId="53341992" w14:textId="05FACB69" w:rsidR="00A11E57" w:rsidRPr="002C5DB8" w:rsidRDefault="00A11E57">
      <w:pPr>
        <w:pStyle w:val="FootnoteText"/>
      </w:pPr>
      <w:r>
        <w:rPr>
          <w:rStyle w:val="FootnoteReference"/>
        </w:rPr>
        <w:footnoteRef/>
      </w:r>
      <w:r>
        <w:t xml:space="preserve"> </w:t>
      </w:r>
      <w:r w:rsidR="002C5DB8">
        <w:t xml:space="preserve">Drinan &amp; Huffman, </w:t>
      </w:r>
      <w:r w:rsidR="002C5DB8">
        <w:rPr>
          <w:i/>
          <w:iCs/>
        </w:rPr>
        <w:t xml:space="preserve">supra </w:t>
      </w:r>
      <w:r w:rsidR="002C5DB8">
        <w:t xml:space="preserve">note </w:t>
      </w:r>
      <w:r w:rsidR="002C5DB8">
        <w:fldChar w:fldCharType="begin"/>
      </w:r>
      <w:r w:rsidR="002C5DB8">
        <w:instrText xml:space="preserve"> NOTEREF _Ref186203845 \h </w:instrText>
      </w:r>
      <w:r w:rsidR="002C5DB8">
        <w:fldChar w:fldCharType="separate"/>
      </w:r>
      <w:r w:rsidR="00454C1B">
        <w:t>234</w:t>
      </w:r>
      <w:r w:rsidR="002C5DB8">
        <w:fldChar w:fldCharType="end"/>
      </w:r>
      <w:r w:rsidR="002C5DB8">
        <w:t>, at</w:t>
      </w:r>
      <w:r w:rsidR="00E44E59">
        <w:t xml:space="preserve"> 535-41.</w:t>
      </w:r>
    </w:p>
  </w:footnote>
  <w:footnote w:id="239">
    <w:p w14:paraId="0C603501" w14:textId="77C11266" w:rsidR="00940E14" w:rsidRDefault="00940E14">
      <w:pPr>
        <w:pStyle w:val="FootnoteText"/>
      </w:pPr>
      <w:r>
        <w:rPr>
          <w:rStyle w:val="FootnoteReference"/>
        </w:rPr>
        <w:footnoteRef/>
      </w:r>
      <w:r>
        <w:t xml:space="preserve"> </w:t>
      </w:r>
      <w:proofErr w:type="spellStart"/>
      <w:r w:rsidR="003F2509" w:rsidRPr="00E04DE1">
        <w:t>De'Siree</w:t>
      </w:r>
      <w:proofErr w:type="spellEnd"/>
      <w:r w:rsidR="003F2509" w:rsidRPr="00E04DE1">
        <w:t xml:space="preserve"> N. Reeves, </w:t>
      </w:r>
      <w:r w:rsidR="003F2509" w:rsidRPr="00910CFD">
        <w:rPr>
          <w:i/>
          <w:iCs/>
        </w:rPr>
        <w:t>Missing Link: The Origin of Sherbert and the Irony of Religious Equality</w:t>
      </w:r>
      <w:r w:rsidR="003F2509" w:rsidRPr="00E04DE1">
        <w:t xml:space="preserve">, 15 </w:t>
      </w:r>
      <w:r w:rsidR="003F2509" w:rsidRPr="00E04DE1">
        <w:rPr>
          <w:smallCaps/>
        </w:rPr>
        <w:t>Stan</w:t>
      </w:r>
      <w:r w:rsidR="003F2509" w:rsidRPr="00E04DE1">
        <w:t>. J. C.R. &amp; C.L. 201</w:t>
      </w:r>
      <w:r w:rsidR="003F2509">
        <w:t>,</w:t>
      </w:r>
      <w:r w:rsidR="003F2509" w:rsidRPr="00E04DE1">
        <w:t xml:space="preserve"> </w:t>
      </w:r>
      <w:r w:rsidR="003F2509">
        <w:t xml:space="preserve">242-48 </w:t>
      </w:r>
      <w:r w:rsidR="003F2509" w:rsidRPr="00E04DE1">
        <w:t>(2019).</w:t>
      </w:r>
    </w:p>
  </w:footnote>
  <w:footnote w:id="240">
    <w:p w14:paraId="23243EB4" w14:textId="0906AA6E" w:rsidR="00B315B6" w:rsidRDefault="00B315B6">
      <w:pPr>
        <w:pStyle w:val="FootnoteText"/>
      </w:pPr>
      <w:r>
        <w:rPr>
          <w:rStyle w:val="FootnoteReference"/>
        </w:rPr>
        <w:footnoteRef/>
      </w:r>
      <w:r>
        <w:t xml:space="preserve"> </w:t>
      </w:r>
      <w:r w:rsidR="00D301E0">
        <w:t>In the early 1990s</w:t>
      </w:r>
      <w:r>
        <w:t xml:space="preserve">, religious believers made up </w:t>
      </w:r>
      <w:r w:rsidR="00D301E0">
        <w:t xml:space="preserve">96 </w:t>
      </w:r>
      <w:r>
        <w:t xml:space="preserve">percent of all Americans. </w:t>
      </w:r>
      <w:r w:rsidR="00D301E0" w:rsidRPr="00D301E0">
        <w:t>https://news.gallup.com/poll/1690/Religion.aspx</w:t>
      </w:r>
    </w:p>
  </w:footnote>
  <w:footnote w:id="241">
    <w:p w14:paraId="4A9E1412" w14:textId="6216980A" w:rsidR="0045302E" w:rsidRDefault="0045302E">
      <w:pPr>
        <w:pStyle w:val="FootnoteText"/>
      </w:pPr>
      <w:r>
        <w:rPr>
          <w:rStyle w:val="FootnoteReference"/>
        </w:rPr>
        <w:footnoteRef/>
      </w:r>
      <w:r>
        <w:t xml:space="preserve"> The bill was sponsored by liberal Democrat </w:t>
      </w:r>
      <w:r w:rsidR="00B11377">
        <w:t>Stephen Solarz, and 27 of its 33 original cosponsors were Democrats.</w:t>
      </w:r>
    </w:p>
  </w:footnote>
  <w:footnote w:id="242">
    <w:p w14:paraId="084C5CD6" w14:textId="7C39D5BD" w:rsidR="007B006D" w:rsidRDefault="007B006D">
      <w:pPr>
        <w:pStyle w:val="FootnoteText"/>
      </w:pPr>
      <w:r>
        <w:rPr>
          <w:rStyle w:val="FootnoteReference"/>
        </w:rPr>
        <w:footnoteRef/>
      </w:r>
      <w:r>
        <w:t xml:space="preserve"> </w:t>
      </w:r>
      <w:r w:rsidR="00FE0C1D">
        <w:t xml:space="preserve">Drinan &amp; Huffman, </w:t>
      </w:r>
      <w:r w:rsidR="00FE0C1D">
        <w:rPr>
          <w:i/>
          <w:iCs/>
        </w:rPr>
        <w:t xml:space="preserve">supra </w:t>
      </w:r>
      <w:r w:rsidR="00FE0C1D">
        <w:t xml:space="preserve">note </w:t>
      </w:r>
      <w:r w:rsidR="00FE0C1D">
        <w:fldChar w:fldCharType="begin"/>
      </w:r>
      <w:r w:rsidR="00FE0C1D">
        <w:instrText xml:space="preserve"> NOTEREF _Ref186203845 \h </w:instrText>
      </w:r>
      <w:r w:rsidR="00FE0C1D">
        <w:fldChar w:fldCharType="separate"/>
      </w:r>
      <w:r w:rsidR="00454C1B">
        <w:t>234</w:t>
      </w:r>
      <w:r w:rsidR="00FE0C1D">
        <w:fldChar w:fldCharType="end"/>
      </w:r>
      <w:r w:rsidR="00FE0C1D">
        <w:t>, at 535-38.</w:t>
      </w:r>
    </w:p>
  </w:footnote>
  <w:footnote w:id="243">
    <w:p w14:paraId="56DD5FEB" w14:textId="7CF1DB6F" w:rsidR="00F44AE1" w:rsidRDefault="00F44AE1">
      <w:pPr>
        <w:pStyle w:val="FootnoteText"/>
      </w:pPr>
      <w:r>
        <w:rPr>
          <w:rStyle w:val="FootnoteReference"/>
        </w:rPr>
        <w:footnoteRef/>
      </w:r>
      <w:r>
        <w:t xml:space="preserve"> Id. at 538.</w:t>
      </w:r>
    </w:p>
  </w:footnote>
  <w:footnote w:id="244">
    <w:p w14:paraId="56188A53" w14:textId="1BEB85E9" w:rsidR="00DC5CB5" w:rsidRPr="00E2242C" w:rsidRDefault="00DC5CB5">
      <w:pPr>
        <w:pStyle w:val="FootnoteText"/>
      </w:pPr>
      <w:r>
        <w:rPr>
          <w:rStyle w:val="FootnoteReference"/>
        </w:rPr>
        <w:footnoteRef/>
      </w:r>
      <w:r>
        <w:t xml:space="preserve"> While much of RFRA was invalidated in </w:t>
      </w:r>
      <w:r>
        <w:rPr>
          <w:i/>
          <w:iCs/>
        </w:rPr>
        <w:t>City of Boerne v. Flores</w:t>
      </w:r>
      <w:r w:rsidR="000D4975">
        <w:t xml:space="preserve">, </w:t>
      </w:r>
      <w:r w:rsidR="000A6E53" w:rsidRPr="000A6E53">
        <w:t>521 U.S. 507 (1997)</w:t>
      </w:r>
      <w:r w:rsidR="000A6E53">
        <w:t xml:space="preserve">, </w:t>
      </w:r>
      <w:r w:rsidR="000D4975">
        <w:t xml:space="preserve">those provisions that survived have been used to undermine the Affordable Care Act and other piece of liberal legislation </w:t>
      </w:r>
      <w:r w:rsidR="00481888">
        <w:t>opposed by the Christian Right.</w:t>
      </w:r>
      <w:r w:rsidR="00E2242C">
        <w:t xml:space="preserve"> </w:t>
      </w:r>
      <w:r w:rsidR="00E2242C">
        <w:rPr>
          <w:i/>
          <w:iCs/>
        </w:rPr>
        <w:t xml:space="preserve">See </w:t>
      </w:r>
      <w:r w:rsidR="00ED00E4">
        <w:t xml:space="preserve">Burwell v. Hobby Lobby Stores, Inc., </w:t>
      </w:r>
      <w:r w:rsidR="00ED00E4" w:rsidRPr="00ED00E4">
        <w:t xml:space="preserve">134 </w:t>
      </w:r>
      <w:proofErr w:type="spellStart"/>
      <w:r w:rsidR="00ED00E4" w:rsidRPr="00ED00E4">
        <w:t>S.Ct</w:t>
      </w:r>
      <w:proofErr w:type="spellEnd"/>
      <w:r w:rsidR="00ED00E4" w:rsidRPr="00ED00E4">
        <w:t>. 2751</w:t>
      </w:r>
      <w:r w:rsidR="00ED00E4">
        <w:t>, 2759</w:t>
      </w:r>
      <w:r w:rsidR="00ED00E4" w:rsidRPr="00ED00E4">
        <w:t xml:space="preserve"> (2014)</w:t>
      </w:r>
      <w:r w:rsidR="00ED00E4">
        <w:t>.</w:t>
      </w:r>
    </w:p>
  </w:footnote>
  <w:footnote w:id="245">
    <w:p w14:paraId="124254D3" w14:textId="71F65985" w:rsidR="008903D7" w:rsidRPr="008903D7" w:rsidRDefault="008903D7">
      <w:pPr>
        <w:pStyle w:val="FootnoteText"/>
      </w:pPr>
      <w:r>
        <w:rPr>
          <w:rStyle w:val="FootnoteReference"/>
        </w:rPr>
        <w:footnoteRef/>
      </w:r>
      <w:r>
        <w:t xml:space="preserve"> See discussion of Converse, </w:t>
      </w:r>
      <w:r>
        <w:rPr>
          <w:i/>
          <w:iCs/>
        </w:rPr>
        <w:t>supra</w:t>
      </w:r>
      <w:r>
        <w:t>.</w:t>
      </w:r>
    </w:p>
  </w:footnote>
  <w:footnote w:id="246">
    <w:p w14:paraId="38E26796" w14:textId="7F06C5E4" w:rsidR="008D2FCF" w:rsidRDefault="008D2FCF">
      <w:pPr>
        <w:pStyle w:val="FootnoteText"/>
      </w:pPr>
      <w:r>
        <w:rPr>
          <w:rStyle w:val="FootnoteReference"/>
        </w:rPr>
        <w:footnoteRef/>
      </w:r>
      <w:r>
        <w:t xml:space="preserve"> See, e.g., Robert </w:t>
      </w:r>
      <w:r w:rsidR="00BC6558">
        <w:t xml:space="preserve">P. </w:t>
      </w:r>
      <w:r>
        <w:t>George</w:t>
      </w:r>
      <w:r w:rsidR="00BC6558">
        <w:t xml:space="preserve">, </w:t>
      </w:r>
      <w:r w:rsidR="00547559" w:rsidRPr="00DB612E">
        <w:rPr>
          <w:i/>
          <w:iCs/>
        </w:rPr>
        <w:t>Championing Religious Freedom: ‘We Must Preserve Our Unity’ Going Beyond Political Disputes</w:t>
      </w:r>
      <w:r w:rsidR="00547559">
        <w:t xml:space="preserve"> (Nov. 4, 2023)</w:t>
      </w:r>
      <w:r w:rsidR="0078153F">
        <w:t xml:space="preserve"> (speech to Religious Freedom Institute)</w:t>
      </w:r>
      <w:r w:rsidR="00DB612E">
        <w:t xml:space="preserve">, </w:t>
      </w:r>
      <w:r w:rsidR="00586EA5" w:rsidRPr="00586EA5">
        <w:t>https://robertpgeorge.com/articles/championing-religious-freedom-we-must-preserve-our-unity-going-beyond-political-disputes/</w:t>
      </w:r>
    </w:p>
  </w:footnote>
  <w:footnote w:id="247">
    <w:p w14:paraId="42E3AC36" w14:textId="0ACD36E1" w:rsidR="007800B6" w:rsidRPr="007800B6" w:rsidRDefault="007800B6">
      <w:pPr>
        <w:pStyle w:val="FootnoteText"/>
      </w:pPr>
      <w:r>
        <w:rPr>
          <w:rStyle w:val="FootnoteReference"/>
        </w:rPr>
        <w:footnoteRef/>
      </w:r>
      <w:r>
        <w:t xml:space="preserve"> See, e.g., </w:t>
      </w:r>
      <w:r w:rsidRPr="007800B6">
        <w:t xml:space="preserve">Douglas Laycock &amp; Oliver S. Thomas, </w:t>
      </w:r>
      <w:r w:rsidRPr="00717118">
        <w:rPr>
          <w:i/>
          <w:iCs/>
        </w:rPr>
        <w:t>Interpreting the Religious Freedom Restoration Act</w:t>
      </w:r>
      <w:r w:rsidRPr="007800B6">
        <w:t xml:space="preserve">, 73 </w:t>
      </w:r>
      <w:r w:rsidRPr="007800B6">
        <w:rPr>
          <w:smallCaps/>
        </w:rPr>
        <w:t>Tex. L. Rev.</w:t>
      </w:r>
      <w:r w:rsidRPr="007800B6">
        <w:t xml:space="preserve"> 209</w:t>
      </w:r>
      <w:r w:rsidR="003645DE">
        <w:t>, 209</w:t>
      </w:r>
      <w:r w:rsidRPr="007800B6">
        <w:t xml:space="preserve"> (1994)</w:t>
      </w:r>
      <w:r>
        <w:t xml:space="preserve"> (</w:t>
      </w:r>
      <w:r w:rsidR="00206C02">
        <w:t>RFRA’s drafters argue “that the generality of the Act resulted from a principled determination to treat all religions equally.”)</w:t>
      </w:r>
      <w:r w:rsidRPr="007800B6">
        <w:t>.</w:t>
      </w:r>
    </w:p>
  </w:footnote>
  <w:footnote w:id="248">
    <w:p w14:paraId="3162147D" w14:textId="53743C4B" w:rsidR="00717118" w:rsidRPr="00717118" w:rsidRDefault="00717118">
      <w:pPr>
        <w:pStyle w:val="FootnoteText"/>
        <w:rPr>
          <w:i/>
          <w:iCs/>
        </w:rPr>
      </w:pPr>
      <w:r>
        <w:rPr>
          <w:rStyle w:val="FootnoteReference"/>
        </w:rPr>
        <w:footnoteRef/>
      </w:r>
      <w:r>
        <w:t xml:space="preserve"> See generally id.</w:t>
      </w:r>
    </w:p>
  </w:footnote>
  <w:footnote w:id="249">
    <w:p w14:paraId="58C58D25" w14:textId="5265CE11" w:rsidR="00E84A45" w:rsidRDefault="00E84A45">
      <w:pPr>
        <w:pStyle w:val="FootnoteText"/>
      </w:pPr>
      <w:r>
        <w:rPr>
          <w:rStyle w:val="FootnoteReference"/>
        </w:rPr>
        <w:footnoteRef/>
      </w:r>
      <w:r w:rsidR="00B533D8">
        <w:t xml:space="preserve"> </w:t>
      </w:r>
      <w:r w:rsidR="00ED7E79">
        <w:t xml:space="preserve">The question I pose here is similar to a question scholars have periodically grappled with, whether certain constitutional rules are protected by </w:t>
      </w:r>
      <w:r w:rsidR="00413F52">
        <w:t xml:space="preserve">“political safeguards.” </w:t>
      </w:r>
      <w:r w:rsidR="00413F52" w:rsidRPr="00413F52">
        <w:t xml:space="preserve">Herbert Wechsler, </w:t>
      </w:r>
      <w:r w:rsidR="00413F52" w:rsidRPr="004A71D4">
        <w:rPr>
          <w:i/>
          <w:iCs/>
        </w:rPr>
        <w:t>The Political Safeguards of Federalism: The Role of the States in the Composition and Selection of the National Government</w:t>
      </w:r>
      <w:r w:rsidR="00413F52" w:rsidRPr="00413F52">
        <w:t xml:space="preserve">, 54 </w:t>
      </w:r>
      <w:r w:rsidR="004A71D4" w:rsidRPr="004A71D4">
        <w:rPr>
          <w:smallCaps/>
        </w:rPr>
        <w:t xml:space="preserve">Colum. L. Rev. </w:t>
      </w:r>
      <w:r w:rsidR="00413F52" w:rsidRPr="00413F52">
        <w:t>543 (1954).</w:t>
      </w:r>
      <w:r w:rsidR="00C85103">
        <w:t xml:space="preserve"> See </w:t>
      </w:r>
      <w:r w:rsidR="00175562">
        <w:t xml:space="preserve">generally </w:t>
      </w:r>
      <w:r w:rsidR="00C85103" w:rsidRPr="00175562">
        <w:rPr>
          <w:smallCaps/>
        </w:rPr>
        <w:t xml:space="preserve">Jesse </w:t>
      </w:r>
      <w:proofErr w:type="spellStart"/>
      <w:r w:rsidR="00C85103" w:rsidRPr="00175562">
        <w:rPr>
          <w:smallCaps/>
        </w:rPr>
        <w:t>Choper</w:t>
      </w:r>
      <w:proofErr w:type="spellEnd"/>
      <w:r w:rsidR="00C85103" w:rsidRPr="00175562">
        <w:rPr>
          <w:smallCaps/>
        </w:rPr>
        <w:t xml:space="preserve">, </w:t>
      </w:r>
      <w:r w:rsidR="00175562" w:rsidRPr="00175562">
        <w:rPr>
          <w:smallCaps/>
        </w:rPr>
        <w:t>Judicial Review and the National Political Process: A Functional Reconsideration of the Role of the Supreme Court</w:t>
      </w:r>
      <w:r w:rsidR="00175562">
        <w:t xml:space="preserve"> (1980)</w:t>
      </w:r>
      <w:r w:rsidR="00512C8C">
        <w:t>;</w:t>
      </w:r>
      <w:r w:rsidR="008962D2">
        <w:t xml:space="preserve"> Stephen G. Calabresi, </w:t>
      </w:r>
      <w:r w:rsidR="008962D2" w:rsidRPr="00C96046">
        <w:rPr>
          <w:i/>
          <w:iCs/>
        </w:rPr>
        <w:t>Federalism and the Rehnquist Court: A Normative Defense</w:t>
      </w:r>
      <w:r w:rsidR="0021032F">
        <w:t xml:space="preserve">, 574 </w:t>
      </w:r>
      <w:r w:rsidR="0021032F" w:rsidRPr="00DB5F7E">
        <w:rPr>
          <w:smallCaps/>
        </w:rPr>
        <w:t>Annals Am. Acad. Pol. Soc. Sci</w:t>
      </w:r>
      <w:r w:rsidR="0021032F">
        <w:t>. 24, 30-31 (</w:t>
      </w:r>
      <w:r w:rsidR="00C96046">
        <w:t>2001).</w:t>
      </w:r>
      <w:r w:rsidR="00EE39C0">
        <w:t xml:space="preserve"> I hope that the model of congressional behavior presented </w:t>
      </w:r>
      <w:r w:rsidR="00644F38">
        <w:t>in this paper</w:t>
      </w:r>
      <w:r w:rsidR="00EE39C0">
        <w:t xml:space="preserve"> </w:t>
      </w:r>
      <w:r w:rsidR="00611985">
        <w:t>can help to answer the question, though a full answer is beyond the scope of this paper.</w:t>
      </w:r>
    </w:p>
  </w:footnote>
  <w:footnote w:id="250">
    <w:p w14:paraId="46A84D98" w14:textId="7A10497B" w:rsidR="00B439C3" w:rsidRDefault="00B439C3">
      <w:pPr>
        <w:pStyle w:val="FootnoteText"/>
      </w:pPr>
      <w:r>
        <w:rPr>
          <w:rStyle w:val="FootnoteReference"/>
        </w:rPr>
        <w:footnoteRef/>
      </w:r>
      <w:r>
        <w:t xml:space="preserve"> My approach is similar to </w:t>
      </w:r>
      <w:r w:rsidR="00F30C51">
        <w:t xml:space="preserve">that of </w:t>
      </w:r>
      <w:r w:rsidR="007D5F66">
        <w:t xml:space="preserve">Stuart </w:t>
      </w:r>
      <w:proofErr w:type="spellStart"/>
      <w:r w:rsidR="007D5F66">
        <w:t>Scheingold</w:t>
      </w:r>
      <w:proofErr w:type="spellEnd"/>
      <w:r>
        <w:t xml:space="preserve">, who described legal rights as providing resources to political actors. </w:t>
      </w:r>
      <w:r w:rsidR="00FA7451" w:rsidRPr="00FA7451">
        <w:rPr>
          <w:smallCaps/>
        </w:rPr>
        <w:t>The Politics of Rights: Lawyers, Public Policy, and Political Change</w:t>
      </w:r>
      <w:r w:rsidR="00FA7451">
        <w:t xml:space="preserve"> </w:t>
      </w:r>
      <w:r w:rsidR="00F30C51">
        <w:t>83-97 (</w:t>
      </w:r>
      <w:r w:rsidR="00FA7451">
        <w:t xml:space="preserve">2d ed. </w:t>
      </w:r>
      <w:r w:rsidR="00F30C51">
        <w:t>2004) [1974]</w:t>
      </w:r>
      <w:r>
        <w:t>. I use “tools” rather than “resources” to empha</w:t>
      </w:r>
      <w:r w:rsidR="008179BB">
        <w:t>size the degree to which particular legal concepts are useful only to achieve particular goals.</w:t>
      </w:r>
    </w:p>
  </w:footnote>
  <w:footnote w:id="251">
    <w:p w14:paraId="5104B50A" w14:textId="4387313E" w:rsidR="002A03C6" w:rsidRPr="004E78DD" w:rsidRDefault="002A03C6">
      <w:pPr>
        <w:pStyle w:val="FootnoteText"/>
      </w:pPr>
      <w:r>
        <w:rPr>
          <w:rStyle w:val="FootnoteReference"/>
        </w:rPr>
        <w:footnoteRef/>
      </w:r>
      <w:r>
        <w:t xml:space="preserve"> See, e.g., Alexander &amp; Schauer, </w:t>
      </w:r>
      <w:r w:rsidR="004E78DD">
        <w:rPr>
          <w:i/>
          <w:iCs/>
        </w:rPr>
        <w:t>supra</w:t>
      </w:r>
      <w:r w:rsidR="004E78DD">
        <w:t xml:space="preserve"> note </w:t>
      </w:r>
      <w:r w:rsidR="004E78DD">
        <w:fldChar w:fldCharType="begin"/>
      </w:r>
      <w:r w:rsidR="004E78DD">
        <w:instrText xml:space="preserve"> NOTEREF _Ref186275237 \h </w:instrText>
      </w:r>
      <w:r w:rsidR="004E78DD">
        <w:fldChar w:fldCharType="separate"/>
      </w:r>
      <w:r w:rsidR="00454C1B">
        <w:t>29</w:t>
      </w:r>
      <w:r w:rsidR="004E78DD">
        <w:fldChar w:fldCharType="end"/>
      </w:r>
      <w:r w:rsidR="004E78DD">
        <w:t xml:space="preserve">, at </w:t>
      </w:r>
      <w:r w:rsidR="00AC181F">
        <w:t>1368.</w:t>
      </w:r>
    </w:p>
  </w:footnote>
  <w:footnote w:id="252">
    <w:p w14:paraId="095BF726" w14:textId="67D0DCAB" w:rsidR="00803104" w:rsidRDefault="00803104">
      <w:pPr>
        <w:pStyle w:val="FootnoteText"/>
      </w:pPr>
      <w:r>
        <w:rPr>
          <w:rStyle w:val="FootnoteReference"/>
        </w:rPr>
        <w:footnoteRef/>
      </w:r>
      <w:r>
        <w:t xml:space="preserve"> </w:t>
      </w:r>
      <w:r w:rsidR="00052A81" w:rsidRPr="00052A81">
        <w:t>539 U.S. 558 (2003)</w:t>
      </w:r>
      <w:r>
        <w:t>.</w:t>
      </w:r>
    </w:p>
  </w:footnote>
  <w:footnote w:id="253">
    <w:p w14:paraId="3FCB9360" w14:textId="69E390C8" w:rsidR="00803104" w:rsidRDefault="00803104">
      <w:pPr>
        <w:pStyle w:val="FootnoteText"/>
      </w:pPr>
      <w:r>
        <w:rPr>
          <w:rStyle w:val="FootnoteReference"/>
        </w:rPr>
        <w:footnoteRef/>
      </w:r>
      <w:r>
        <w:t xml:space="preserve"> </w:t>
      </w:r>
      <w:r w:rsidR="00803B60" w:rsidRPr="00803B60">
        <w:t>478 U.S. 186 (1986)</w:t>
      </w:r>
      <w:r>
        <w:t>.</w:t>
      </w:r>
    </w:p>
  </w:footnote>
  <w:footnote w:id="254">
    <w:p w14:paraId="385FAA61" w14:textId="29326124" w:rsidR="00803104" w:rsidRDefault="00803104">
      <w:pPr>
        <w:pStyle w:val="FootnoteText"/>
      </w:pPr>
      <w:r>
        <w:rPr>
          <w:rStyle w:val="FootnoteReference"/>
        </w:rPr>
        <w:footnoteRef/>
      </w:r>
      <w:r>
        <w:t xml:space="preserve"> </w:t>
      </w:r>
      <w:r w:rsidR="00A967F4">
        <w:t>539 U.S. at 594</w:t>
      </w:r>
      <w:r>
        <w:t>.</w:t>
      </w:r>
    </w:p>
  </w:footnote>
  <w:footnote w:id="255">
    <w:p w14:paraId="2F71EA1D" w14:textId="2A9253EF" w:rsidR="00677706" w:rsidRDefault="00677706">
      <w:pPr>
        <w:pStyle w:val="FootnoteText"/>
      </w:pPr>
      <w:r>
        <w:rPr>
          <w:rStyle w:val="FootnoteReference"/>
        </w:rPr>
        <w:footnoteRef/>
      </w:r>
      <w:r>
        <w:t xml:space="preserve"> Id.</w:t>
      </w:r>
      <w:r w:rsidR="004423A7">
        <w:t xml:space="preserve"> at 594-98.</w:t>
      </w:r>
      <w:r>
        <w:t xml:space="preserve"> Notably, as Scalia points, out, </w:t>
      </w:r>
      <w:r w:rsidR="00484CF3">
        <w:t xml:space="preserve">the majority also declines to hold that there is a fundamental right to engage in homosexual conduct. </w:t>
      </w:r>
      <w:r w:rsidR="00484CF3" w:rsidRPr="00484CF3">
        <w:rPr>
          <w:i/>
          <w:iCs/>
        </w:rPr>
        <w:t>Id.</w:t>
      </w:r>
      <w:r w:rsidR="00484CF3">
        <w:t xml:space="preserve"> at 594.</w:t>
      </w:r>
    </w:p>
  </w:footnote>
  <w:footnote w:id="256">
    <w:p w14:paraId="6F0B6E70" w14:textId="14B8DA9B" w:rsidR="00247A8D" w:rsidRDefault="00247A8D">
      <w:pPr>
        <w:pStyle w:val="FootnoteText"/>
      </w:pPr>
      <w:r>
        <w:rPr>
          <w:rStyle w:val="FootnoteReference"/>
        </w:rPr>
        <w:footnoteRef/>
      </w:r>
      <w:r>
        <w:t xml:space="preserve"> Id. at 582.</w:t>
      </w:r>
    </w:p>
  </w:footnote>
  <w:footnote w:id="257">
    <w:p w14:paraId="0503B7E2" w14:textId="1D5D7F24" w:rsidR="00281FA6" w:rsidRPr="00E55693" w:rsidRDefault="00281FA6">
      <w:pPr>
        <w:pStyle w:val="FootnoteText"/>
      </w:pPr>
      <w:r>
        <w:rPr>
          <w:rStyle w:val="FootnoteReference"/>
        </w:rPr>
        <w:footnoteRef/>
      </w:r>
      <w:r>
        <w:t xml:space="preserve"> This was done self-consciously. </w:t>
      </w:r>
      <w:r w:rsidRPr="00B31E07">
        <w:rPr>
          <w:i/>
          <w:iCs/>
        </w:rPr>
        <w:t>See</w:t>
      </w:r>
      <w:r>
        <w:t xml:space="preserve"> Laycox &amp; </w:t>
      </w:r>
      <w:r w:rsidR="00E55693">
        <w:t xml:space="preserve">Thomas, </w:t>
      </w:r>
      <w:r w:rsidR="00E55693">
        <w:rPr>
          <w:i/>
          <w:iCs/>
        </w:rPr>
        <w:t xml:space="preserve">supra </w:t>
      </w:r>
      <w:r w:rsidR="00E55693">
        <w:t xml:space="preserve">note </w:t>
      </w:r>
      <w:r w:rsidR="00E55693">
        <w:fldChar w:fldCharType="begin"/>
      </w:r>
      <w:r w:rsidR="00E55693">
        <w:instrText xml:space="preserve"> NOTEREF _Ref186275548 \h </w:instrText>
      </w:r>
      <w:r w:rsidR="00E55693">
        <w:fldChar w:fldCharType="separate"/>
      </w:r>
      <w:r w:rsidR="00454C1B">
        <w:t>245</w:t>
      </w:r>
      <w:r w:rsidR="00E55693">
        <w:fldChar w:fldCharType="end"/>
      </w:r>
      <w:r w:rsidR="00E55693">
        <w:t xml:space="preserve">, at </w:t>
      </w:r>
      <w:r w:rsidR="002F5A90">
        <w:t>209.</w:t>
      </w:r>
    </w:p>
  </w:footnote>
  <w:footnote w:id="258">
    <w:p w14:paraId="26094D97" w14:textId="62B5AF14" w:rsidR="00BB2BBC" w:rsidRDefault="00BB2BBC">
      <w:pPr>
        <w:pStyle w:val="FootnoteText"/>
      </w:pPr>
      <w:r>
        <w:rPr>
          <w:rStyle w:val="FootnoteReference"/>
        </w:rPr>
        <w:footnoteRef/>
      </w:r>
      <w:r>
        <w:t xml:space="preserve"> This is a response – though an admittedly preliminary response – to </w:t>
      </w:r>
      <w:r w:rsidR="00F90394">
        <w:t xml:space="preserve">recent commentary criticizing constitutionalism as a political discourse. See, e.g., </w:t>
      </w:r>
      <w:r w:rsidR="007327D8">
        <w:t xml:space="preserve">Ryan D. Doerfler &amp; Samuel </w:t>
      </w:r>
      <w:proofErr w:type="spellStart"/>
      <w:r w:rsidR="007327D8">
        <w:t>Moyn</w:t>
      </w:r>
      <w:proofErr w:type="spellEnd"/>
      <w:r w:rsidR="007327D8">
        <w:t xml:space="preserve">, </w:t>
      </w:r>
      <w:r w:rsidR="00E304C0">
        <w:rPr>
          <w:i/>
          <w:iCs/>
        </w:rPr>
        <w:t>The Constitution is Broken and Should Not Be Reclaimed</w:t>
      </w:r>
      <w:r w:rsidR="00E304C0">
        <w:t>, N.Y</w:t>
      </w:r>
      <w:r w:rsidR="00E304C0" w:rsidRPr="00E304C0">
        <w:rPr>
          <w:smallCaps/>
        </w:rPr>
        <w:t>. Times</w:t>
      </w:r>
      <w:r w:rsidR="00E304C0">
        <w:t xml:space="preserve"> </w:t>
      </w:r>
      <w:r w:rsidR="003C317F">
        <w:t xml:space="preserve">(Aug. 21, </w:t>
      </w:r>
      <w:r w:rsidR="006F10F7">
        <w:t>2022)</w:t>
      </w:r>
      <w:r w:rsidR="00691272">
        <w:t xml:space="preserve">. </w:t>
      </w:r>
      <w:hyperlink r:id="rId1" w:history="1">
        <w:r w:rsidR="00DD69B2" w:rsidRPr="00F237BB">
          <w:rPr>
            <w:rStyle w:val="Hyperlink"/>
          </w:rPr>
          <w:t>https://www.nytimes.com/2022/08/19/opinion/liberals-constitution.html</w:t>
        </w:r>
      </w:hyperlink>
      <w:r w:rsidR="00DD69B2">
        <w:t>. For a thoughtful and nuanced take on the value of constitutionalism, see</w:t>
      </w:r>
      <w:r w:rsidR="00D57AEC">
        <w:t xml:space="preserve"> generally A</w:t>
      </w:r>
      <w:r w:rsidR="00D57AEC">
        <w:rPr>
          <w:sz w:val="16"/>
        </w:rPr>
        <w:t xml:space="preserve">ZIZ </w:t>
      </w:r>
      <w:r w:rsidR="00D57AEC">
        <w:t>R</w:t>
      </w:r>
      <w:r w:rsidR="00D57AEC">
        <w:rPr>
          <w:sz w:val="16"/>
        </w:rPr>
        <w:t>ANA</w:t>
      </w:r>
      <w:r w:rsidR="00D57AEC">
        <w:t>, T</w:t>
      </w:r>
      <w:r w:rsidR="00D57AEC">
        <w:rPr>
          <w:sz w:val="16"/>
        </w:rPr>
        <w:t xml:space="preserve">HE </w:t>
      </w:r>
      <w:r w:rsidR="00D57AEC">
        <w:t>C</w:t>
      </w:r>
      <w:r w:rsidR="00D57AEC">
        <w:rPr>
          <w:sz w:val="16"/>
        </w:rPr>
        <w:t xml:space="preserve">ONSTITUTIONAL </w:t>
      </w:r>
      <w:r w:rsidR="00D57AEC">
        <w:t>B</w:t>
      </w:r>
      <w:r w:rsidR="00D57AEC">
        <w:rPr>
          <w:sz w:val="16"/>
        </w:rPr>
        <w:t>IND</w:t>
      </w:r>
      <w:r w:rsidR="00D57AEC">
        <w:t>: H</w:t>
      </w:r>
      <w:r w:rsidR="00D57AEC">
        <w:rPr>
          <w:sz w:val="16"/>
        </w:rPr>
        <w:t xml:space="preserve">OW </w:t>
      </w:r>
      <w:r w:rsidR="00D57AEC">
        <w:t>A</w:t>
      </w:r>
      <w:r w:rsidR="00D57AEC">
        <w:rPr>
          <w:sz w:val="16"/>
        </w:rPr>
        <w:t>MERICANS</w:t>
      </w:r>
      <w:r w:rsidR="00D57AEC">
        <w:rPr>
          <w:spacing w:val="1"/>
          <w:sz w:val="16"/>
        </w:rPr>
        <w:t xml:space="preserve"> </w:t>
      </w:r>
      <w:r w:rsidR="00D57AEC">
        <w:t>C</w:t>
      </w:r>
      <w:r w:rsidR="00D57AEC">
        <w:rPr>
          <w:sz w:val="16"/>
        </w:rPr>
        <w:t>AME</w:t>
      </w:r>
      <w:r w:rsidR="00D57AEC">
        <w:rPr>
          <w:spacing w:val="22"/>
          <w:sz w:val="16"/>
        </w:rPr>
        <w:t xml:space="preserve"> </w:t>
      </w:r>
      <w:r w:rsidR="00D57AEC">
        <w:rPr>
          <w:sz w:val="16"/>
        </w:rPr>
        <w:t>TO</w:t>
      </w:r>
      <w:r w:rsidR="00D57AEC">
        <w:rPr>
          <w:spacing w:val="22"/>
          <w:sz w:val="16"/>
        </w:rPr>
        <w:t xml:space="preserve"> </w:t>
      </w:r>
      <w:r w:rsidR="00D57AEC">
        <w:t>I</w:t>
      </w:r>
      <w:r w:rsidR="00D57AEC">
        <w:rPr>
          <w:sz w:val="16"/>
        </w:rPr>
        <w:t>DOLIZE</w:t>
      </w:r>
      <w:r w:rsidR="00D57AEC">
        <w:rPr>
          <w:spacing w:val="23"/>
          <w:sz w:val="16"/>
        </w:rPr>
        <w:t xml:space="preserve"> </w:t>
      </w:r>
      <w:r w:rsidR="00D57AEC">
        <w:rPr>
          <w:sz w:val="16"/>
        </w:rPr>
        <w:t>A</w:t>
      </w:r>
      <w:r w:rsidR="00D57AEC">
        <w:rPr>
          <w:spacing w:val="22"/>
          <w:sz w:val="16"/>
        </w:rPr>
        <w:t xml:space="preserve"> </w:t>
      </w:r>
      <w:r w:rsidR="00D57AEC">
        <w:t>D</w:t>
      </w:r>
      <w:r w:rsidR="00D57AEC">
        <w:rPr>
          <w:sz w:val="16"/>
        </w:rPr>
        <w:t>OCUMENT</w:t>
      </w:r>
      <w:r w:rsidR="00D57AEC">
        <w:rPr>
          <w:spacing w:val="22"/>
          <w:sz w:val="16"/>
        </w:rPr>
        <w:t xml:space="preserve"> </w:t>
      </w:r>
      <w:r w:rsidR="00D57AEC">
        <w:t>T</w:t>
      </w:r>
      <w:r w:rsidR="00D57AEC">
        <w:rPr>
          <w:sz w:val="16"/>
        </w:rPr>
        <w:t>HAT</w:t>
      </w:r>
      <w:r w:rsidR="00D57AEC">
        <w:rPr>
          <w:spacing w:val="23"/>
          <w:sz w:val="16"/>
        </w:rPr>
        <w:t xml:space="preserve"> </w:t>
      </w:r>
      <w:r w:rsidR="00D57AEC">
        <w:t>F</w:t>
      </w:r>
      <w:r w:rsidR="00D57AEC">
        <w:rPr>
          <w:sz w:val="16"/>
        </w:rPr>
        <w:t>AILS</w:t>
      </w:r>
      <w:r w:rsidR="00D57AEC">
        <w:rPr>
          <w:spacing w:val="22"/>
          <w:sz w:val="16"/>
        </w:rPr>
        <w:t xml:space="preserve"> </w:t>
      </w:r>
      <w:r w:rsidR="00D57AEC">
        <w:t>T</w:t>
      </w:r>
      <w:r w:rsidR="00D57AEC">
        <w:rPr>
          <w:sz w:val="16"/>
        </w:rPr>
        <w:t>HEM</w:t>
      </w:r>
      <w:r w:rsidR="00D57AEC">
        <w:rPr>
          <w:spacing w:val="2"/>
        </w:rPr>
        <w:t xml:space="preserve"> </w:t>
      </w:r>
      <w:r w:rsidR="00D57AEC">
        <w:t>(2024).</w:t>
      </w:r>
    </w:p>
  </w:footnote>
  <w:footnote w:id="259">
    <w:p w14:paraId="0F66C960" w14:textId="7B4D3042" w:rsidR="003E26E0" w:rsidRPr="003166F6" w:rsidRDefault="003E26E0">
      <w:pPr>
        <w:pStyle w:val="FootnoteText"/>
      </w:pPr>
      <w:r>
        <w:rPr>
          <w:rStyle w:val="FootnoteReference"/>
        </w:rPr>
        <w:footnoteRef/>
      </w:r>
      <w:r>
        <w:t xml:space="preserve"> </w:t>
      </w:r>
      <w:r w:rsidR="003166F6">
        <w:t xml:space="preserve">See </w:t>
      </w:r>
      <w:r w:rsidR="00787A7B">
        <w:t xml:space="preserve">generally </w:t>
      </w:r>
      <w:r w:rsidR="003166F6">
        <w:rPr>
          <w:smallCaps/>
        </w:rPr>
        <w:t xml:space="preserve">Cohen et al., </w:t>
      </w:r>
      <w:r w:rsidR="003166F6">
        <w:rPr>
          <w:i/>
          <w:iCs/>
        </w:rPr>
        <w:t xml:space="preserve">supra </w:t>
      </w:r>
      <w:r w:rsidR="003166F6">
        <w:t xml:space="preserve">note </w:t>
      </w:r>
      <w:r w:rsidR="00787A7B">
        <w:fldChar w:fldCharType="begin"/>
      </w:r>
      <w:r w:rsidR="00787A7B">
        <w:instrText xml:space="preserve"> NOTEREF _Ref186279231 \h </w:instrText>
      </w:r>
      <w:r w:rsidR="00787A7B">
        <w:fldChar w:fldCharType="separate"/>
      </w:r>
      <w:r w:rsidR="00454C1B">
        <w:t>46</w:t>
      </w:r>
      <w:r w:rsidR="00787A7B">
        <w:fldChar w:fldCharType="end"/>
      </w:r>
      <w:r w:rsidR="00787A7B">
        <w:t>.</w:t>
      </w:r>
    </w:p>
  </w:footnote>
  <w:footnote w:id="260">
    <w:p w14:paraId="3F6149B6" w14:textId="1333447A" w:rsidR="00C34D6F" w:rsidRDefault="00C34D6F">
      <w:pPr>
        <w:pStyle w:val="FootnoteText"/>
      </w:pPr>
      <w:r>
        <w:rPr>
          <w:rStyle w:val="FootnoteReference"/>
        </w:rPr>
        <w:footnoteRef/>
      </w:r>
      <w:r>
        <w:t xml:space="preserve"> See </w:t>
      </w:r>
      <w:r w:rsidR="0074325F" w:rsidRPr="0074325F">
        <w:t>James Snyder</w:t>
      </w:r>
      <w:r w:rsidR="0074325F">
        <w:t xml:space="preserve"> &amp;</w:t>
      </w:r>
      <w:r w:rsidR="0074325F" w:rsidRPr="0074325F">
        <w:t xml:space="preserve"> Timothy Groseclose</w:t>
      </w:r>
      <w:r w:rsidR="003C470B">
        <w:t xml:space="preserve">, </w:t>
      </w:r>
      <w:r w:rsidR="0074325F" w:rsidRPr="003C470B">
        <w:rPr>
          <w:i/>
          <w:iCs/>
        </w:rPr>
        <w:t>Estimating Party Influence in Congressional Roll-Call Voting</w:t>
      </w:r>
      <w:r w:rsidR="003C470B">
        <w:t xml:space="preserve">, 44 </w:t>
      </w:r>
      <w:r w:rsidR="003C470B" w:rsidRPr="003C470B">
        <w:rPr>
          <w:smallCaps/>
        </w:rPr>
        <w:t>Am. J. Pol. Sci.</w:t>
      </w:r>
      <w:r w:rsidR="003C470B">
        <w:t xml:space="preserve"> </w:t>
      </w:r>
      <w:r w:rsidR="0074325F" w:rsidRPr="0074325F">
        <w:t>193</w:t>
      </w:r>
      <w:r w:rsidR="003C470B">
        <w:t>, 193 (</w:t>
      </w:r>
      <w:r w:rsidR="003C470B" w:rsidRPr="0074325F">
        <w:t>2000</w:t>
      </w:r>
      <w:r w:rsidR="003C470B">
        <w:t>)</w:t>
      </w:r>
      <w:r w:rsidR="0074325F">
        <w:t xml:space="preserve">; </w:t>
      </w:r>
      <w:r w:rsidR="007148F8">
        <w:t xml:space="preserve">Nolan McCarty, Keith T. Poole &amp; Howard Rosenthal, </w:t>
      </w:r>
      <w:r w:rsidR="007148F8">
        <w:rPr>
          <w:i/>
        </w:rPr>
        <w:t>The Hunt for Party Discipline in Congress</w:t>
      </w:r>
      <w:r w:rsidR="007148F8">
        <w:t>, 95 A</w:t>
      </w:r>
      <w:r w:rsidR="007148F8">
        <w:rPr>
          <w:sz w:val="16"/>
        </w:rPr>
        <w:t>M</w:t>
      </w:r>
      <w:r w:rsidR="007148F8">
        <w:t>.</w:t>
      </w:r>
      <w:r w:rsidR="007148F8">
        <w:rPr>
          <w:spacing w:val="1"/>
        </w:rPr>
        <w:t xml:space="preserve"> </w:t>
      </w:r>
      <w:r w:rsidR="007148F8">
        <w:t>P</w:t>
      </w:r>
      <w:r w:rsidR="007148F8">
        <w:rPr>
          <w:sz w:val="16"/>
        </w:rPr>
        <w:t>OL</w:t>
      </w:r>
      <w:r w:rsidR="007148F8">
        <w:t>. S</w:t>
      </w:r>
      <w:r w:rsidR="007148F8">
        <w:rPr>
          <w:sz w:val="16"/>
        </w:rPr>
        <w:t>CI</w:t>
      </w:r>
      <w:r w:rsidR="007148F8">
        <w:t>. R</w:t>
      </w:r>
      <w:r w:rsidR="007148F8">
        <w:rPr>
          <w:sz w:val="16"/>
        </w:rPr>
        <w:t>EV</w:t>
      </w:r>
      <w:r w:rsidR="007148F8">
        <w:t>. 673, 685-86 (2001).</w:t>
      </w:r>
    </w:p>
  </w:footnote>
  <w:footnote w:id="261">
    <w:p w14:paraId="049A1CC6" w14:textId="7141FD52" w:rsidR="00412605" w:rsidRDefault="00412605">
      <w:pPr>
        <w:pStyle w:val="FootnoteText"/>
      </w:pPr>
      <w:r>
        <w:rPr>
          <w:rStyle w:val="FootnoteReference"/>
        </w:rPr>
        <w:footnoteRef/>
      </w:r>
      <w:r>
        <w:t xml:space="preserve"> See </w:t>
      </w:r>
      <w:proofErr w:type="spellStart"/>
      <w:r w:rsidR="004B7F58" w:rsidRPr="00E04CDD">
        <w:rPr>
          <w:smallCaps/>
        </w:rPr>
        <w:t>Frymer</w:t>
      </w:r>
      <w:proofErr w:type="spellEnd"/>
      <w:r w:rsidR="004B7F58">
        <w:t xml:space="preserve">, </w:t>
      </w:r>
      <w:r w:rsidR="004B7F58">
        <w:rPr>
          <w:i/>
          <w:iCs/>
        </w:rPr>
        <w:t xml:space="preserve">supra </w:t>
      </w:r>
      <w:r w:rsidR="004B7F58">
        <w:t xml:space="preserve">note </w:t>
      </w:r>
      <w:r w:rsidR="004B7F58">
        <w:fldChar w:fldCharType="begin"/>
      </w:r>
      <w:r w:rsidR="004B7F58">
        <w:instrText xml:space="preserve"> NOTEREF _Ref186106784 \h </w:instrText>
      </w:r>
      <w:r w:rsidR="004B7F58">
        <w:fldChar w:fldCharType="separate"/>
      </w:r>
      <w:r w:rsidR="00454C1B">
        <w:t>150</w:t>
      </w:r>
      <w:r w:rsidR="004B7F58">
        <w:fldChar w:fldCharType="end"/>
      </w:r>
      <w:r w:rsidR="004B7F58">
        <w:t xml:space="preserve">, at </w:t>
      </w:r>
      <w:r w:rsidR="0038546F">
        <w:t>117-25</w:t>
      </w:r>
      <w:r>
        <w:t>.</w:t>
      </w:r>
    </w:p>
  </w:footnote>
  <w:footnote w:id="262">
    <w:p w14:paraId="7D0B4AD8" w14:textId="56AA156D" w:rsidR="007D74AE" w:rsidRDefault="007D74AE">
      <w:pPr>
        <w:pStyle w:val="FootnoteText"/>
      </w:pPr>
      <w:r>
        <w:rPr>
          <w:rStyle w:val="FootnoteReference"/>
        </w:rPr>
        <w:footnoteRef/>
      </w:r>
      <w:r>
        <w:t xml:space="preserve"> See, e.g., </w:t>
      </w:r>
      <w:r w:rsidR="001D51D2">
        <w:rPr>
          <w:smallCaps/>
        </w:rPr>
        <w:t xml:space="preserve">Aage </w:t>
      </w:r>
      <w:r w:rsidR="00400661">
        <w:rPr>
          <w:smallCaps/>
        </w:rPr>
        <w:t>Clausen, How Congressmen Decide: A Policy Focus</w:t>
      </w:r>
      <w:r w:rsidR="00400661">
        <w:t xml:space="preserve"> </w:t>
      </w:r>
      <w:r w:rsidR="00BB0900">
        <w:t xml:space="preserve">97 </w:t>
      </w:r>
      <w:r w:rsidR="00400661">
        <w:t>(1973)</w:t>
      </w:r>
      <w:r w:rsidR="00BB0900">
        <w:t>.</w:t>
      </w:r>
    </w:p>
  </w:footnote>
  <w:footnote w:id="263">
    <w:p w14:paraId="6EFA900E" w14:textId="79039140" w:rsidR="005C08D0" w:rsidRDefault="002B40DB" w:rsidP="005C08D0">
      <w:pPr>
        <w:pStyle w:val="FootnoteText"/>
      </w:pPr>
      <w:r>
        <w:rPr>
          <w:rStyle w:val="FootnoteReference"/>
        </w:rPr>
        <w:footnoteRef/>
      </w:r>
      <w:r>
        <w:t xml:space="preserve"> Richard </w:t>
      </w:r>
      <w:proofErr w:type="spellStart"/>
      <w:r>
        <w:t>Fenno</w:t>
      </w:r>
      <w:proofErr w:type="spellEnd"/>
      <w:r>
        <w:t xml:space="preserve"> has shown that </w:t>
      </w:r>
      <w:r w:rsidR="005C08D0">
        <w:t>politicians are dependent for their positions not just on the “general election” constituency that ultimately elects them or the “primary constituency” that makes them the party’s nominees, but also a “personal constituency” that does that hard work of making them into a viable candidate for nomination and election.</w:t>
      </w:r>
      <w:r w:rsidR="001B67FC">
        <w:t xml:space="preserve"> </w:t>
      </w:r>
      <w:r w:rsidR="001B67FC" w:rsidRPr="00EB451A">
        <w:rPr>
          <w:i/>
          <w:iCs/>
        </w:rPr>
        <w:t>U.S. House Members in Their Constituencies: An Exploration</w:t>
      </w:r>
      <w:r w:rsidR="001B67FC">
        <w:t xml:space="preserve">, 71 </w:t>
      </w:r>
      <w:r w:rsidR="001B67FC" w:rsidRPr="00EB451A">
        <w:rPr>
          <w:smallCaps/>
        </w:rPr>
        <w:t>Am. Pol. Sci. Rev.</w:t>
      </w:r>
      <w:r w:rsidR="001B67FC">
        <w:t xml:space="preserve"> 883</w:t>
      </w:r>
      <w:r w:rsidR="00D93728">
        <w:t>, 889</w:t>
      </w:r>
      <w:r w:rsidR="001B67FC">
        <w:t xml:space="preserve"> (1977)</w:t>
      </w:r>
      <w:r w:rsidR="009228A2">
        <w:t>. Politicians must show loyalty – and may show their greatest loyalty – to this smaller group of fairly like-minded</w:t>
      </w:r>
      <w:r w:rsidR="000A671F">
        <w:t xml:space="preserve"> constituents. </w:t>
      </w:r>
      <w:r w:rsidR="00DB0F12">
        <w:t>Assuming that this group is the most likely to share the candidate’s expressed principles, they are also the most likely to hold them to those principles.</w:t>
      </w:r>
    </w:p>
  </w:footnote>
  <w:footnote w:id="264">
    <w:p w14:paraId="6BDF670E" w14:textId="1B88147E" w:rsidR="00160217" w:rsidRDefault="00160217">
      <w:pPr>
        <w:pStyle w:val="FootnoteText"/>
      </w:pPr>
      <w:r>
        <w:rPr>
          <w:rStyle w:val="FootnoteReference"/>
        </w:rPr>
        <w:footnoteRef/>
      </w:r>
      <w:r>
        <w:t xml:space="preserve"> For a thoughtful and nuanced look at this claim, see </w:t>
      </w:r>
      <w:r w:rsidR="00652E7B">
        <w:t xml:space="preserve">Eric A. </w:t>
      </w:r>
      <w:r>
        <w:t xml:space="preserve">Posner &amp; </w:t>
      </w:r>
      <w:r w:rsidR="00652E7B">
        <w:t xml:space="preserve">Cass </w:t>
      </w:r>
      <w:r>
        <w:t>Sunstein</w:t>
      </w:r>
      <w:r w:rsidR="00BD7634">
        <w:t xml:space="preserve">, </w:t>
      </w:r>
      <w:r w:rsidR="00BD7634" w:rsidRPr="00BD7634">
        <w:rPr>
          <w:i/>
          <w:iCs/>
        </w:rPr>
        <w:t>Institutional Flip-Flops</w:t>
      </w:r>
      <w:r w:rsidR="00BD7634">
        <w:t xml:space="preserve">, 94 </w:t>
      </w:r>
      <w:r w:rsidR="00BD7634" w:rsidRPr="003E088A">
        <w:rPr>
          <w:smallCaps/>
        </w:rPr>
        <w:t>Tex. L. Rev.</w:t>
      </w:r>
      <w:r w:rsidR="00BD7634">
        <w:t xml:space="preserve"> 485</w:t>
      </w:r>
      <w:r w:rsidR="00025756">
        <w:t>, 496-99</w:t>
      </w:r>
      <w:r w:rsidR="00BD7634">
        <w:t xml:space="preserve"> (2015)</w:t>
      </w:r>
      <w:r>
        <w:t xml:space="preserve">. For another, see </w:t>
      </w:r>
      <w:r w:rsidR="003E088A">
        <w:t xml:space="preserve">Mark </w:t>
      </w:r>
      <w:proofErr w:type="spellStart"/>
      <w:r>
        <w:t>Tushnet</w:t>
      </w:r>
      <w:proofErr w:type="spellEnd"/>
      <w:r w:rsidR="003E088A">
        <w:t xml:space="preserve">, </w:t>
      </w:r>
      <w:r w:rsidR="008C3B02" w:rsidRPr="008C3B02">
        <w:rPr>
          <w:i/>
          <w:iCs/>
        </w:rPr>
        <w:t>Politics as Rational Deliberation or Theater: A Response to</w:t>
      </w:r>
      <w:r w:rsidR="008C3B02">
        <w:t xml:space="preserve"> </w:t>
      </w:r>
      <w:r w:rsidR="008C3B02" w:rsidRPr="008C3B02">
        <w:t>Institutional Flip-Flops</w:t>
      </w:r>
      <w:r w:rsidR="008C3B02">
        <w:t xml:space="preserve">, 94 </w:t>
      </w:r>
      <w:r w:rsidR="008C3B02" w:rsidRPr="00C308D1">
        <w:rPr>
          <w:smallCaps/>
        </w:rPr>
        <w:t>Tex. L. Rev.</w:t>
      </w:r>
      <w:r w:rsidR="008C3B02">
        <w:t xml:space="preserve"> 82 (2015)</w:t>
      </w:r>
      <w:r>
        <w:t>.</w:t>
      </w:r>
    </w:p>
  </w:footnote>
  <w:footnote w:id="265">
    <w:p w14:paraId="29DB7CAA" w14:textId="532BA6F4" w:rsidR="005406A1" w:rsidRDefault="005406A1">
      <w:pPr>
        <w:pStyle w:val="FootnoteText"/>
      </w:pPr>
      <w:r>
        <w:rPr>
          <w:rStyle w:val="FootnoteReference"/>
        </w:rPr>
        <w:footnoteRef/>
      </w:r>
      <w:r>
        <w:t xml:space="preserve"> The term is borrowed from </w:t>
      </w:r>
      <w:r w:rsidR="008B1A9C" w:rsidRPr="008B1A9C">
        <w:t>Mathew</w:t>
      </w:r>
      <w:r w:rsidR="008B1A9C">
        <w:t xml:space="preserve"> </w:t>
      </w:r>
      <w:r w:rsidR="008B1A9C" w:rsidRPr="008B1A9C">
        <w:t>D.</w:t>
      </w:r>
      <w:r w:rsidR="008B1A9C">
        <w:t xml:space="preserve"> </w:t>
      </w:r>
      <w:r w:rsidR="008B1A9C" w:rsidRPr="008B1A9C">
        <w:t>McCubbins</w:t>
      </w:r>
      <w:r w:rsidR="008B1A9C">
        <w:t xml:space="preserve"> &amp; </w:t>
      </w:r>
      <w:r w:rsidR="008B1A9C" w:rsidRPr="008B1A9C">
        <w:t>Thomas</w:t>
      </w:r>
      <w:r w:rsidR="008B1A9C">
        <w:t xml:space="preserve"> </w:t>
      </w:r>
      <w:r w:rsidR="008B1A9C" w:rsidRPr="008B1A9C">
        <w:t>Schwartz</w:t>
      </w:r>
      <w:r w:rsidR="008B1A9C">
        <w:t xml:space="preserve">, </w:t>
      </w:r>
      <w:r w:rsidR="008B1A9C" w:rsidRPr="008B1A9C">
        <w:rPr>
          <w:i/>
          <w:iCs/>
        </w:rPr>
        <w:t>Congressional Oversight Overlooked: Police Patrols versus Fire Alarms</w:t>
      </w:r>
      <w:r w:rsidR="008B1A9C">
        <w:t>,</w:t>
      </w:r>
      <w:r w:rsidR="008B1A9C" w:rsidRPr="008B1A9C">
        <w:t xml:space="preserve"> </w:t>
      </w:r>
      <w:r w:rsidR="008B1A9C">
        <w:t xml:space="preserve">28 </w:t>
      </w:r>
      <w:r w:rsidR="008B1A9C" w:rsidRPr="008B1A9C">
        <w:rPr>
          <w:smallCaps/>
        </w:rPr>
        <w:t>Am. J. Pol. Sci.</w:t>
      </w:r>
      <w:r w:rsidR="008B1A9C">
        <w:t xml:space="preserve"> </w:t>
      </w:r>
      <w:r w:rsidR="008B1A9C" w:rsidRPr="008B1A9C">
        <w:t>165</w:t>
      </w:r>
      <w:r w:rsidR="00A010D9">
        <w:t>, 165 (1984)</w:t>
      </w:r>
      <w:r w:rsidR="008B1A9C" w:rsidRPr="008B1A9C">
        <w:t>.</w:t>
      </w:r>
    </w:p>
  </w:footnote>
  <w:footnote w:id="266">
    <w:p w14:paraId="7DDDDC78" w14:textId="5F95BA0E" w:rsidR="002D562C" w:rsidRPr="00DC753A" w:rsidRDefault="002D562C">
      <w:pPr>
        <w:pStyle w:val="FootnoteText"/>
      </w:pPr>
      <w:r>
        <w:rPr>
          <w:rStyle w:val="FootnoteReference"/>
        </w:rPr>
        <w:footnoteRef/>
      </w:r>
      <w:r>
        <w:t xml:space="preserve"> </w:t>
      </w:r>
      <w:r w:rsidR="00092875" w:rsidRPr="00DC753A">
        <w:rPr>
          <w:smallCaps/>
        </w:rPr>
        <w:t xml:space="preserve">Douglas Kriner &amp; Eric Schickler, </w:t>
      </w:r>
      <w:r w:rsidR="00DC753A" w:rsidRPr="00DC753A">
        <w:rPr>
          <w:smallCaps/>
        </w:rPr>
        <w:t>Investigating the President: Congressional Checks on Presidential Power</w:t>
      </w:r>
      <w:r w:rsidR="00DC753A">
        <w:t xml:space="preserve"> (2016).</w:t>
      </w:r>
    </w:p>
  </w:footnote>
  <w:footnote w:id="267">
    <w:p w14:paraId="5AFDE9E7" w14:textId="36CC6E89" w:rsidR="00CB11DE" w:rsidRDefault="00CB11DE" w:rsidP="00CF4233">
      <w:pPr>
        <w:pStyle w:val="FootnoteText"/>
      </w:pPr>
      <w:r>
        <w:rPr>
          <w:rStyle w:val="FootnoteReference"/>
        </w:rPr>
        <w:footnoteRef/>
      </w:r>
      <w:r>
        <w:t xml:space="preserve"> </w:t>
      </w:r>
      <w:r w:rsidR="0068522D" w:rsidRPr="0068522D">
        <w:t>Dennis</w:t>
      </w:r>
      <w:r w:rsidR="00CF4233">
        <w:t xml:space="preserve"> Chong</w:t>
      </w:r>
      <w:r w:rsidR="0068522D" w:rsidRPr="0068522D">
        <w:t xml:space="preserve"> </w:t>
      </w:r>
      <w:r w:rsidR="00CF4233">
        <w:t xml:space="preserve">&amp; </w:t>
      </w:r>
      <w:r w:rsidR="0068522D" w:rsidRPr="0068522D">
        <w:t>James N. Druckman</w:t>
      </w:r>
      <w:r w:rsidR="00CF4233">
        <w:t>,</w:t>
      </w:r>
      <w:r w:rsidR="00791883">
        <w:rPr>
          <w:i/>
          <w:iCs/>
        </w:rPr>
        <w:t xml:space="preserve"> Framing Public Opinion in Competitive Democracies</w:t>
      </w:r>
      <w:r w:rsidR="00791883">
        <w:t xml:space="preserve">, </w:t>
      </w:r>
      <w:r w:rsidR="00400D04">
        <w:t xml:space="preserve">101 </w:t>
      </w:r>
      <w:r w:rsidR="00400D04" w:rsidRPr="004A6BEB">
        <w:rPr>
          <w:smallCaps/>
        </w:rPr>
        <w:t>Am. Pol. Sci. Rev.</w:t>
      </w:r>
      <w:r w:rsidR="00400D04">
        <w:t xml:space="preserve"> 637, 64</w:t>
      </w:r>
      <w:r w:rsidR="00EC33B0">
        <w:t>2</w:t>
      </w:r>
      <w:r w:rsidR="00400D04">
        <w:t xml:space="preserve"> (2007)</w:t>
      </w:r>
      <w:r w:rsidR="0068522D" w:rsidRPr="0068522D">
        <w:t>.</w:t>
      </w:r>
      <w:r w:rsidR="005D7124">
        <w:t xml:space="preserve"> </w:t>
      </w:r>
    </w:p>
  </w:footnote>
  <w:footnote w:id="268">
    <w:p w14:paraId="25EBE0C8" w14:textId="177E5DE3" w:rsidR="0017084F" w:rsidRDefault="0017084F">
      <w:pPr>
        <w:pStyle w:val="FootnoteText"/>
      </w:pPr>
      <w:r>
        <w:rPr>
          <w:rStyle w:val="FootnoteReference"/>
        </w:rPr>
        <w:footnoteRef/>
      </w:r>
      <w:r>
        <w:t xml:space="preserve"> </w:t>
      </w:r>
      <w:r w:rsidR="00ED0952">
        <w:t xml:space="preserve">Chong &amp; Druckman, </w:t>
      </w:r>
      <w:r w:rsidR="00ED0952">
        <w:rPr>
          <w:i/>
          <w:iCs/>
        </w:rPr>
        <w:t xml:space="preserve">supra </w:t>
      </w:r>
      <w:r w:rsidR="00ED0952">
        <w:t xml:space="preserve">note </w:t>
      </w:r>
      <w:r w:rsidR="00ED0952">
        <w:fldChar w:fldCharType="begin"/>
      </w:r>
      <w:r w:rsidR="00ED0952">
        <w:instrText xml:space="preserve"> NOTEREF _Ref186281455 \h </w:instrText>
      </w:r>
      <w:r w:rsidR="00ED0952">
        <w:fldChar w:fldCharType="separate"/>
      </w:r>
      <w:r w:rsidR="00454C1B">
        <w:t>265</w:t>
      </w:r>
      <w:r w:rsidR="00ED0952">
        <w:fldChar w:fldCharType="end"/>
      </w:r>
      <w:r w:rsidR="00ED0952">
        <w:t>,</w:t>
      </w:r>
      <w:r>
        <w:t xml:space="preserve"> at 647.</w:t>
      </w:r>
    </w:p>
  </w:footnote>
  <w:footnote w:id="269">
    <w:p w14:paraId="235B911A" w14:textId="69053E0A" w:rsidR="00E536A6" w:rsidRDefault="00E536A6">
      <w:pPr>
        <w:pStyle w:val="FootnoteText"/>
      </w:pPr>
      <w:r>
        <w:rPr>
          <w:rStyle w:val="FootnoteReference"/>
        </w:rPr>
        <w:footnoteRef/>
      </w:r>
      <w:r>
        <w:t xml:space="preserve"> Id. at 648-49.</w:t>
      </w:r>
    </w:p>
  </w:footnote>
  <w:footnote w:id="270">
    <w:p w14:paraId="7256230F" w14:textId="326F18A3" w:rsidR="00663C8B" w:rsidRDefault="00663C8B">
      <w:pPr>
        <w:pStyle w:val="FootnoteText"/>
      </w:pPr>
      <w:r>
        <w:rPr>
          <w:rStyle w:val="FootnoteReference"/>
        </w:rPr>
        <w:footnoteRef/>
      </w:r>
      <w:r>
        <w:t xml:space="preserve"> See Paul M. </w:t>
      </w:r>
      <w:r w:rsidRPr="006B7CDA">
        <w:t>Sniderman</w:t>
      </w:r>
      <w:r>
        <w:t xml:space="preserve"> &amp; </w:t>
      </w:r>
      <w:r w:rsidRPr="006B7CDA">
        <w:t>Sean M. Theriault</w:t>
      </w:r>
      <w:r>
        <w:t>,</w:t>
      </w:r>
      <w:r w:rsidRPr="006B7CDA">
        <w:t xml:space="preserve"> </w:t>
      </w:r>
      <w:r w:rsidRPr="006B7CDA">
        <w:rPr>
          <w:i/>
          <w:iCs/>
        </w:rPr>
        <w:t>The Structure of Political Argument and the Logic of Issue Framing</w:t>
      </w:r>
      <w:r>
        <w:t xml:space="preserve">, </w:t>
      </w:r>
      <w:r w:rsidRPr="006B7CDA">
        <w:rPr>
          <w:i/>
          <w:iCs/>
        </w:rPr>
        <w:t>in</w:t>
      </w:r>
      <w:r>
        <w:t xml:space="preserve"> </w:t>
      </w:r>
      <w:r w:rsidRPr="00C33C52">
        <w:rPr>
          <w:smallCaps/>
        </w:rPr>
        <w:t>Studies in Public Opinion</w:t>
      </w:r>
      <w:r>
        <w:t xml:space="preserve"> 133 (</w:t>
      </w:r>
      <w:r w:rsidRPr="006B7CDA">
        <w:t>eds. Willem E. Saris, and Paul M. Sniderman</w:t>
      </w:r>
      <w:r>
        <w:t>) (</w:t>
      </w:r>
      <w:r w:rsidRPr="006B7CDA">
        <w:t>2004</w:t>
      </w:r>
      <w:r>
        <w:t>) (finding similar effects to the Chong-Druckman study after simply mentioning “free speech” or “public safety” when questioning experiment participants).</w:t>
      </w:r>
    </w:p>
  </w:footnote>
  <w:footnote w:id="271">
    <w:p w14:paraId="1DC059A3" w14:textId="0E46E048" w:rsidR="00992EA4" w:rsidRDefault="00992EA4">
      <w:pPr>
        <w:pStyle w:val="FootnoteText"/>
      </w:pPr>
      <w:r>
        <w:rPr>
          <w:rStyle w:val="FootnoteReference"/>
        </w:rPr>
        <w:footnoteRef/>
      </w:r>
      <w:r>
        <w:t xml:space="preserve"> Posner &amp; Sunstein</w:t>
      </w:r>
      <w:r w:rsidR="00F751A0">
        <w:t xml:space="preserve">, </w:t>
      </w:r>
      <w:r w:rsidR="00F751A0">
        <w:rPr>
          <w:i/>
          <w:iCs/>
        </w:rPr>
        <w:t xml:space="preserve">supra </w:t>
      </w:r>
      <w:r w:rsidR="00F751A0">
        <w:t xml:space="preserve">note </w:t>
      </w:r>
      <w:r w:rsidR="00535E57">
        <w:fldChar w:fldCharType="begin"/>
      </w:r>
      <w:r w:rsidR="00535E57">
        <w:instrText xml:space="preserve"> NOTEREF _Ref186281489 \h </w:instrText>
      </w:r>
      <w:r w:rsidR="00535E57">
        <w:fldChar w:fldCharType="separate"/>
      </w:r>
      <w:r w:rsidR="00454C1B">
        <w:t>262</w:t>
      </w:r>
      <w:r w:rsidR="00535E57">
        <w:fldChar w:fldCharType="end"/>
      </w:r>
      <w:r w:rsidR="00535E57">
        <w:t>, at</w:t>
      </w:r>
      <w:r w:rsidR="00506639">
        <w:t xml:space="preserve"> 496-99</w:t>
      </w:r>
      <w:r>
        <w:t>.</w:t>
      </w:r>
    </w:p>
  </w:footnote>
  <w:footnote w:id="272">
    <w:p w14:paraId="58C26532" w14:textId="1838C1EA" w:rsidR="003709AE" w:rsidRDefault="003709AE">
      <w:pPr>
        <w:pStyle w:val="FootnoteText"/>
      </w:pPr>
      <w:r>
        <w:rPr>
          <w:rStyle w:val="FootnoteReference"/>
        </w:rPr>
        <w:footnoteRef/>
      </w:r>
      <w:r>
        <w:t xml:space="preserve"> </w:t>
      </w:r>
      <w:r w:rsidR="005E4F35">
        <w:t xml:space="preserve">For more on the centrality of filibuster reform to the civil rights movement, see </w:t>
      </w:r>
      <w:r w:rsidR="000560D3" w:rsidRPr="000560D3">
        <w:rPr>
          <w:smallCaps/>
        </w:rPr>
        <w:t>Gelbman</w:t>
      </w:r>
      <w:r w:rsidR="000560D3">
        <w:t xml:space="preserve">, </w:t>
      </w:r>
      <w:r w:rsidR="000560D3">
        <w:rPr>
          <w:i/>
          <w:iCs/>
        </w:rPr>
        <w:t xml:space="preserve">supra </w:t>
      </w:r>
      <w:r w:rsidR="000560D3">
        <w:t xml:space="preserve">note </w:t>
      </w:r>
      <w:r w:rsidR="000560D3">
        <w:fldChar w:fldCharType="begin"/>
      </w:r>
      <w:r w:rsidR="000560D3">
        <w:instrText xml:space="preserve"> NOTEREF _Ref185855043 \h </w:instrText>
      </w:r>
      <w:r w:rsidR="000560D3">
        <w:fldChar w:fldCharType="separate"/>
      </w:r>
      <w:r w:rsidR="00454C1B">
        <w:t>48</w:t>
      </w:r>
      <w:r w:rsidR="000560D3">
        <w:fldChar w:fldCharType="end"/>
      </w:r>
      <w:r w:rsidR="000560D3">
        <w:t xml:space="preserve">, at </w:t>
      </w:r>
      <w:r w:rsidR="00AA0367">
        <w:t>33.</w:t>
      </w:r>
      <w:r w:rsidR="00F06A8D">
        <w:t xml:space="preserve"> A procedural principle can sometimes convey more information to potential coalition partners than a substantive one</w:t>
      </w:r>
      <w:r w:rsidR="005D2526">
        <w:t>, for example, when articulating a procedural principle sends a costlier signal than articulating a substantive principle</w:t>
      </w:r>
      <w:r w:rsidR="00F06A8D">
        <w:t xml:space="preserve">. </w:t>
      </w:r>
      <w:r w:rsidR="00107026">
        <w:t xml:space="preserve">For example, during House debate over the Kennedy Administration’s civil rights proposal, </w:t>
      </w:r>
      <w:r w:rsidR="00747050">
        <w:t xml:space="preserve">many MCs who declared themselves supporters of </w:t>
      </w:r>
      <w:r w:rsidR="00FC08EE">
        <w:t xml:space="preserve">civil rights legislation refused to sign the discharge petition that would have freed </w:t>
      </w:r>
      <w:r w:rsidR="00AB6958">
        <w:t xml:space="preserve">such </w:t>
      </w:r>
      <w:r w:rsidR="00A00200">
        <w:t xml:space="preserve">legislation from segregationist Rep. Smith’s Rules Committee, where it was stalled. </w:t>
      </w:r>
      <w:r w:rsidR="00FC6AFB">
        <w:t xml:space="preserve">See </w:t>
      </w:r>
      <w:r w:rsidR="002916CE">
        <w:t>Memo by Richard W. Taylor re: Rep. James Bromwell, Dec. 5, 1963, LCCR Papers, Part I: Box 50.</w:t>
      </w:r>
      <w:r w:rsidR="008F5E11">
        <w:t xml:space="preserve"> In this situation, a procedural principle in support of </w:t>
      </w:r>
      <w:r w:rsidR="00280A03">
        <w:t>discharging bills that have majority support, combined with even vague support for civil rights, provides more information than a strong commitment to civ</w:t>
      </w:r>
      <w:r w:rsidR="000C7D2C">
        <w:t>i</w:t>
      </w:r>
      <w:r w:rsidR="00280A03">
        <w:t>l rights.</w:t>
      </w:r>
    </w:p>
  </w:footnote>
  <w:footnote w:id="273">
    <w:p w14:paraId="1D1A45A2" w14:textId="5FBDE8DB" w:rsidR="00896128" w:rsidRDefault="00896128">
      <w:pPr>
        <w:pStyle w:val="FootnoteText"/>
      </w:pPr>
      <w:r>
        <w:rPr>
          <w:rStyle w:val="FootnoteReference"/>
        </w:rPr>
        <w:footnoteRef/>
      </w:r>
      <w:r>
        <w:t xml:space="preserve"> See</w:t>
      </w:r>
      <w:r w:rsidR="004F75C4">
        <w:t xml:space="preserve"> </w:t>
      </w:r>
      <w:r w:rsidR="004F75C4" w:rsidRPr="0001288E">
        <w:rPr>
          <w:smallCaps/>
        </w:rPr>
        <w:t>Richard Franklin Bensel, The Political Economy of American Industrialization</w:t>
      </w:r>
      <w:r w:rsidR="004F75C4">
        <w:t xml:space="preserve">, 1877-1900 </w:t>
      </w:r>
      <w:proofErr w:type="spellStart"/>
      <w:r w:rsidR="0001288E">
        <w:t>ch.</w:t>
      </w:r>
      <w:proofErr w:type="spellEnd"/>
      <w:r w:rsidR="0001288E">
        <w:t xml:space="preserve"> 5 (2000)</w:t>
      </w:r>
      <w:r w:rsidR="00A67B07">
        <w:t>.</w:t>
      </w:r>
    </w:p>
  </w:footnote>
  <w:footnote w:id="274">
    <w:p w14:paraId="1B87F4C5" w14:textId="4FB127CB" w:rsidR="00B62E22" w:rsidRDefault="00B62E22">
      <w:pPr>
        <w:pStyle w:val="FootnoteText"/>
      </w:pPr>
      <w:r>
        <w:rPr>
          <w:rStyle w:val="FootnoteReference"/>
        </w:rPr>
        <w:footnoteRef/>
      </w:r>
      <w:r>
        <w:t xml:space="preserve"> </w:t>
      </w:r>
      <w:r w:rsidR="006E0C31">
        <w:t xml:space="preserve">Mike </w:t>
      </w:r>
      <w:r>
        <w:t>Lee</w:t>
      </w:r>
      <w:r w:rsidR="00617BB6">
        <w:t xml:space="preserve"> on X.com (“All I wanted [for Christmas] was a restoration of the pre-1937 interpretation of the Commerce Clause”)</w:t>
      </w:r>
      <w:r w:rsidR="00BC5C5F">
        <w:t xml:space="preserve">, </w:t>
      </w:r>
      <w:r w:rsidR="00BC5C5F" w:rsidRPr="00BC5C5F">
        <w:t>https://x.com/search?q=%40mikelee%20commerce%20clause&amp;src=typed_query</w:t>
      </w:r>
    </w:p>
  </w:footnote>
  <w:footnote w:id="275">
    <w:p w14:paraId="705D20C2" w14:textId="152E9648" w:rsidR="00D0489B" w:rsidRPr="002868EB" w:rsidRDefault="00D0489B">
      <w:pPr>
        <w:pStyle w:val="FootnoteText"/>
      </w:pPr>
      <w:r>
        <w:rPr>
          <w:rStyle w:val="FootnoteReference"/>
        </w:rPr>
        <w:footnoteRef/>
      </w:r>
      <w:r>
        <w:t xml:space="preserve"> </w:t>
      </w:r>
      <w:r w:rsidR="00682FBA">
        <w:t xml:space="preserve">See </w:t>
      </w:r>
      <w:r w:rsidR="00E331E7">
        <w:t xml:space="preserve">Darryl J. Levinson &amp; Richard </w:t>
      </w:r>
      <w:proofErr w:type="spellStart"/>
      <w:r w:rsidR="00E331E7">
        <w:t>Pildes</w:t>
      </w:r>
      <w:proofErr w:type="spellEnd"/>
      <w:r w:rsidR="00E331E7">
        <w:t xml:space="preserve">, </w:t>
      </w:r>
      <w:r w:rsidR="00E331E7" w:rsidRPr="00E331E7">
        <w:rPr>
          <w:i/>
          <w:iCs/>
        </w:rPr>
        <w:t>Separation of Parties, Not Powers</w:t>
      </w:r>
      <w:r w:rsidR="002868EB">
        <w:t xml:space="preserve">, 119 </w:t>
      </w:r>
      <w:r w:rsidR="002868EB" w:rsidRPr="00FF3A67">
        <w:rPr>
          <w:smallCaps/>
        </w:rPr>
        <w:t>Harv. L. Rev</w:t>
      </w:r>
      <w:r w:rsidR="002868EB">
        <w:t xml:space="preserve">. 2311, </w:t>
      </w:r>
      <w:r w:rsidR="000435EC">
        <w:t>2342-47 (2006).</w:t>
      </w:r>
    </w:p>
  </w:footnote>
  <w:footnote w:id="276">
    <w:p w14:paraId="0E8E93E1" w14:textId="7E672F27" w:rsidR="00FF35D2" w:rsidRPr="00FF35D2" w:rsidRDefault="00FF35D2">
      <w:pPr>
        <w:pStyle w:val="FootnoteText"/>
      </w:pPr>
      <w:r>
        <w:rPr>
          <w:rStyle w:val="FootnoteReference"/>
        </w:rPr>
        <w:footnoteRef/>
      </w:r>
      <w:r>
        <w:t xml:space="preserve"> See Dahl, </w:t>
      </w:r>
      <w:r>
        <w:rPr>
          <w:i/>
          <w:iCs/>
        </w:rPr>
        <w:t xml:space="preserve">supra </w:t>
      </w:r>
      <w:r>
        <w:t xml:space="preserve">note </w:t>
      </w:r>
      <w:r>
        <w:fldChar w:fldCharType="begin"/>
      </w:r>
      <w:r>
        <w:instrText xml:space="preserve"> NOTEREF _Ref186284647 \h </w:instrText>
      </w:r>
      <w:r>
        <w:fldChar w:fldCharType="separate"/>
      </w:r>
      <w:r w:rsidR="00454C1B">
        <w:t>146</w:t>
      </w:r>
      <w:r>
        <w:fldChar w:fldCharType="end"/>
      </w:r>
      <w:r>
        <w:t xml:space="preserve">, at </w:t>
      </w:r>
      <w:r w:rsidR="00F15DE0">
        <w:t>121.</w:t>
      </w:r>
    </w:p>
  </w:footnote>
  <w:footnote w:id="277">
    <w:p w14:paraId="2DE61384" w14:textId="3A335343" w:rsidR="00226472" w:rsidRDefault="00226472">
      <w:pPr>
        <w:pStyle w:val="FootnoteText"/>
      </w:pPr>
      <w:r>
        <w:rPr>
          <w:rStyle w:val="FootnoteReference"/>
        </w:rPr>
        <w:footnoteRef/>
      </w:r>
      <w:r>
        <w:t xml:space="preserve"> </w:t>
      </w:r>
      <w:r w:rsidR="000A3F95">
        <w:t xml:space="preserve">See, e.g., </w:t>
      </w:r>
      <w:r w:rsidR="00AD0AB3">
        <w:t xml:space="preserve">id.; </w:t>
      </w:r>
      <w:r w:rsidR="000E0539">
        <w:t xml:space="preserve">Levinson &amp; </w:t>
      </w:r>
      <w:proofErr w:type="spellStart"/>
      <w:r w:rsidR="000E0539">
        <w:t>Pildes</w:t>
      </w:r>
      <w:proofErr w:type="spellEnd"/>
      <w:r w:rsidR="000E0539">
        <w:t xml:space="preserve">, </w:t>
      </w:r>
      <w:r w:rsidR="001E419F">
        <w:rPr>
          <w:i/>
          <w:iCs/>
        </w:rPr>
        <w:t>supra</w:t>
      </w:r>
      <w:r w:rsidR="00AC55E6">
        <w:t xml:space="preserve"> note </w:t>
      </w:r>
      <w:r w:rsidR="00AC55E6">
        <w:fldChar w:fldCharType="begin"/>
      </w:r>
      <w:r w:rsidR="00AC55E6">
        <w:instrText xml:space="preserve"> NOTEREF _Ref186479376 \h </w:instrText>
      </w:r>
      <w:r w:rsidR="00AC55E6">
        <w:fldChar w:fldCharType="separate"/>
      </w:r>
      <w:r w:rsidR="00454C1B">
        <w:t>273</w:t>
      </w:r>
      <w:r w:rsidR="00AC55E6">
        <w:fldChar w:fldCharType="end"/>
      </w:r>
      <w:r w:rsidR="000E0539">
        <w:t>,</w:t>
      </w:r>
      <w:r w:rsidR="00AC55E6">
        <w:t xml:space="preserve"> at</w:t>
      </w:r>
      <w:r w:rsidR="00F46A53">
        <w:t xml:space="preserve"> </w:t>
      </w:r>
      <w:r w:rsidR="00F85D68" w:rsidRPr="000E0539">
        <w:t>2347</w:t>
      </w:r>
      <w:r w:rsidR="00F85D68">
        <w:t>-85.</w:t>
      </w:r>
    </w:p>
  </w:footnote>
  <w:footnote w:id="278">
    <w:p w14:paraId="1F8ED6EE" w14:textId="5443C3AD" w:rsidR="00BD199D" w:rsidRDefault="00BD199D">
      <w:pPr>
        <w:pStyle w:val="FootnoteText"/>
      </w:pPr>
      <w:r>
        <w:rPr>
          <w:rStyle w:val="FootnoteReference"/>
        </w:rPr>
        <w:footnoteRef/>
      </w:r>
      <w:r>
        <w:t xml:space="preserve"> Alternatively, given the size of the current conservative majority on the Supreme Court, it may simply be unthinkable that the Court will </w:t>
      </w:r>
      <w:r w:rsidR="00C03758">
        <w:t xml:space="preserve">be interested in protecting rights valued by progressives, at least in the reasonably foreseeable future. </w:t>
      </w:r>
    </w:p>
  </w:footnote>
  <w:footnote w:id="279">
    <w:p w14:paraId="5049A7B7" w14:textId="5B1E30E9" w:rsidR="00727423" w:rsidRDefault="00727423" w:rsidP="005F106B">
      <w:pPr>
        <w:pStyle w:val="FootnoteText"/>
      </w:pPr>
      <w:r>
        <w:rPr>
          <w:rStyle w:val="FootnoteReference"/>
        </w:rPr>
        <w:footnoteRef/>
      </w:r>
      <w:r>
        <w:t xml:space="preserve"> For more on the use of the judiciary to entrench </w:t>
      </w:r>
      <w:r w:rsidR="007B5828">
        <w:t xml:space="preserve">policies, see </w:t>
      </w:r>
      <w:r w:rsidR="007904FE">
        <w:t>generally</w:t>
      </w:r>
      <w:r w:rsidR="005F106B" w:rsidRPr="005F106B">
        <w:t xml:space="preserve"> </w:t>
      </w:r>
      <w:r w:rsidR="005F106B">
        <w:t>Ran</w:t>
      </w:r>
      <w:r w:rsidR="00AC39CB">
        <w:t xml:space="preserve"> Hirschl</w:t>
      </w:r>
      <w:r w:rsidR="005F106B">
        <w:t xml:space="preserve">, </w:t>
      </w:r>
      <w:r w:rsidR="005F106B" w:rsidRPr="00784AAC">
        <w:rPr>
          <w:i/>
          <w:iCs/>
        </w:rPr>
        <w:t xml:space="preserve">The Political </w:t>
      </w:r>
      <w:r w:rsidR="00784AAC" w:rsidRPr="00784AAC">
        <w:rPr>
          <w:i/>
          <w:iCs/>
        </w:rPr>
        <w:t>O</w:t>
      </w:r>
      <w:r w:rsidR="005F106B" w:rsidRPr="00784AAC">
        <w:rPr>
          <w:i/>
          <w:iCs/>
        </w:rPr>
        <w:t xml:space="preserve">rigins of </w:t>
      </w:r>
      <w:r w:rsidR="00784AAC" w:rsidRPr="00784AAC">
        <w:rPr>
          <w:i/>
          <w:iCs/>
        </w:rPr>
        <w:t>J</w:t>
      </w:r>
      <w:r w:rsidR="005F106B" w:rsidRPr="00784AAC">
        <w:rPr>
          <w:i/>
          <w:iCs/>
        </w:rPr>
        <w:t xml:space="preserve">udicial </w:t>
      </w:r>
      <w:r w:rsidR="00784AAC" w:rsidRPr="00784AAC">
        <w:rPr>
          <w:i/>
          <w:iCs/>
        </w:rPr>
        <w:t>E</w:t>
      </w:r>
      <w:r w:rsidR="005F106B" w:rsidRPr="00784AAC">
        <w:rPr>
          <w:i/>
          <w:iCs/>
        </w:rPr>
        <w:t xml:space="preserve">mpowerment through </w:t>
      </w:r>
      <w:proofErr w:type="spellStart"/>
      <w:r w:rsidR="00784AAC" w:rsidRPr="00784AAC">
        <w:rPr>
          <w:i/>
          <w:iCs/>
        </w:rPr>
        <w:t>C</w:t>
      </w:r>
      <w:r w:rsidR="005F106B" w:rsidRPr="00784AAC">
        <w:rPr>
          <w:i/>
          <w:iCs/>
        </w:rPr>
        <w:t>onstitutionalization</w:t>
      </w:r>
      <w:proofErr w:type="spellEnd"/>
      <w:r w:rsidR="005F106B" w:rsidRPr="00784AAC">
        <w:rPr>
          <w:i/>
          <w:iCs/>
        </w:rPr>
        <w:t xml:space="preserve">: </w:t>
      </w:r>
      <w:r w:rsidR="00784AAC" w:rsidRPr="00784AAC">
        <w:rPr>
          <w:i/>
          <w:iCs/>
        </w:rPr>
        <w:t>L</w:t>
      </w:r>
      <w:r w:rsidR="005F106B" w:rsidRPr="00784AAC">
        <w:rPr>
          <w:i/>
          <w:iCs/>
        </w:rPr>
        <w:t>essons from Israel’s Constitutional Revolution</w:t>
      </w:r>
      <w:r w:rsidR="005F106B">
        <w:t xml:space="preserve">, </w:t>
      </w:r>
      <w:r w:rsidR="005F106B" w:rsidRPr="00AC39CB">
        <w:rPr>
          <w:smallCaps/>
        </w:rPr>
        <w:t>Comparative Pol.</w:t>
      </w:r>
      <w:r w:rsidR="005F106B">
        <w:t xml:space="preserve"> 315</w:t>
      </w:r>
      <w:r w:rsidR="00AC39CB">
        <w:t xml:space="preserve"> (2001)</w:t>
      </w:r>
      <w:r w:rsidR="005F106B">
        <w:t>.</w:t>
      </w:r>
      <w:r w:rsidR="007904FE">
        <w:t xml:space="preserve"> </w:t>
      </w:r>
      <w:r w:rsidR="00F60E87">
        <w:t xml:space="preserve">Howard Gillman, </w:t>
      </w:r>
      <w:r w:rsidR="00F60E87" w:rsidRPr="00F60E87">
        <w:rPr>
          <w:i/>
          <w:iCs/>
        </w:rPr>
        <w:t>How Political Parties Can Use the Courts to Advance Their Agendas: Federal Courts in the United States, 1875–1891</w:t>
      </w:r>
      <w:r w:rsidR="00F60E87">
        <w:t xml:space="preserve">, 96 </w:t>
      </w:r>
      <w:r w:rsidR="00F60E87" w:rsidRPr="00F60E87">
        <w:rPr>
          <w:smallCaps/>
        </w:rPr>
        <w:t>Am. Pol. Sci. Rev.</w:t>
      </w:r>
      <w:r w:rsidR="00F60E87">
        <w:t xml:space="preserve"> 511 (2002).</w:t>
      </w:r>
    </w:p>
  </w:footnote>
  <w:footnote w:id="280">
    <w:p w14:paraId="35716333" w14:textId="5C0652ED" w:rsidR="006E5A4D" w:rsidRPr="006E5A4D" w:rsidRDefault="006E5A4D">
      <w:pPr>
        <w:pStyle w:val="FootnoteText"/>
      </w:pPr>
      <w:r>
        <w:rPr>
          <w:rStyle w:val="FootnoteReference"/>
        </w:rPr>
        <w:footnoteRef/>
      </w:r>
      <w:r>
        <w:t xml:space="preserve"> For a balanced consideration of this idea, see Levinson &amp; </w:t>
      </w:r>
      <w:proofErr w:type="spellStart"/>
      <w:r>
        <w:t>Pildes</w:t>
      </w:r>
      <w:proofErr w:type="spellEnd"/>
      <w:r>
        <w:t xml:space="preserve">, </w:t>
      </w:r>
      <w:r>
        <w:rPr>
          <w:i/>
          <w:iCs/>
        </w:rPr>
        <w:t xml:space="preserve">supra </w:t>
      </w:r>
      <w:r>
        <w:t xml:space="preserve">note </w:t>
      </w:r>
      <w:r w:rsidR="00582A03">
        <w:fldChar w:fldCharType="begin"/>
      </w:r>
      <w:r w:rsidR="00582A03">
        <w:instrText xml:space="preserve"> NOTEREF _Ref186479376 \h </w:instrText>
      </w:r>
      <w:r w:rsidR="00582A03">
        <w:fldChar w:fldCharType="separate"/>
      </w:r>
      <w:r w:rsidR="00454C1B">
        <w:t>273</w:t>
      </w:r>
      <w:r w:rsidR="00582A03">
        <w:fldChar w:fldCharType="end"/>
      </w:r>
      <w:r>
        <w:t>, at</w:t>
      </w:r>
      <w:r w:rsidR="00D9134A">
        <w:t xml:space="preserve"> 2368-75.</w:t>
      </w:r>
    </w:p>
  </w:footnote>
  <w:footnote w:id="281">
    <w:p w14:paraId="69619FD9" w14:textId="42C3575A" w:rsidR="0084652D" w:rsidRDefault="0084652D">
      <w:pPr>
        <w:pStyle w:val="FootnoteText"/>
      </w:pPr>
      <w:r>
        <w:rPr>
          <w:rStyle w:val="FootnoteReference"/>
        </w:rPr>
        <w:footnoteRef/>
      </w:r>
      <w:r>
        <w:t xml:space="preserve"> </w:t>
      </w:r>
      <w:r w:rsidR="0079410B">
        <w:t xml:space="preserve">Cf. </w:t>
      </w:r>
      <w:r w:rsidR="001416F0">
        <w:t xml:space="preserve">Dahl, </w:t>
      </w:r>
      <w:r w:rsidR="001416F0">
        <w:rPr>
          <w:i/>
          <w:iCs/>
        </w:rPr>
        <w:t xml:space="preserve">supra </w:t>
      </w:r>
      <w:r w:rsidR="001416F0">
        <w:t xml:space="preserve">note </w:t>
      </w:r>
      <w:r w:rsidR="001416F0">
        <w:fldChar w:fldCharType="begin"/>
      </w:r>
      <w:r w:rsidR="001416F0">
        <w:instrText xml:space="preserve"> NOTEREF _Ref186284647 \h </w:instrText>
      </w:r>
      <w:r w:rsidR="001416F0">
        <w:fldChar w:fldCharType="separate"/>
      </w:r>
      <w:r w:rsidR="00454C1B">
        <w:t>146</w:t>
      </w:r>
      <w:r w:rsidR="001416F0">
        <w:fldChar w:fldCharType="end"/>
      </w:r>
      <w:r w:rsidR="001416F0">
        <w:t>, at 127-34 (arguing that the Senate structure, generally, is a poor tool for protecting the intensely held preferences of minorities).</w:t>
      </w:r>
    </w:p>
  </w:footnote>
  <w:footnote w:id="282">
    <w:p w14:paraId="2447A426" w14:textId="676FEDAE" w:rsidR="00352159" w:rsidRDefault="00352159" w:rsidP="00352159">
      <w:pPr>
        <w:pStyle w:val="FootnoteText"/>
      </w:pPr>
      <w:r>
        <w:rPr>
          <w:rStyle w:val="FootnoteReference"/>
        </w:rPr>
        <w:footnoteRef/>
      </w:r>
      <w:r>
        <w:t xml:space="preserve"> See </w:t>
      </w:r>
      <w:r w:rsidR="00A11023">
        <w:t xml:space="preserve">Levinson &amp; </w:t>
      </w:r>
      <w:proofErr w:type="spellStart"/>
      <w:r w:rsidR="00A11023">
        <w:t>Pildes</w:t>
      </w:r>
      <w:proofErr w:type="spellEnd"/>
      <w:r w:rsidR="00A11023">
        <w:t xml:space="preserve">, </w:t>
      </w:r>
      <w:r w:rsidR="00A11023">
        <w:rPr>
          <w:i/>
          <w:iCs/>
        </w:rPr>
        <w:t xml:space="preserve">supra </w:t>
      </w:r>
      <w:r w:rsidR="00A11023">
        <w:t xml:space="preserve">note </w:t>
      </w:r>
      <w:r w:rsidR="00A11023">
        <w:fldChar w:fldCharType="begin"/>
      </w:r>
      <w:r w:rsidR="00A11023">
        <w:instrText xml:space="preserve"> NOTEREF _Ref186479376 \h </w:instrText>
      </w:r>
      <w:r w:rsidR="00A11023">
        <w:fldChar w:fldCharType="separate"/>
      </w:r>
      <w:r w:rsidR="00454C1B">
        <w:t>273</w:t>
      </w:r>
      <w:r w:rsidR="00A11023">
        <w:fldChar w:fldCharType="end"/>
      </w:r>
      <w:r w:rsidR="00A11023">
        <w:t>, at 2368-75</w:t>
      </w:r>
      <w:r>
        <w:t>.</w:t>
      </w:r>
    </w:p>
  </w:footnote>
  <w:footnote w:id="283">
    <w:p w14:paraId="5EEB1947" w14:textId="0E0240B9" w:rsidR="0053208C" w:rsidRDefault="0053208C">
      <w:pPr>
        <w:pStyle w:val="FootnoteText"/>
      </w:pPr>
      <w:r>
        <w:rPr>
          <w:rStyle w:val="FootnoteReference"/>
        </w:rPr>
        <w:footnoteRef/>
      </w:r>
      <w:r>
        <w:t xml:space="preserve">Because the House tends to pass a unique rule for each legislative debate, and that rule tends to </w:t>
      </w:r>
      <w:r w:rsidR="00122877">
        <w:t xml:space="preserve">supersede any standing rules, constitutional points of order are effectively off limits in the House. </w:t>
      </w:r>
      <w:r w:rsidR="008B71B2">
        <w:t xml:space="preserve">In theory, there is no reason not to facilitate constitutional deliberation in the House as well as the Senate, and if the Senate consistently held constitutional debates perhaps the House would follow suit. However, it is </w:t>
      </w:r>
      <w:r w:rsidR="008E2AEA">
        <w:t>difficult to see how House rules can institutionalize this process.</w:t>
      </w:r>
    </w:p>
  </w:footnote>
  <w:footnote w:id="284">
    <w:p w14:paraId="1151ADB7" w14:textId="71006FEB" w:rsidR="000D29A0" w:rsidRPr="00E627A3" w:rsidRDefault="000D29A0">
      <w:pPr>
        <w:pStyle w:val="FootnoteText"/>
      </w:pPr>
      <w:r>
        <w:rPr>
          <w:rStyle w:val="FootnoteReference"/>
        </w:rPr>
        <w:footnoteRef/>
      </w:r>
      <w:r>
        <w:t xml:space="preserve"> </w:t>
      </w:r>
      <w:proofErr w:type="spellStart"/>
      <w:r w:rsidR="00E627A3">
        <w:t>Tushnet</w:t>
      </w:r>
      <w:proofErr w:type="spellEnd"/>
      <w:r w:rsidR="00E627A3">
        <w:t xml:space="preserve">, </w:t>
      </w:r>
      <w:r w:rsidR="00E627A3">
        <w:rPr>
          <w:i/>
          <w:iCs/>
        </w:rPr>
        <w:t xml:space="preserve">supra </w:t>
      </w:r>
      <w:r w:rsidR="00E627A3">
        <w:t xml:space="preserve">note </w:t>
      </w:r>
      <w:r w:rsidR="00223FE6">
        <w:fldChar w:fldCharType="begin"/>
      </w:r>
      <w:r w:rsidR="00223FE6">
        <w:instrText xml:space="preserve"> NOTEREF _Ref185849775 \h </w:instrText>
      </w:r>
      <w:r w:rsidR="00223FE6">
        <w:fldChar w:fldCharType="separate"/>
      </w:r>
      <w:r w:rsidR="00454C1B">
        <w:t>18</w:t>
      </w:r>
      <w:r w:rsidR="00223FE6">
        <w:fldChar w:fldCharType="end"/>
      </w:r>
      <w:r w:rsidR="00223FE6">
        <w:t>, at 1556-68.</w:t>
      </w:r>
    </w:p>
  </w:footnote>
  <w:footnote w:id="285">
    <w:p w14:paraId="47191031" w14:textId="2A287F5D" w:rsidR="00945867" w:rsidRDefault="00945867">
      <w:pPr>
        <w:pStyle w:val="FootnoteText"/>
      </w:pPr>
      <w:r>
        <w:rPr>
          <w:rStyle w:val="FootnoteReference"/>
        </w:rPr>
        <w:footnoteRef/>
      </w:r>
      <w:r>
        <w:t xml:space="preserve"> I realize that to supporters of the filibuster this may seem like a very small tail (my desire for greater constitutional deliberation) </w:t>
      </w:r>
      <w:r w:rsidR="002A135C">
        <w:t xml:space="preserve">wagging a very large dog (and end to the filibuster). My proposal will be most attractive to those who currently oppose the filibuster but have questions about simply eliminating it. </w:t>
      </w:r>
      <w:r w:rsidR="002A347F">
        <w:t xml:space="preserve">For an example of a proposal to mend not end the filibuster, see </w:t>
      </w:r>
      <w:r w:rsidR="002A347F" w:rsidRPr="002A347F">
        <w:t>Jonathan S</w:t>
      </w:r>
      <w:r w:rsidR="002A347F">
        <w:t xml:space="preserve">. </w:t>
      </w:r>
      <w:r w:rsidR="002A347F" w:rsidRPr="002A347F">
        <w:t xml:space="preserve">Gould, Kenneth A. </w:t>
      </w:r>
      <w:proofErr w:type="spellStart"/>
      <w:r w:rsidR="002A347F" w:rsidRPr="002A347F">
        <w:t>Shepsle</w:t>
      </w:r>
      <w:proofErr w:type="spellEnd"/>
      <w:r w:rsidR="002A347F" w:rsidRPr="002A347F">
        <w:t xml:space="preserve">, </w:t>
      </w:r>
      <w:r w:rsidR="002A347F">
        <w:t xml:space="preserve">&amp; </w:t>
      </w:r>
      <w:r w:rsidR="002A347F" w:rsidRPr="002A347F">
        <w:t>Matthew C. Stephenson</w:t>
      </w:r>
      <w:r w:rsidR="002A347F">
        <w:t xml:space="preserve">, </w:t>
      </w:r>
      <w:r w:rsidR="002A347F" w:rsidRPr="002A347F">
        <w:rPr>
          <w:i/>
          <w:iCs/>
        </w:rPr>
        <w:t xml:space="preserve">Democratizing the Senate from </w:t>
      </w:r>
      <w:r w:rsidR="002A347F">
        <w:rPr>
          <w:i/>
          <w:iCs/>
        </w:rPr>
        <w:t>W</w:t>
      </w:r>
      <w:r w:rsidR="002A347F" w:rsidRPr="002A347F">
        <w:rPr>
          <w:i/>
          <w:iCs/>
        </w:rPr>
        <w:t>ithin</w:t>
      </w:r>
      <w:r w:rsidR="002A347F">
        <w:t xml:space="preserve">, 13 </w:t>
      </w:r>
      <w:r w:rsidR="002A347F" w:rsidRPr="002A347F">
        <w:rPr>
          <w:smallCaps/>
        </w:rPr>
        <w:t>J. Legal Analysis</w:t>
      </w:r>
      <w:r w:rsidR="002A347F">
        <w:t xml:space="preserve"> 502 </w:t>
      </w:r>
      <w:r w:rsidR="002A347F" w:rsidRPr="002A347F">
        <w:t>(2021).</w:t>
      </w:r>
    </w:p>
  </w:footnote>
  <w:footnote w:id="286">
    <w:p w14:paraId="6A04F4D2" w14:textId="2006F676" w:rsidR="00F2372A" w:rsidRPr="008D252B" w:rsidRDefault="00F2372A">
      <w:pPr>
        <w:pStyle w:val="FootnoteText"/>
        <w:rPr>
          <w:i/>
          <w:iCs/>
        </w:rPr>
      </w:pPr>
      <w:r>
        <w:rPr>
          <w:rStyle w:val="FootnoteReference"/>
        </w:rPr>
        <w:footnoteRef/>
      </w:r>
      <w:r>
        <w:t xml:space="preserve"> </w:t>
      </w:r>
      <w:r w:rsidR="00944208">
        <w:t xml:space="preserve">See </w:t>
      </w:r>
      <w:r w:rsidR="00944208" w:rsidRPr="00944208">
        <w:t xml:space="preserve">Robin </w:t>
      </w:r>
      <w:r w:rsidR="00454C1B">
        <w:t xml:space="preserve">L. </w:t>
      </w:r>
      <w:r w:rsidR="00944208" w:rsidRPr="00944208">
        <w:t xml:space="preserve">West, </w:t>
      </w:r>
      <w:r w:rsidR="00944208" w:rsidRPr="00944208">
        <w:rPr>
          <w:i/>
          <w:iCs/>
        </w:rPr>
        <w:t>The Missing Jurisprudence of the Legislated Constitution</w:t>
      </w:r>
      <w:r w:rsidR="00944208">
        <w:t xml:space="preserve">, </w:t>
      </w:r>
      <w:r w:rsidR="00944208">
        <w:rPr>
          <w:i/>
          <w:iCs/>
        </w:rPr>
        <w:t xml:space="preserve">in </w:t>
      </w:r>
      <w:r w:rsidR="00944208" w:rsidRPr="00944208">
        <w:rPr>
          <w:smallCaps/>
        </w:rPr>
        <w:t>The Constitution in</w:t>
      </w:r>
      <w:r w:rsidR="00277438">
        <w:rPr>
          <w:smallCaps/>
        </w:rPr>
        <w:t xml:space="preserve"> </w:t>
      </w:r>
      <w:r w:rsidR="00944208" w:rsidRPr="00944208">
        <w:rPr>
          <w:smallCaps/>
        </w:rPr>
        <w:t>2020</w:t>
      </w:r>
      <w:r w:rsidR="00944208">
        <w:rPr>
          <w:smallCaps/>
        </w:rPr>
        <w:t xml:space="preserve"> 79</w:t>
      </w:r>
      <w:r w:rsidR="00944208" w:rsidRPr="00944208">
        <w:t xml:space="preserve"> (2011)</w:t>
      </w:r>
      <w:r>
        <w:t>.</w:t>
      </w:r>
      <w:r w:rsidR="00AB42D1">
        <w:t xml:space="preserve"> </w:t>
      </w:r>
    </w:p>
  </w:footnote>
  <w:footnote w:id="287">
    <w:p w14:paraId="6BE06551" w14:textId="2DA51FB2" w:rsidR="000D61A6" w:rsidRDefault="000D61A6">
      <w:pPr>
        <w:pStyle w:val="FootnoteText"/>
      </w:pPr>
      <w:r>
        <w:rPr>
          <w:rStyle w:val="FootnoteReference"/>
        </w:rPr>
        <w:footnoteRef/>
      </w:r>
      <w:r>
        <w:t xml:space="preserve"> </w:t>
      </w:r>
      <w:r w:rsidR="00500272">
        <w:t xml:space="preserve">Robin </w:t>
      </w:r>
      <w:r w:rsidR="00454C1B">
        <w:t xml:space="preserve">L. </w:t>
      </w:r>
      <w:r w:rsidR="00500272">
        <w:t xml:space="preserve">West, </w:t>
      </w:r>
      <w:r w:rsidR="00500272">
        <w:rPr>
          <w:i/>
          <w:iCs/>
        </w:rPr>
        <w:t xml:space="preserve">Toward the Study of the Legislated </w:t>
      </w:r>
      <w:r w:rsidR="00500272" w:rsidRPr="00500272">
        <w:rPr>
          <w:i/>
          <w:iCs/>
        </w:rPr>
        <w:t>Constitution</w:t>
      </w:r>
      <w:r w:rsidR="00500272">
        <w:t xml:space="preserve">, 72 </w:t>
      </w:r>
      <w:r w:rsidR="00500272" w:rsidRPr="00500272">
        <w:rPr>
          <w:smallCaps/>
        </w:rPr>
        <w:t>Ohio St. L. Rev.</w:t>
      </w:r>
      <w:r w:rsidR="00500272">
        <w:rPr>
          <w:smallCaps/>
        </w:rPr>
        <w:t xml:space="preserve"> 1343,</w:t>
      </w:r>
      <w:r w:rsidR="00500272">
        <w:t xml:space="preserve"> </w:t>
      </w:r>
      <w:r w:rsidR="00DC2E75" w:rsidRPr="00500272">
        <w:t>1360</w:t>
      </w:r>
      <w:r w:rsidR="00DC2E75">
        <w:t>-61 (</w:t>
      </w:r>
      <w:r w:rsidR="006C4A32">
        <w:t>2011).</w:t>
      </w:r>
      <w:r w:rsidR="00B94298">
        <w:t xml:space="preserve"> This possibility may seem limited when the constitutional point of order is available only to block legislation. But nothing would stop senators from blocking legislation to cut welfare benefits based on an alleged right to subsistence. See </w:t>
      </w:r>
      <w:r w:rsidR="0049629D" w:rsidRPr="0049629D">
        <w:t>Akhil Reed</w:t>
      </w:r>
      <w:r w:rsidR="00313DC5">
        <w:t xml:space="preserve"> </w:t>
      </w:r>
      <w:r w:rsidR="00313DC5" w:rsidRPr="0049629D">
        <w:t>Amar,</w:t>
      </w:r>
      <w:r w:rsidR="0049629D" w:rsidRPr="0049629D">
        <w:t xml:space="preserve"> </w:t>
      </w:r>
      <w:r w:rsidR="0049629D" w:rsidRPr="00313DC5">
        <w:rPr>
          <w:i/>
          <w:iCs/>
        </w:rPr>
        <w:t>Property and the Constitution: Panel II</w:t>
      </w:r>
      <w:r w:rsidR="00B566CF">
        <w:rPr>
          <w:i/>
          <w:iCs/>
        </w:rPr>
        <w:t xml:space="preserve"> – </w:t>
      </w:r>
      <w:r w:rsidR="0049629D" w:rsidRPr="00313DC5">
        <w:rPr>
          <w:i/>
          <w:iCs/>
        </w:rPr>
        <w:t>Forty Acres and a Mule: A Republican Theory of Minimal Entitlements</w:t>
      </w:r>
      <w:r w:rsidR="00313DC5">
        <w:t xml:space="preserve">, 13 </w:t>
      </w:r>
      <w:r w:rsidR="0049629D" w:rsidRPr="00313DC5">
        <w:rPr>
          <w:smallCaps/>
        </w:rPr>
        <w:t>Harv. J</w:t>
      </w:r>
      <w:r w:rsidR="00313DC5">
        <w:rPr>
          <w:smallCaps/>
        </w:rPr>
        <w:t>.</w:t>
      </w:r>
      <w:r w:rsidR="0049629D" w:rsidRPr="00313DC5">
        <w:rPr>
          <w:smallCaps/>
        </w:rPr>
        <w:t>L</w:t>
      </w:r>
      <w:r w:rsidR="00313DC5">
        <w:rPr>
          <w:smallCaps/>
        </w:rPr>
        <w:t>.</w:t>
      </w:r>
      <w:r w:rsidR="0049629D" w:rsidRPr="00313DC5">
        <w:rPr>
          <w:smallCaps/>
        </w:rPr>
        <w:t xml:space="preserve"> &amp; Pub. </w:t>
      </w:r>
      <w:proofErr w:type="spellStart"/>
      <w:r w:rsidR="0049629D" w:rsidRPr="00313DC5">
        <w:rPr>
          <w:smallCaps/>
        </w:rPr>
        <w:t>Pol'y</w:t>
      </w:r>
      <w:proofErr w:type="spellEnd"/>
      <w:r w:rsidR="00313DC5">
        <w:t xml:space="preserve"> 37</w:t>
      </w:r>
      <w:r w:rsidR="0049629D" w:rsidRPr="0049629D">
        <w:t xml:space="preserve"> (1990)</w:t>
      </w:r>
      <w:r w:rsidR="00B94298">
        <w:t>. However, it would also be helpful for the Senate or the House to develop rules that require streamlined consideration – perhaps time limits on committee consideration combined with the availability of a privileged motion to compel floor consideration – for constitutionally required legislation.</w:t>
      </w:r>
    </w:p>
  </w:footnote>
  <w:footnote w:id="288">
    <w:p w14:paraId="562911E2" w14:textId="7ECD8A26" w:rsidR="009004AC" w:rsidRPr="00375F9D" w:rsidRDefault="009004AC">
      <w:pPr>
        <w:pStyle w:val="FootnoteText"/>
      </w:pPr>
      <w:r>
        <w:rPr>
          <w:rStyle w:val="FootnoteReference"/>
        </w:rPr>
        <w:footnoteRef/>
      </w:r>
      <w:r>
        <w:t xml:space="preserve"> Brest</w:t>
      </w:r>
      <w:r w:rsidR="00375F9D">
        <w:t xml:space="preserve">, </w:t>
      </w:r>
      <w:r w:rsidR="00375F9D">
        <w:rPr>
          <w:i/>
          <w:iCs/>
        </w:rPr>
        <w:t>Conscientious Lawmaker</w:t>
      </w:r>
      <w:r w:rsidR="00375F9D">
        <w:t xml:space="preserve">, </w:t>
      </w:r>
      <w:r w:rsidR="00375F9D">
        <w:rPr>
          <w:i/>
          <w:iCs/>
        </w:rPr>
        <w:t xml:space="preserve">supra </w:t>
      </w:r>
      <w:r w:rsidR="00375F9D" w:rsidRPr="00375F9D">
        <w:t>note</w:t>
      </w:r>
      <w:r w:rsidR="00375F9D">
        <w:rPr>
          <w:i/>
          <w:iCs/>
        </w:rPr>
        <w:t xml:space="preserve"> </w:t>
      </w:r>
      <w:r w:rsidR="00375F9D" w:rsidRPr="00375F9D">
        <w:fldChar w:fldCharType="begin"/>
      </w:r>
      <w:r w:rsidR="00375F9D" w:rsidRPr="00375F9D">
        <w:instrText xml:space="preserve"> NOTEREF _Ref185842536 \h  \* MERGEFORMAT </w:instrText>
      </w:r>
      <w:r w:rsidR="00375F9D" w:rsidRPr="00375F9D">
        <w:fldChar w:fldCharType="separate"/>
      </w:r>
      <w:r w:rsidR="00454C1B">
        <w:t>10</w:t>
      </w:r>
      <w:r w:rsidR="00375F9D" w:rsidRPr="00375F9D">
        <w:fldChar w:fldCharType="end"/>
      </w:r>
      <w:r w:rsidR="00375F9D">
        <w:t>.</w:t>
      </w:r>
    </w:p>
  </w:footnote>
  <w:footnote w:id="289">
    <w:p w14:paraId="29375A77" w14:textId="2DCB8D40" w:rsidR="004E3A9C" w:rsidRPr="00423CDB" w:rsidRDefault="004E3A9C" w:rsidP="007F01DD">
      <w:pPr>
        <w:pStyle w:val="FootnoteText"/>
      </w:pPr>
      <w:r>
        <w:rPr>
          <w:rStyle w:val="FootnoteReference"/>
        </w:rPr>
        <w:footnoteRef/>
      </w:r>
      <w:r>
        <w:t xml:space="preserve"> See </w:t>
      </w:r>
      <w:r w:rsidR="0016313D" w:rsidRPr="0016313D">
        <w:rPr>
          <w:smallCaps/>
        </w:rPr>
        <w:t>Lawrence Sager, Justice In Plain Clothes: A Theory Of American Constitutional Practice</w:t>
      </w:r>
      <w:r w:rsidR="0016313D">
        <w:t xml:space="preserve"> </w:t>
      </w:r>
      <w:r w:rsidR="001C0CB2">
        <w:t xml:space="preserve">84-92 (2004); </w:t>
      </w:r>
      <w:r w:rsidR="00950C3D">
        <w:t xml:space="preserve">Lawrence Sager, </w:t>
      </w:r>
      <w:r w:rsidR="001C0CB2" w:rsidRPr="00950C3D">
        <w:rPr>
          <w:i/>
          <w:iCs/>
        </w:rPr>
        <w:t>Fair Measure: The Legal Status of Underenforced Constitutional Norms</w:t>
      </w:r>
      <w:r w:rsidR="001C0CB2">
        <w:t xml:space="preserve">, 91 </w:t>
      </w:r>
      <w:r w:rsidR="00950C3D" w:rsidRPr="00950C3D">
        <w:rPr>
          <w:smallCaps/>
        </w:rPr>
        <w:t xml:space="preserve">Harv. L. Rev. </w:t>
      </w:r>
      <w:r w:rsidR="001C0CB2">
        <w:t>1212 passim (1978)</w:t>
      </w:r>
      <w:r>
        <w:t>.</w:t>
      </w:r>
      <w:r w:rsidR="00D82F1E">
        <w:t xml:space="preserve"> Of course, these could include rights that were once judicially protected. </w:t>
      </w:r>
      <w:r w:rsidR="00837431">
        <w:t>See Blackhawk</w:t>
      </w:r>
      <w:r w:rsidR="00EA4750">
        <w:t xml:space="preserve">, </w:t>
      </w:r>
      <w:r w:rsidR="00EA4750">
        <w:rPr>
          <w:i/>
          <w:iCs/>
        </w:rPr>
        <w:t>supra</w:t>
      </w:r>
      <w:r w:rsidR="00EA4750">
        <w:t xml:space="preserve"> note </w:t>
      </w:r>
      <w:r w:rsidR="00EA4750">
        <w:fldChar w:fldCharType="begin"/>
      </w:r>
      <w:r w:rsidR="00EA4750">
        <w:instrText xml:space="preserve"> NOTEREF _Ref186290902 \h </w:instrText>
      </w:r>
      <w:r w:rsidR="00EA4750">
        <w:fldChar w:fldCharType="separate"/>
      </w:r>
      <w:r w:rsidR="00454C1B">
        <w:t>7</w:t>
      </w:r>
      <w:r w:rsidR="00EA4750">
        <w:fldChar w:fldCharType="end"/>
      </w:r>
      <w:r w:rsidR="00EA4750">
        <w:t xml:space="preserve">, </w:t>
      </w:r>
      <w:r w:rsidR="00D83467">
        <w:t>at 2217-18</w:t>
      </w:r>
      <w:r w:rsidR="00423CDB">
        <w:t xml:space="preserve">, </w:t>
      </w:r>
      <w:r w:rsidR="007F01DD">
        <w:t xml:space="preserve">Laycox &amp; Thomas, </w:t>
      </w:r>
      <w:r w:rsidR="007F01DD">
        <w:rPr>
          <w:i/>
          <w:iCs/>
        </w:rPr>
        <w:t xml:space="preserve">supra </w:t>
      </w:r>
      <w:r w:rsidR="007F01DD">
        <w:t xml:space="preserve">note </w:t>
      </w:r>
      <w:r w:rsidR="007F01DD">
        <w:fldChar w:fldCharType="begin"/>
      </w:r>
      <w:r w:rsidR="007F01DD">
        <w:instrText xml:space="preserve"> NOTEREF _Ref186275548 \h </w:instrText>
      </w:r>
      <w:r w:rsidR="007F01DD">
        <w:fldChar w:fldCharType="separate"/>
      </w:r>
      <w:r w:rsidR="00454C1B">
        <w:t>245</w:t>
      </w:r>
      <w:r w:rsidR="007F01DD">
        <w:fldChar w:fldCharType="end"/>
      </w:r>
      <w:r w:rsidR="007F01DD">
        <w:t>, at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93B7" w14:textId="7B735440" w:rsidR="00FA45DD" w:rsidRPr="00CA354F" w:rsidRDefault="00FA45DD"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3F1CAA">
      <w:rPr>
        <w:rStyle w:val="PageNumber"/>
        <w:noProof/>
      </w:rPr>
      <w:t>2</w:t>
    </w:r>
    <w:r>
      <w:rPr>
        <w:rStyle w:val="PageNumber"/>
      </w:rPr>
      <w:fldChar w:fldCharType="end"/>
    </w:r>
    <w:r>
      <w:rPr>
        <w:rStyle w:val="PageNumber"/>
      </w:rPr>
      <w:tab/>
    </w:r>
    <w:r w:rsidR="00460069">
      <w:rPr>
        <w:rStyle w:val="PageNumber"/>
        <w:i/>
      </w:rPr>
      <w:t>COAL</w:t>
    </w:r>
    <w:r w:rsidR="00E5584B">
      <w:rPr>
        <w:rStyle w:val="PageNumber"/>
        <w:i/>
      </w:rPr>
      <w:t>ITIONAL CONSTITUTIONALISM</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3B4715">
      <w:rPr>
        <w:rStyle w:val="PageNumber"/>
        <w:noProof/>
      </w:rPr>
      <w:t>31-Dec-24</w:t>
    </w:r>
    <w:r>
      <w:rPr>
        <w:rStyle w:val="PageNumber"/>
      </w:rPr>
      <w:fldChar w:fldCharType="end"/>
    </w:r>
  </w:p>
  <w:p w14:paraId="6F3ADDAE" w14:textId="77777777" w:rsidR="00C73D1A" w:rsidRDefault="00C73D1A"/>
  <w:p w14:paraId="2AD3820B" w14:textId="77777777" w:rsidR="00C73D1A" w:rsidRDefault="00C73D1A"/>
  <w:p w14:paraId="47F83F3C" w14:textId="77777777" w:rsidR="000A004C" w:rsidRDefault="000A004C"/>
  <w:p w14:paraId="450C13B6" w14:textId="77777777" w:rsidR="00F86795" w:rsidRDefault="00F86795"/>
  <w:p w14:paraId="61758367" w14:textId="77777777" w:rsidR="00F86795" w:rsidRDefault="00F86795"/>
  <w:p w14:paraId="79CE1B79" w14:textId="77777777" w:rsidR="00F86795" w:rsidRDefault="00F86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88B2" w14:textId="7DB8957F" w:rsidR="00FA45DD" w:rsidRPr="00CA354F" w:rsidRDefault="00FA45DD"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3B4715">
      <w:rPr>
        <w:noProof/>
      </w:rPr>
      <w:t>31-Dec-24</w:t>
    </w:r>
    <w:r>
      <w:fldChar w:fldCharType="end"/>
    </w:r>
    <w:r>
      <w:t>]</w:t>
    </w:r>
    <w:r>
      <w:tab/>
    </w:r>
    <w:r w:rsidR="002C3E07">
      <w:rPr>
        <w:i/>
      </w:rPr>
      <w:t>COALITIONAL</w:t>
    </w:r>
    <w:r w:rsidR="00BE02F8">
      <w:rPr>
        <w:i/>
      </w:rPr>
      <w:t xml:space="preserve"> CONSTITUTIONALISM</w:t>
    </w:r>
    <w:r>
      <w:tab/>
    </w:r>
    <w:r>
      <w:rPr>
        <w:rStyle w:val="PageNumber"/>
      </w:rPr>
      <w:fldChar w:fldCharType="begin"/>
    </w:r>
    <w:r>
      <w:rPr>
        <w:rStyle w:val="PageNumber"/>
      </w:rPr>
      <w:instrText xml:space="preserve"> PAGE </w:instrText>
    </w:r>
    <w:r>
      <w:rPr>
        <w:rStyle w:val="PageNumber"/>
      </w:rPr>
      <w:fldChar w:fldCharType="separate"/>
    </w:r>
    <w:r w:rsidR="003F1CAA">
      <w:rPr>
        <w:rStyle w:val="PageNumber"/>
        <w:noProof/>
      </w:rPr>
      <w:t>3</w:t>
    </w:r>
    <w:r>
      <w:rPr>
        <w:rStyle w:val="PageNumber"/>
      </w:rPr>
      <w:fldChar w:fldCharType="end"/>
    </w:r>
  </w:p>
  <w:p w14:paraId="6B8BD7D2" w14:textId="77777777" w:rsidR="00C73D1A" w:rsidRDefault="00C73D1A"/>
  <w:p w14:paraId="235486C3" w14:textId="77777777" w:rsidR="00C73D1A" w:rsidRDefault="00C73D1A"/>
  <w:p w14:paraId="28F2980E" w14:textId="77777777" w:rsidR="000A004C" w:rsidRDefault="000A004C"/>
  <w:p w14:paraId="2ACC002C" w14:textId="77777777" w:rsidR="00F86795" w:rsidRDefault="00F86795"/>
  <w:p w14:paraId="0891B73D" w14:textId="77777777" w:rsidR="00F86795" w:rsidRDefault="00F86795"/>
  <w:p w14:paraId="01C75DBE" w14:textId="77777777" w:rsidR="00F86795" w:rsidRDefault="00F86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E9A"/>
    <w:multiLevelType w:val="hybridMultilevel"/>
    <w:tmpl w:val="80FA9970"/>
    <w:lvl w:ilvl="0" w:tplc="C82AAE6E">
      <w:start w:val="1"/>
      <w:numFmt w:val="upperRoman"/>
      <w:lvlText w:val="%1"/>
      <w:lvlJc w:val="left"/>
      <w:pPr>
        <w:ind w:left="1589" w:hanging="718"/>
        <w:jc w:val="right"/>
      </w:pPr>
      <w:rPr>
        <w:rFonts w:ascii="Times New Roman" w:eastAsia="Times New Roman" w:hAnsi="Times New Roman" w:cs="Times New Roman" w:hint="default"/>
        <w:w w:val="99"/>
        <w:sz w:val="24"/>
        <w:szCs w:val="24"/>
        <w:lang w:val="en-US" w:eastAsia="en-US" w:bidi="ar-SA"/>
      </w:rPr>
    </w:lvl>
    <w:lvl w:ilvl="1" w:tplc="385CA852">
      <w:start w:val="1"/>
      <w:numFmt w:val="upperLetter"/>
      <w:lvlText w:val="%2"/>
      <w:lvlJc w:val="left"/>
      <w:pPr>
        <w:ind w:left="1818" w:hanging="714"/>
      </w:pPr>
      <w:rPr>
        <w:rFonts w:ascii="Times New Roman" w:eastAsia="Times New Roman" w:hAnsi="Times New Roman" w:cs="Times New Roman" w:hint="default"/>
        <w:i/>
        <w:iCs/>
        <w:w w:val="99"/>
        <w:sz w:val="24"/>
        <w:szCs w:val="24"/>
        <w:lang w:val="en-US" w:eastAsia="en-US" w:bidi="ar-SA"/>
      </w:rPr>
    </w:lvl>
    <w:lvl w:ilvl="2" w:tplc="E8F6ACD4">
      <w:start w:val="1"/>
      <w:numFmt w:val="decimal"/>
      <w:lvlText w:val="%3"/>
      <w:lvlJc w:val="left"/>
      <w:pPr>
        <w:ind w:left="2061" w:hanging="718"/>
      </w:pPr>
      <w:rPr>
        <w:rFonts w:ascii="Times New Roman" w:eastAsia="Times New Roman" w:hAnsi="Times New Roman" w:cs="Times New Roman" w:hint="default"/>
        <w:w w:val="99"/>
        <w:sz w:val="24"/>
        <w:szCs w:val="24"/>
        <w:lang w:val="en-US" w:eastAsia="en-US" w:bidi="ar-SA"/>
      </w:rPr>
    </w:lvl>
    <w:lvl w:ilvl="3" w:tplc="DA22F332">
      <w:numFmt w:val="bullet"/>
      <w:lvlText w:val="•"/>
      <w:lvlJc w:val="left"/>
      <w:pPr>
        <w:ind w:left="3007" w:hanging="718"/>
      </w:pPr>
      <w:rPr>
        <w:rFonts w:hint="default"/>
        <w:lang w:val="en-US" w:eastAsia="en-US" w:bidi="ar-SA"/>
      </w:rPr>
    </w:lvl>
    <w:lvl w:ilvl="4" w:tplc="5C7692D8">
      <w:numFmt w:val="bullet"/>
      <w:lvlText w:val="•"/>
      <w:lvlJc w:val="left"/>
      <w:pPr>
        <w:ind w:left="3955" w:hanging="718"/>
      </w:pPr>
      <w:rPr>
        <w:rFonts w:hint="default"/>
        <w:lang w:val="en-US" w:eastAsia="en-US" w:bidi="ar-SA"/>
      </w:rPr>
    </w:lvl>
    <w:lvl w:ilvl="5" w:tplc="ED14D4F0">
      <w:numFmt w:val="bullet"/>
      <w:lvlText w:val="•"/>
      <w:lvlJc w:val="left"/>
      <w:pPr>
        <w:ind w:left="4902" w:hanging="718"/>
      </w:pPr>
      <w:rPr>
        <w:rFonts w:hint="default"/>
        <w:lang w:val="en-US" w:eastAsia="en-US" w:bidi="ar-SA"/>
      </w:rPr>
    </w:lvl>
    <w:lvl w:ilvl="6" w:tplc="8C18D518">
      <w:numFmt w:val="bullet"/>
      <w:lvlText w:val="•"/>
      <w:lvlJc w:val="left"/>
      <w:pPr>
        <w:ind w:left="5850" w:hanging="718"/>
      </w:pPr>
      <w:rPr>
        <w:rFonts w:hint="default"/>
        <w:lang w:val="en-US" w:eastAsia="en-US" w:bidi="ar-SA"/>
      </w:rPr>
    </w:lvl>
    <w:lvl w:ilvl="7" w:tplc="89723F64">
      <w:numFmt w:val="bullet"/>
      <w:lvlText w:val="•"/>
      <w:lvlJc w:val="left"/>
      <w:pPr>
        <w:ind w:left="6797" w:hanging="718"/>
      </w:pPr>
      <w:rPr>
        <w:rFonts w:hint="default"/>
        <w:lang w:val="en-US" w:eastAsia="en-US" w:bidi="ar-SA"/>
      </w:rPr>
    </w:lvl>
    <w:lvl w:ilvl="8" w:tplc="3730AFC0">
      <w:numFmt w:val="bullet"/>
      <w:lvlText w:val="•"/>
      <w:lvlJc w:val="left"/>
      <w:pPr>
        <w:ind w:left="7745" w:hanging="718"/>
      </w:pPr>
      <w:rPr>
        <w:rFonts w:hint="default"/>
        <w:lang w:val="en-US" w:eastAsia="en-US" w:bidi="ar-SA"/>
      </w:rPr>
    </w:lvl>
  </w:abstractNum>
  <w:abstractNum w:abstractNumId="1"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43E3827"/>
    <w:multiLevelType w:val="hybridMultilevel"/>
    <w:tmpl w:val="BED480D2"/>
    <w:lvl w:ilvl="0" w:tplc="6F28E0BA">
      <w:start w:val="1"/>
      <w:numFmt w:val="upperLetter"/>
      <w:lvlText w:val="%1"/>
      <w:lvlJc w:val="left"/>
      <w:pPr>
        <w:ind w:left="1807" w:hanging="703"/>
      </w:pPr>
      <w:rPr>
        <w:rFonts w:ascii="Times New Roman" w:eastAsia="Times New Roman" w:hAnsi="Times New Roman" w:cs="Times New Roman" w:hint="default"/>
        <w:i/>
        <w:iCs/>
        <w:w w:val="99"/>
        <w:sz w:val="24"/>
        <w:szCs w:val="24"/>
        <w:lang w:val="en-US" w:eastAsia="en-US" w:bidi="ar-SA"/>
      </w:rPr>
    </w:lvl>
    <w:lvl w:ilvl="1" w:tplc="DDCEA292">
      <w:start w:val="1"/>
      <w:numFmt w:val="decimal"/>
      <w:lvlText w:val="%2"/>
      <w:lvlJc w:val="left"/>
      <w:pPr>
        <w:ind w:left="2061" w:hanging="718"/>
      </w:pPr>
      <w:rPr>
        <w:rFonts w:ascii="Times New Roman" w:eastAsia="Times New Roman" w:hAnsi="Times New Roman" w:cs="Times New Roman" w:hint="default"/>
        <w:w w:val="99"/>
        <w:sz w:val="24"/>
        <w:szCs w:val="24"/>
        <w:lang w:val="en-US" w:eastAsia="en-US" w:bidi="ar-SA"/>
      </w:rPr>
    </w:lvl>
    <w:lvl w:ilvl="2" w:tplc="53265EA6">
      <w:numFmt w:val="bullet"/>
      <w:lvlText w:val="•"/>
      <w:lvlJc w:val="left"/>
      <w:pPr>
        <w:ind w:left="2902" w:hanging="718"/>
      </w:pPr>
      <w:rPr>
        <w:rFonts w:hint="default"/>
        <w:lang w:val="en-US" w:eastAsia="en-US" w:bidi="ar-SA"/>
      </w:rPr>
    </w:lvl>
    <w:lvl w:ilvl="3" w:tplc="990E2ABA">
      <w:numFmt w:val="bullet"/>
      <w:lvlText w:val="•"/>
      <w:lvlJc w:val="left"/>
      <w:pPr>
        <w:ind w:left="3744" w:hanging="718"/>
      </w:pPr>
      <w:rPr>
        <w:rFonts w:hint="default"/>
        <w:lang w:val="en-US" w:eastAsia="en-US" w:bidi="ar-SA"/>
      </w:rPr>
    </w:lvl>
    <w:lvl w:ilvl="4" w:tplc="66D439D8">
      <w:numFmt w:val="bullet"/>
      <w:lvlText w:val="•"/>
      <w:lvlJc w:val="left"/>
      <w:pPr>
        <w:ind w:left="4586" w:hanging="718"/>
      </w:pPr>
      <w:rPr>
        <w:rFonts w:hint="default"/>
        <w:lang w:val="en-US" w:eastAsia="en-US" w:bidi="ar-SA"/>
      </w:rPr>
    </w:lvl>
    <w:lvl w:ilvl="5" w:tplc="7682C492">
      <w:numFmt w:val="bullet"/>
      <w:lvlText w:val="•"/>
      <w:lvlJc w:val="left"/>
      <w:pPr>
        <w:ind w:left="5428" w:hanging="718"/>
      </w:pPr>
      <w:rPr>
        <w:rFonts w:hint="default"/>
        <w:lang w:val="en-US" w:eastAsia="en-US" w:bidi="ar-SA"/>
      </w:rPr>
    </w:lvl>
    <w:lvl w:ilvl="6" w:tplc="D0A0FFA8">
      <w:numFmt w:val="bullet"/>
      <w:lvlText w:val="•"/>
      <w:lvlJc w:val="left"/>
      <w:pPr>
        <w:ind w:left="6271" w:hanging="718"/>
      </w:pPr>
      <w:rPr>
        <w:rFonts w:hint="default"/>
        <w:lang w:val="en-US" w:eastAsia="en-US" w:bidi="ar-SA"/>
      </w:rPr>
    </w:lvl>
    <w:lvl w:ilvl="7" w:tplc="92843F96">
      <w:numFmt w:val="bullet"/>
      <w:lvlText w:val="•"/>
      <w:lvlJc w:val="left"/>
      <w:pPr>
        <w:ind w:left="7113" w:hanging="718"/>
      </w:pPr>
      <w:rPr>
        <w:rFonts w:hint="default"/>
        <w:lang w:val="en-US" w:eastAsia="en-US" w:bidi="ar-SA"/>
      </w:rPr>
    </w:lvl>
    <w:lvl w:ilvl="8" w:tplc="C99AB0B6">
      <w:numFmt w:val="bullet"/>
      <w:lvlText w:val="•"/>
      <w:lvlJc w:val="left"/>
      <w:pPr>
        <w:ind w:left="7955" w:hanging="718"/>
      </w:pPr>
      <w:rPr>
        <w:rFonts w:hint="default"/>
        <w:lang w:val="en-US" w:eastAsia="en-US" w:bidi="ar-SA"/>
      </w:rPr>
    </w:lvl>
  </w:abstractNum>
  <w:abstractNum w:abstractNumId="4" w15:restartNumberingAfterBreak="0">
    <w:nsid w:val="18F82428"/>
    <w:multiLevelType w:val="hybridMultilevel"/>
    <w:tmpl w:val="980A2598"/>
    <w:lvl w:ilvl="0" w:tplc="BD00638A">
      <w:start w:val="1"/>
      <w:numFmt w:val="upperLetter"/>
      <w:lvlText w:val="%1"/>
      <w:lvlJc w:val="left"/>
      <w:pPr>
        <w:ind w:left="2552" w:hanging="714"/>
      </w:pPr>
      <w:rPr>
        <w:rFonts w:ascii="Times New Roman" w:eastAsia="Times New Roman" w:hAnsi="Times New Roman" w:cs="Times New Roman" w:hint="default"/>
        <w:i/>
        <w:iCs/>
        <w:w w:val="99"/>
        <w:sz w:val="24"/>
        <w:szCs w:val="24"/>
        <w:lang w:val="en-US" w:eastAsia="en-US" w:bidi="ar-SA"/>
      </w:rPr>
    </w:lvl>
    <w:lvl w:ilvl="1" w:tplc="02582C60">
      <w:start w:val="1"/>
      <w:numFmt w:val="decimal"/>
      <w:lvlText w:val="%2"/>
      <w:lvlJc w:val="left"/>
      <w:pPr>
        <w:ind w:left="2796" w:hanging="718"/>
      </w:pPr>
      <w:rPr>
        <w:rFonts w:ascii="Times New Roman" w:eastAsia="Times New Roman" w:hAnsi="Times New Roman" w:cs="Times New Roman" w:hint="default"/>
        <w:w w:val="99"/>
        <w:sz w:val="24"/>
        <w:szCs w:val="24"/>
        <w:lang w:val="en-US" w:eastAsia="en-US" w:bidi="ar-SA"/>
      </w:rPr>
    </w:lvl>
    <w:lvl w:ilvl="2" w:tplc="EB8AB43A">
      <w:numFmt w:val="bullet"/>
      <w:lvlText w:val="•"/>
      <w:lvlJc w:val="left"/>
      <w:pPr>
        <w:ind w:left="3560" w:hanging="718"/>
      </w:pPr>
      <w:rPr>
        <w:rFonts w:hint="default"/>
        <w:lang w:val="en-US" w:eastAsia="en-US" w:bidi="ar-SA"/>
      </w:rPr>
    </w:lvl>
    <w:lvl w:ilvl="3" w:tplc="9508E59A">
      <w:numFmt w:val="bullet"/>
      <w:lvlText w:val="•"/>
      <w:lvlJc w:val="left"/>
      <w:pPr>
        <w:ind w:left="4320" w:hanging="718"/>
      </w:pPr>
      <w:rPr>
        <w:rFonts w:hint="default"/>
        <w:lang w:val="en-US" w:eastAsia="en-US" w:bidi="ar-SA"/>
      </w:rPr>
    </w:lvl>
    <w:lvl w:ilvl="4" w:tplc="C7324896">
      <w:numFmt w:val="bullet"/>
      <w:lvlText w:val="•"/>
      <w:lvlJc w:val="left"/>
      <w:pPr>
        <w:ind w:left="5080" w:hanging="718"/>
      </w:pPr>
      <w:rPr>
        <w:rFonts w:hint="default"/>
        <w:lang w:val="en-US" w:eastAsia="en-US" w:bidi="ar-SA"/>
      </w:rPr>
    </w:lvl>
    <w:lvl w:ilvl="5" w:tplc="FA24EB26">
      <w:numFmt w:val="bullet"/>
      <w:lvlText w:val="•"/>
      <w:lvlJc w:val="left"/>
      <w:pPr>
        <w:ind w:left="5840" w:hanging="718"/>
      </w:pPr>
      <w:rPr>
        <w:rFonts w:hint="default"/>
        <w:lang w:val="en-US" w:eastAsia="en-US" w:bidi="ar-SA"/>
      </w:rPr>
    </w:lvl>
    <w:lvl w:ilvl="6" w:tplc="A5461AD0">
      <w:numFmt w:val="bullet"/>
      <w:lvlText w:val="•"/>
      <w:lvlJc w:val="left"/>
      <w:pPr>
        <w:ind w:left="6600" w:hanging="718"/>
      </w:pPr>
      <w:rPr>
        <w:rFonts w:hint="default"/>
        <w:lang w:val="en-US" w:eastAsia="en-US" w:bidi="ar-SA"/>
      </w:rPr>
    </w:lvl>
    <w:lvl w:ilvl="7" w:tplc="DF8A6F86">
      <w:numFmt w:val="bullet"/>
      <w:lvlText w:val="•"/>
      <w:lvlJc w:val="left"/>
      <w:pPr>
        <w:ind w:left="7360" w:hanging="718"/>
      </w:pPr>
      <w:rPr>
        <w:rFonts w:hint="default"/>
        <w:lang w:val="en-US" w:eastAsia="en-US" w:bidi="ar-SA"/>
      </w:rPr>
    </w:lvl>
    <w:lvl w:ilvl="8" w:tplc="D0560848">
      <w:numFmt w:val="bullet"/>
      <w:lvlText w:val="•"/>
      <w:lvlJc w:val="left"/>
      <w:pPr>
        <w:ind w:left="8120" w:hanging="718"/>
      </w:pPr>
      <w:rPr>
        <w:rFonts w:hint="default"/>
        <w:lang w:val="en-US" w:eastAsia="en-US" w:bidi="ar-SA"/>
      </w:rPr>
    </w:lvl>
  </w:abstractNum>
  <w:abstractNum w:abstractNumId="5" w15:restartNumberingAfterBreak="0">
    <w:nsid w:val="225255B9"/>
    <w:multiLevelType w:val="hybridMultilevel"/>
    <w:tmpl w:val="D382D4A2"/>
    <w:lvl w:ilvl="0" w:tplc="D0C498D4">
      <w:start w:val="1"/>
      <w:numFmt w:val="upperLetter"/>
      <w:lvlText w:val="%1."/>
      <w:lvlJc w:val="left"/>
      <w:pPr>
        <w:ind w:left="3439" w:hanging="445"/>
        <w:jc w:val="right"/>
      </w:pPr>
      <w:rPr>
        <w:rFonts w:ascii="Times New Roman" w:eastAsia="Times New Roman" w:hAnsi="Times New Roman" w:cs="Times New Roman" w:hint="default"/>
        <w:i/>
        <w:iCs/>
        <w:w w:val="99"/>
        <w:sz w:val="24"/>
        <w:szCs w:val="24"/>
        <w:lang w:val="en-US" w:eastAsia="en-US" w:bidi="ar-SA"/>
      </w:rPr>
    </w:lvl>
    <w:lvl w:ilvl="1" w:tplc="75EE8D10">
      <w:numFmt w:val="bullet"/>
      <w:lvlText w:val="•"/>
      <w:lvlJc w:val="left"/>
      <w:pPr>
        <w:ind w:left="4060" w:hanging="445"/>
      </w:pPr>
      <w:rPr>
        <w:rFonts w:hint="default"/>
        <w:lang w:val="en-US" w:eastAsia="en-US" w:bidi="ar-SA"/>
      </w:rPr>
    </w:lvl>
    <w:lvl w:ilvl="2" w:tplc="38707F9A">
      <w:numFmt w:val="bullet"/>
      <w:lvlText w:val="•"/>
      <w:lvlJc w:val="left"/>
      <w:pPr>
        <w:ind w:left="4680" w:hanging="445"/>
      </w:pPr>
      <w:rPr>
        <w:rFonts w:hint="default"/>
        <w:lang w:val="en-US" w:eastAsia="en-US" w:bidi="ar-SA"/>
      </w:rPr>
    </w:lvl>
    <w:lvl w:ilvl="3" w:tplc="D5CA2212">
      <w:numFmt w:val="bullet"/>
      <w:lvlText w:val="•"/>
      <w:lvlJc w:val="left"/>
      <w:pPr>
        <w:ind w:left="5300" w:hanging="445"/>
      </w:pPr>
      <w:rPr>
        <w:rFonts w:hint="default"/>
        <w:lang w:val="en-US" w:eastAsia="en-US" w:bidi="ar-SA"/>
      </w:rPr>
    </w:lvl>
    <w:lvl w:ilvl="4" w:tplc="693E09B2">
      <w:numFmt w:val="bullet"/>
      <w:lvlText w:val="•"/>
      <w:lvlJc w:val="left"/>
      <w:pPr>
        <w:ind w:left="5920" w:hanging="445"/>
      </w:pPr>
      <w:rPr>
        <w:rFonts w:hint="default"/>
        <w:lang w:val="en-US" w:eastAsia="en-US" w:bidi="ar-SA"/>
      </w:rPr>
    </w:lvl>
    <w:lvl w:ilvl="5" w:tplc="5EE87E3C">
      <w:numFmt w:val="bullet"/>
      <w:lvlText w:val="•"/>
      <w:lvlJc w:val="left"/>
      <w:pPr>
        <w:ind w:left="6540" w:hanging="445"/>
      </w:pPr>
      <w:rPr>
        <w:rFonts w:hint="default"/>
        <w:lang w:val="en-US" w:eastAsia="en-US" w:bidi="ar-SA"/>
      </w:rPr>
    </w:lvl>
    <w:lvl w:ilvl="6" w:tplc="2DCEB5EC">
      <w:numFmt w:val="bullet"/>
      <w:lvlText w:val="•"/>
      <w:lvlJc w:val="left"/>
      <w:pPr>
        <w:ind w:left="7160" w:hanging="445"/>
      </w:pPr>
      <w:rPr>
        <w:rFonts w:hint="default"/>
        <w:lang w:val="en-US" w:eastAsia="en-US" w:bidi="ar-SA"/>
      </w:rPr>
    </w:lvl>
    <w:lvl w:ilvl="7" w:tplc="C66A6F18">
      <w:numFmt w:val="bullet"/>
      <w:lvlText w:val="•"/>
      <w:lvlJc w:val="left"/>
      <w:pPr>
        <w:ind w:left="7780" w:hanging="445"/>
      </w:pPr>
      <w:rPr>
        <w:rFonts w:hint="default"/>
        <w:lang w:val="en-US" w:eastAsia="en-US" w:bidi="ar-SA"/>
      </w:rPr>
    </w:lvl>
    <w:lvl w:ilvl="8" w:tplc="479A48F2">
      <w:numFmt w:val="bullet"/>
      <w:lvlText w:val="•"/>
      <w:lvlJc w:val="left"/>
      <w:pPr>
        <w:ind w:left="8400" w:hanging="445"/>
      </w:pPr>
      <w:rPr>
        <w:rFonts w:hint="default"/>
        <w:lang w:val="en-US" w:eastAsia="en-US" w:bidi="ar-SA"/>
      </w:rPr>
    </w:lvl>
  </w:abstractNum>
  <w:abstractNum w:abstractNumId="6"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5D61E55"/>
    <w:multiLevelType w:val="hybridMultilevel"/>
    <w:tmpl w:val="B2143988"/>
    <w:lvl w:ilvl="0" w:tplc="8A08EC30">
      <w:start w:val="5"/>
      <w:numFmt w:val="lowerLetter"/>
      <w:lvlText w:val="%1"/>
      <w:lvlJc w:val="left"/>
      <w:pPr>
        <w:ind w:left="141" w:hanging="341"/>
      </w:pPr>
      <w:rPr>
        <w:rFonts w:hint="default"/>
        <w:lang w:val="en-US" w:eastAsia="en-US" w:bidi="ar-SA"/>
      </w:rPr>
    </w:lvl>
    <w:lvl w:ilvl="1" w:tplc="9D680BC8">
      <w:start w:val="1"/>
      <w:numFmt w:val="upperLetter"/>
      <w:lvlText w:val="%2."/>
      <w:lvlJc w:val="left"/>
      <w:pPr>
        <w:ind w:left="2189" w:hanging="445"/>
        <w:jc w:val="right"/>
      </w:pPr>
      <w:rPr>
        <w:rFonts w:ascii="Times New Roman" w:eastAsia="Times New Roman" w:hAnsi="Times New Roman" w:cs="Times New Roman" w:hint="default"/>
        <w:i/>
        <w:iCs/>
        <w:w w:val="99"/>
        <w:sz w:val="24"/>
        <w:szCs w:val="24"/>
        <w:lang w:val="en-US" w:eastAsia="en-US" w:bidi="ar-SA"/>
      </w:rPr>
    </w:lvl>
    <w:lvl w:ilvl="2" w:tplc="63A64D30">
      <w:numFmt w:val="bullet"/>
      <w:lvlText w:val="•"/>
      <w:lvlJc w:val="left"/>
      <w:pPr>
        <w:ind w:left="3008" w:hanging="445"/>
      </w:pPr>
      <w:rPr>
        <w:rFonts w:hint="default"/>
        <w:lang w:val="en-US" w:eastAsia="en-US" w:bidi="ar-SA"/>
      </w:rPr>
    </w:lvl>
    <w:lvl w:ilvl="3" w:tplc="A49C6896">
      <w:numFmt w:val="bullet"/>
      <w:lvlText w:val="•"/>
      <w:lvlJc w:val="left"/>
      <w:pPr>
        <w:ind w:left="3837" w:hanging="445"/>
      </w:pPr>
      <w:rPr>
        <w:rFonts w:hint="default"/>
        <w:lang w:val="en-US" w:eastAsia="en-US" w:bidi="ar-SA"/>
      </w:rPr>
    </w:lvl>
    <w:lvl w:ilvl="4" w:tplc="C55028D2">
      <w:numFmt w:val="bullet"/>
      <w:lvlText w:val="•"/>
      <w:lvlJc w:val="left"/>
      <w:pPr>
        <w:ind w:left="4666" w:hanging="445"/>
      </w:pPr>
      <w:rPr>
        <w:rFonts w:hint="default"/>
        <w:lang w:val="en-US" w:eastAsia="en-US" w:bidi="ar-SA"/>
      </w:rPr>
    </w:lvl>
    <w:lvl w:ilvl="5" w:tplc="45B230BE">
      <w:numFmt w:val="bullet"/>
      <w:lvlText w:val="•"/>
      <w:lvlJc w:val="left"/>
      <w:pPr>
        <w:ind w:left="5495" w:hanging="445"/>
      </w:pPr>
      <w:rPr>
        <w:rFonts w:hint="default"/>
        <w:lang w:val="en-US" w:eastAsia="en-US" w:bidi="ar-SA"/>
      </w:rPr>
    </w:lvl>
    <w:lvl w:ilvl="6" w:tplc="63808FDC">
      <w:numFmt w:val="bullet"/>
      <w:lvlText w:val="•"/>
      <w:lvlJc w:val="left"/>
      <w:pPr>
        <w:ind w:left="6324" w:hanging="445"/>
      </w:pPr>
      <w:rPr>
        <w:rFonts w:hint="default"/>
        <w:lang w:val="en-US" w:eastAsia="en-US" w:bidi="ar-SA"/>
      </w:rPr>
    </w:lvl>
    <w:lvl w:ilvl="7" w:tplc="795669E6">
      <w:numFmt w:val="bullet"/>
      <w:lvlText w:val="•"/>
      <w:lvlJc w:val="left"/>
      <w:pPr>
        <w:ind w:left="7153" w:hanging="445"/>
      </w:pPr>
      <w:rPr>
        <w:rFonts w:hint="default"/>
        <w:lang w:val="en-US" w:eastAsia="en-US" w:bidi="ar-SA"/>
      </w:rPr>
    </w:lvl>
    <w:lvl w:ilvl="8" w:tplc="34A2AB56">
      <w:numFmt w:val="bullet"/>
      <w:lvlText w:val="•"/>
      <w:lvlJc w:val="left"/>
      <w:pPr>
        <w:ind w:left="7982" w:hanging="445"/>
      </w:pPr>
      <w:rPr>
        <w:rFonts w:hint="default"/>
        <w:lang w:val="en-US" w:eastAsia="en-US" w:bidi="ar-SA"/>
      </w:rPr>
    </w:lvl>
  </w:abstractNum>
  <w:abstractNum w:abstractNumId="9" w15:restartNumberingAfterBreak="0">
    <w:nsid w:val="3C7D587E"/>
    <w:multiLevelType w:val="hybridMultilevel"/>
    <w:tmpl w:val="3E40A912"/>
    <w:lvl w:ilvl="0" w:tplc="B79AFD50">
      <w:start w:val="1"/>
      <w:numFmt w:val="decimal"/>
      <w:lvlText w:val="%1."/>
      <w:lvlJc w:val="left"/>
      <w:pPr>
        <w:ind w:left="567" w:hanging="419"/>
        <w:jc w:val="right"/>
      </w:pPr>
      <w:rPr>
        <w:rFonts w:ascii="Times New Roman" w:eastAsia="Times New Roman" w:hAnsi="Times New Roman" w:cs="Times New Roman" w:hint="default"/>
        <w:w w:val="99"/>
        <w:sz w:val="24"/>
        <w:szCs w:val="24"/>
        <w:lang w:val="en-US" w:eastAsia="en-US" w:bidi="ar-SA"/>
      </w:rPr>
    </w:lvl>
    <w:lvl w:ilvl="1" w:tplc="AFA62074">
      <w:numFmt w:val="bullet"/>
      <w:lvlText w:val="•"/>
      <w:lvlJc w:val="left"/>
      <w:pPr>
        <w:ind w:left="1468" w:hanging="419"/>
      </w:pPr>
      <w:rPr>
        <w:rFonts w:hint="default"/>
        <w:lang w:val="en-US" w:eastAsia="en-US" w:bidi="ar-SA"/>
      </w:rPr>
    </w:lvl>
    <w:lvl w:ilvl="2" w:tplc="65ECADD2">
      <w:numFmt w:val="bullet"/>
      <w:lvlText w:val="•"/>
      <w:lvlJc w:val="left"/>
      <w:pPr>
        <w:ind w:left="2376" w:hanging="419"/>
      </w:pPr>
      <w:rPr>
        <w:rFonts w:hint="default"/>
        <w:lang w:val="en-US" w:eastAsia="en-US" w:bidi="ar-SA"/>
      </w:rPr>
    </w:lvl>
    <w:lvl w:ilvl="3" w:tplc="F90A94B0">
      <w:numFmt w:val="bullet"/>
      <w:lvlText w:val="•"/>
      <w:lvlJc w:val="left"/>
      <w:pPr>
        <w:ind w:left="3284" w:hanging="419"/>
      </w:pPr>
      <w:rPr>
        <w:rFonts w:hint="default"/>
        <w:lang w:val="en-US" w:eastAsia="en-US" w:bidi="ar-SA"/>
      </w:rPr>
    </w:lvl>
    <w:lvl w:ilvl="4" w:tplc="AAA03392">
      <w:numFmt w:val="bullet"/>
      <w:lvlText w:val="•"/>
      <w:lvlJc w:val="left"/>
      <w:pPr>
        <w:ind w:left="4192" w:hanging="419"/>
      </w:pPr>
      <w:rPr>
        <w:rFonts w:hint="default"/>
        <w:lang w:val="en-US" w:eastAsia="en-US" w:bidi="ar-SA"/>
      </w:rPr>
    </w:lvl>
    <w:lvl w:ilvl="5" w:tplc="EAF0B840">
      <w:numFmt w:val="bullet"/>
      <w:lvlText w:val="•"/>
      <w:lvlJc w:val="left"/>
      <w:pPr>
        <w:ind w:left="5100" w:hanging="419"/>
      </w:pPr>
      <w:rPr>
        <w:rFonts w:hint="default"/>
        <w:lang w:val="en-US" w:eastAsia="en-US" w:bidi="ar-SA"/>
      </w:rPr>
    </w:lvl>
    <w:lvl w:ilvl="6" w:tplc="05144C38">
      <w:numFmt w:val="bullet"/>
      <w:lvlText w:val="•"/>
      <w:lvlJc w:val="left"/>
      <w:pPr>
        <w:ind w:left="6008" w:hanging="419"/>
      </w:pPr>
      <w:rPr>
        <w:rFonts w:hint="default"/>
        <w:lang w:val="en-US" w:eastAsia="en-US" w:bidi="ar-SA"/>
      </w:rPr>
    </w:lvl>
    <w:lvl w:ilvl="7" w:tplc="56BCBE1C">
      <w:numFmt w:val="bullet"/>
      <w:lvlText w:val="•"/>
      <w:lvlJc w:val="left"/>
      <w:pPr>
        <w:ind w:left="6916" w:hanging="419"/>
      </w:pPr>
      <w:rPr>
        <w:rFonts w:hint="default"/>
        <w:lang w:val="en-US" w:eastAsia="en-US" w:bidi="ar-SA"/>
      </w:rPr>
    </w:lvl>
    <w:lvl w:ilvl="8" w:tplc="CDD4E76C">
      <w:numFmt w:val="bullet"/>
      <w:lvlText w:val="•"/>
      <w:lvlJc w:val="left"/>
      <w:pPr>
        <w:ind w:left="7824" w:hanging="419"/>
      </w:pPr>
      <w:rPr>
        <w:rFonts w:hint="default"/>
        <w:lang w:val="en-US" w:eastAsia="en-US" w:bidi="ar-SA"/>
      </w:rPr>
    </w:lvl>
  </w:abstractNum>
  <w:abstractNum w:abstractNumId="10"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1"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797E0D"/>
    <w:multiLevelType w:val="hybridMultilevel"/>
    <w:tmpl w:val="1834E388"/>
    <w:lvl w:ilvl="0" w:tplc="68E811C4">
      <w:start w:val="1"/>
      <w:numFmt w:val="decimal"/>
      <w:lvlText w:val="%1."/>
      <w:lvlJc w:val="left"/>
      <w:pPr>
        <w:ind w:left="1301" w:hanging="419"/>
        <w:jc w:val="right"/>
      </w:pPr>
      <w:rPr>
        <w:rFonts w:ascii="Times New Roman" w:eastAsia="Times New Roman" w:hAnsi="Times New Roman" w:cs="Times New Roman" w:hint="default"/>
        <w:w w:val="99"/>
        <w:sz w:val="24"/>
        <w:szCs w:val="24"/>
        <w:lang w:val="en-US" w:eastAsia="en-US" w:bidi="ar-SA"/>
      </w:rPr>
    </w:lvl>
    <w:lvl w:ilvl="1" w:tplc="E5A8DF3E">
      <w:numFmt w:val="bullet"/>
      <w:lvlText w:val="•"/>
      <w:lvlJc w:val="left"/>
      <w:pPr>
        <w:ind w:left="2134" w:hanging="419"/>
      </w:pPr>
      <w:rPr>
        <w:rFonts w:hint="default"/>
        <w:lang w:val="en-US" w:eastAsia="en-US" w:bidi="ar-SA"/>
      </w:rPr>
    </w:lvl>
    <w:lvl w:ilvl="2" w:tplc="F0823CFC">
      <w:numFmt w:val="bullet"/>
      <w:lvlText w:val="•"/>
      <w:lvlJc w:val="left"/>
      <w:pPr>
        <w:ind w:left="2968" w:hanging="419"/>
      </w:pPr>
      <w:rPr>
        <w:rFonts w:hint="default"/>
        <w:lang w:val="en-US" w:eastAsia="en-US" w:bidi="ar-SA"/>
      </w:rPr>
    </w:lvl>
    <w:lvl w:ilvl="3" w:tplc="F404089C">
      <w:numFmt w:val="bullet"/>
      <w:lvlText w:val="•"/>
      <w:lvlJc w:val="left"/>
      <w:pPr>
        <w:ind w:left="3802" w:hanging="419"/>
      </w:pPr>
      <w:rPr>
        <w:rFonts w:hint="default"/>
        <w:lang w:val="en-US" w:eastAsia="en-US" w:bidi="ar-SA"/>
      </w:rPr>
    </w:lvl>
    <w:lvl w:ilvl="4" w:tplc="B69618D4">
      <w:numFmt w:val="bullet"/>
      <w:lvlText w:val="•"/>
      <w:lvlJc w:val="left"/>
      <w:pPr>
        <w:ind w:left="4636" w:hanging="419"/>
      </w:pPr>
      <w:rPr>
        <w:rFonts w:hint="default"/>
        <w:lang w:val="en-US" w:eastAsia="en-US" w:bidi="ar-SA"/>
      </w:rPr>
    </w:lvl>
    <w:lvl w:ilvl="5" w:tplc="D4485770">
      <w:numFmt w:val="bullet"/>
      <w:lvlText w:val="•"/>
      <w:lvlJc w:val="left"/>
      <w:pPr>
        <w:ind w:left="5470" w:hanging="419"/>
      </w:pPr>
      <w:rPr>
        <w:rFonts w:hint="default"/>
        <w:lang w:val="en-US" w:eastAsia="en-US" w:bidi="ar-SA"/>
      </w:rPr>
    </w:lvl>
    <w:lvl w:ilvl="6" w:tplc="CB0051D2">
      <w:numFmt w:val="bullet"/>
      <w:lvlText w:val="•"/>
      <w:lvlJc w:val="left"/>
      <w:pPr>
        <w:ind w:left="6304" w:hanging="419"/>
      </w:pPr>
      <w:rPr>
        <w:rFonts w:hint="default"/>
        <w:lang w:val="en-US" w:eastAsia="en-US" w:bidi="ar-SA"/>
      </w:rPr>
    </w:lvl>
    <w:lvl w:ilvl="7" w:tplc="66C4EAA0">
      <w:numFmt w:val="bullet"/>
      <w:lvlText w:val="•"/>
      <w:lvlJc w:val="left"/>
      <w:pPr>
        <w:ind w:left="7138" w:hanging="419"/>
      </w:pPr>
      <w:rPr>
        <w:rFonts w:hint="default"/>
        <w:lang w:val="en-US" w:eastAsia="en-US" w:bidi="ar-SA"/>
      </w:rPr>
    </w:lvl>
    <w:lvl w:ilvl="8" w:tplc="C0925798">
      <w:numFmt w:val="bullet"/>
      <w:lvlText w:val="•"/>
      <w:lvlJc w:val="left"/>
      <w:pPr>
        <w:ind w:left="7972" w:hanging="419"/>
      </w:pPr>
      <w:rPr>
        <w:rFonts w:hint="default"/>
        <w:lang w:val="en-US" w:eastAsia="en-US" w:bidi="ar-SA"/>
      </w:rPr>
    </w:lvl>
  </w:abstractNum>
  <w:abstractNum w:abstractNumId="13" w15:restartNumberingAfterBreak="0">
    <w:nsid w:val="59FF4544"/>
    <w:multiLevelType w:val="hybridMultilevel"/>
    <w:tmpl w:val="2DB28AFE"/>
    <w:lvl w:ilvl="0" w:tplc="BB16D57C">
      <w:start w:val="1"/>
      <w:numFmt w:val="decimal"/>
      <w:lvlText w:val="%1."/>
      <w:lvlJc w:val="left"/>
      <w:pPr>
        <w:ind w:left="567" w:hanging="419"/>
      </w:pPr>
      <w:rPr>
        <w:rFonts w:ascii="Times New Roman" w:eastAsia="Times New Roman" w:hAnsi="Times New Roman" w:cs="Times New Roman" w:hint="default"/>
        <w:w w:val="99"/>
        <w:sz w:val="24"/>
        <w:szCs w:val="24"/>
        <w:lang w:val="en-US" w:eastAsia="en-US" w:bidi="ar-SA"/>
      </w:rPr>
    </w:lvl>
    <w:lvl w:ilvl="1" w:tplc="8B6E81F6">
      <w:numFmt w:val="bullet"/>
      <w:lvlText w:val="•"/>
      <w:lvlJc w:val="left"/>
      <w:pPr>
        <w:ind w:left="1468" w:hanging="419"/>
      </w:pPr>
      <w:rPr>
        <w:rFonts w:hint="default"/>
        <w:lang w:val="en-US" w:eastAsia="en-US" w:bidi="ar-SA"/>
      </w:rPr>
    </w:lvl>
    <w:lvl w:ilvl="2" w:tplc="54828654">
      <w:numFmt w:val="bullet"/>
      <w:lvlText w:val="•"/>
      <w:lvlJc w:val="left"/>
      <w:pPr>
        <w:ind w:left="2376" w:hanging="419"/>
      </w:pPr>
      <w:rPr>
        <w:rFonts w:hint="default"/>
        <w:lang w:val="en-US" w:eastAsia="en-US" w:bidi="ar-SA"/>
      </w:rPr>
    </w:lvl>
    <w:lvl w:ilvl="3" w:tplc="C13EEC9C">
      <w:numFmt w:val="bullet"/>
      <w:lvlText w:val="•"/>
      <w:lvlJc w:val="left"/>
      <w:pPr>
        <w:ind w:left="3284" w:hanging="419"/>
      </w:pPr>
      <w:rPr>
        <w:rFonts w:hint="default"/>
        <w:lang w:val="en-US" w:eastAsia="en-US" w:bidi="ar-SA"/>
      </w:rPr>
    </w:lvl>
    <w:lvl w:ilvl="4" w:tplc="A644F1F0">
      <w:numFmt w:val="bullet"/>
      <w:lvlText w:val="•"/>
      <w:lvlJc w:val="left"/>
      <w:pPr>
        <w:ind w:left="4192" w:hanging="419"/>
      </w:pPr>
      <w:rPr>
        <w:rFonts w:hint="default"/>
        <w:lang w:val="en-US" w:eastAsia="en-US" w:bidi="ar-SA"/>
      </w:rPr>
    </w:lvl>
    <w:lvl w:ilvl="5" w:tplc="2F5AF138">
      <w:numFmt w:val="bullet"/>
      <w:lvlText w:val="•"/>
      <w:lvlJc w:val="left"/>
      <w:pPr>
        <w:ind w:left="5100" w:hanging="419"/>
      </w:pPr>
      <w:rPr>
        <w:rFonts w:hint="default"/>
        <w:lang w:val="en-US" w:eastAsia="en-US" w:bidi="ar-SA"/>
      </w:rPr>
    </w:lvl>
    <w:lvl w:ilvl="6" w:tplc="96827E88">
      <w:numFmt w:val="bullet"/>
      <w:lvlText w:val="•"/>
      <w:lvlJc w:val="left"/>
      <w:pPr>
        <w:ind w:left="6008" w:hanging="419"/>
      </w:pPr>
      <w:rPr>
        <w:rFonts w:hint="default"/>
        <w:lang w:val="en-US" w:eastAsia="en-US" w:bidi="ar-SA"/>
      </w:rPr>
    </w:lvl>
    <w:lvl w:ilvl="7" w:tplc="93C435FA">
      <w:numFmt w:val="bullet"/>
      <w:lvlText w:val="•"/>
      <w:lvlJc w:val="left"/>
      <w:pPr>
        <w:ind w:left="6916" w:hanging="419"/>
      </w:pPr>
      <w:rPr>
        <w:rFonts w:hint="default"/>
        <w:lang w:val="en-US" w:eastAsia="en-US" w:bidi="ar-SA"/>
      </w:rPr>
    </w:lvl>
    <w:lvl w:ilvl="8" w:tplc="0CD6E694">
      <w:numFmt w:val="bullet"/>
      <w:lvlText w:val="•"/>
      <w:lvlJc w:val="left"/>
      <w:pPr>
        <w:ind w:left="7824" w:hanging="419"/>
      </w:pPr>
      <w:rPr>
        <w:rFonts w:hint="default"/>
        <w:lang w:val="en-US" w:eastAsia="en-US" w:bidi="ar-SA"/>
      </w:rPr>
    </w:lvl>
  </w:abstractNum>
  <w:abstractNum w:abstractNumId="14"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6D342E02"/>
    <w:multiLevelType w:val="hybridMultilevel"/>
    <w:tmpl w:val="98E27F48"/>
    <w:lvl w:ilvl="0" w:tplc="81227D6E">
      <w:start w:val="1"/>
      <w:numFmt w:val="upperRoman"/>
      <w:lvlText w:val="%1."/>
      <w:lvlJc w:val="left"/>
      <w:pPr>
        <w:ind w:left="3878" w:hanging="403"/>
        <w:jc w:val="right"/>
      </w:pPr>
      <w:rPr>
        <w:rFonts w:ascii="Times New Roman" w:eastAsia="Times New Roman" w:hAnsi="Times New Roman" w:cs="Times New Roman" w:hint="default"/>
        <w:spacing w:val="0"/>
        <w:w w:val="99"/>
        <w:sz w:val="24"/>
        <w:szCs w:val="24"/>
        <w:lang w:val="en-US" w:eastAsia="en-US" w:bidi="ar-SA"/>
      </w:rPr>
    </w:lvl>
    <w:lvl w:ilvl="1" w:tplc="8AFC7020">
      <w:start w:val="1"/>
      <w:numFmt w:val="upperLetter"/>
      <w:lvlText w:val="%2."/>
      <w:lvlJc w:val="left"/>
      <w:pPr>
        <w:ind w:left="3579" w:hanging="445"/>
        <w:jc w:val="right"/>
      </w:pPr>
      <w:rPr>
        <w:rFonts w:ascii="Times New Roman" w:eastAsia="Times New Roman" w:hAnsi="Times New Roman" w:cs="Times New Roman" w:hint="default"/>
        <w:i/>
        <w:iCs/>
        <w:w w:val="99"/>
        <w:sz w:val="24"/>
        <w:szCs w:val="24"/>
        <w:lang w:val="en-US" w:eastAsia="en-US" w:bidi="ar-SA"/>
      </w:rPr>
    </w:lvl>
    <w:lvl w:ilvl="2" w:tplc="06646BA0">
      <w:numFmt w:val="bullet"/>
      <w:lvlText w:val="•"/>
      <w:lvlJc w:val="left"/>
      <w:pPr>
        <w:ind w:left="4520" w:hanging="445"/>
      </w:pPr>
      <w:rPr>
        <w:rFonts w:hint="default"/>
        <w:lang w:val="en-US" w:eastAsia="en-US" w:bidi="ar-SA"/>
      </w:rPr>
    </w:lvl>
    <w:lvl w:ilvl="3" w:tplc="359046CE">
      <w:numFmt w:val="bullet"/>
      <w:lvlText w:val="•"/>
      <w:lvlJc w:val="left"/>
      <w:pPr>
        <w:ind w:left="5160" w:hanging="445"/>
      </w:pPr>
      <w:rPr>
        <w:rFonts w:hint="default"/>
        <w:lang w:val="en-US" w:eastAsia="en-US" w:bidi="ar-SA"/>
      </w:rPr>
    </w:lvl>
    <w:lvl w:ilvl="4" w:tplc="A236590A">
      <w:numFmt w:val="bullet"/>
      <w:lvlText w:val="•"/>
      <w:lvlJc w:val="left"/>
      <w:pPr>
        <w:ind w:left="5800" w:hanging="445"/>
      </w:pPr>
      <w:rPr>
        <w:rFonts w:hint="default"/>
        <w:lang w:val="en-US" w:eastAsia="en-US" w:bidi="ar-SA"/>
      </w:rPr>
    </w:lvl>
    <w:lvl w:ilvl="5" w:tplc="41E67D8C">
      <w:numFmt w:val="bullet"/>
      <w:lvlText w:val="•"/>
      <w:lvlJc w:val="left"/>
      <w:pPr>
        <w:ind w:left="6440" w:hanging="445"/>
      </w:pPr>
      <w:rPr>
        <w:rFonts w:hint="default"/>
        <w:lang w:val="en-US" w:eastAsia="en-US" w:bidi="ar-SA"/>
      </w:rPr>
    </w:lvl>
    <w:lvl w:ilvl="6" w:tplc="00C4B544">
      <w:numFmt w:val="bullet"/>
      <w:lvlText w:val="•"/>
      <w:lvlJc w:val="left"/>
      <w:pPr>
        <w:ind w:left="7080" w:hanging="445"/>
      </w:pPr>
      <w:rPr>
        <w:rFonts w:hint="default"/>
        <w:lang w:val="en-US" w:eastAsia="en-US" w:bidi="ar-SA"/>
      </w:rPr>
    </w:lvl>
    <w:lvl w:ilvl="7" w:tplc="92EE4342">
      <w:numFmt w:val="bullet"/>
      <w:lvlText w:val="•"/>
      <w:lvlJc w:val="left"/>
      <w:pPr>
        <w:ind w:left="7720" w:hanging="445"/>
      </w:pPr>
      <w:rPr>
        <w:rFonts w:hint="default"/>
        <w:lang w:val="en-US" w:eastAsia="en-US" w:bidi="ar-SA"/>
      </w:rPr>
    </w:lvl>
    <w:lvl w:ilvl="8" w:tplc="93ACCBE6">
      <w:numFmt w:val="bullet"/>
      <w:lvlText w:val="•"/>
      <w:lvlJc w:val="left"/>
      <w:pPr>
        <w:ind w:left="8360" w:hanging="445"/>
      </w:pPr>
      <w:rPr>
        <w:rFonts w:hint="default"/>
        <w:lang w:val="en-US" w:eastAsia="en-US" w:bidi="ar-SA"/>
      </w:rPr>
    </w:lvl>
  </w:abstractNum>
  <w:abstractNum w:abstractNumId="16"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283730206">
    <w:abstractNumId w:val="10"/>
  </w:num>
  <w:num w:numId="2" w16cid:durableId="2133480478">
    <w:abstractNumId w:val="10"/>
  </w:num>
  <w:num w:numId="3" w16cid:durableId="1165897812">
    <w:abstractNumId w:val="10"/>
  </w:num>
  <w:num w:numId="4" w16cid:durableId="819541779">
    <w:abstractNumId w:val="10"/>
  </w:num>
  <w:num w:numId="5" w16cid:durableId="1551107750">
    <w:abstractNumId w:val="10"/>
  </w:num>
  <w:num w:numId="6" w16cid:durableId="290400799">
    <w:abstractNumId w:val="10"/>
  </w:num>
  <w:num w:numId="7" w16cid:durableId="40324812">
    <w:abstractNumId w:val="10"/>
  </w:num>
  <w:num w:numId="8" w16cid:durableId="1677880453">
    <w:abstractNumId w:val="10"/>
  </w:num>
  <w:num w:numId="9" w16cid:durableId="1796559269">
    <w:abstractNumId w:val="10"/>
  </w:num>
  <w:num w:numId="10" w16cid:durableId="1781298631">
    <w:abstractNumId w:val="10"/>
  </w:num>
  <w:num w:numId="11" w16cid:durableId="787820041">
    <w:abstractNumId w:val="10"/>
  </w:num>
  <w:num w:numId="12" w16cid:durableId="2072384431">
    <w:abstractNumId w:val="10"/>
  </w:num>
  <w:num w:numId="13" w16cid:durableId="516650548">
    <w:abstractNumId w:val="10"/>
  </w:num>
  <w:num w:numId="14" w16cid:durableId="1214275543">
    <w:abstractNumId w:val="10"/>
  </w:num>
  <w:num w:numId="15" w16cid:durableId="2015574623">
    <w:abstractNumId w:val="10"/>
  </w:num>
  <w:num w:numId="16" w16cid:durableId="810290823">
    <w:abstractNumId w:val="10"/>
  </w:num>
  <w:num w:numId="17" w16cid:durableId="1327245110">
    <w:abstractNumId w:val="10"/>
  </w:num>
  <w:num w:numId="18" w16cid:durableId="399714967">
    <w:abstractNumId w:val="10"/>
  </w:num>
  <w:num w:numId="19" w16cid:durableId="1364094212">
    <w:abstractNumId w:val="17"/>
  </w:num>
  <w:num w:numId="20" w16cid:durableId="822088610">
    <w:abstractNumId w:val="6"/>
  </w:num>
  <w:num w:numId="21" w16cid:durableId="1305546183">
    <w:abstractNumId w:val="1"/>
  </w:num>
  <w:num w:numId="22" w16cid:durableId="149445727">
    <w:abstractNumId w:val="7"/>
  </w:num>
  <w:num w:numId="23" w16cid:durableId="224492100">
    <w:abstractNumId w:val="14"/>
  </w:num>
  <w:num w:numId="24" w16cid:durableId="2002808935">
    <w:abstractNumId w:val="2"/>
  </w:num>
  <w:num w:numId="25" w16cid:durableId="1967348150">
    <w:abstractNumId w:val="11"/>
  </w:num>
  <w:num w:numId="26" w16cid:durableId="1001082175">
    <w:abstractNumId w:val="16"/>
  </w:num>
  <w:num w:numId="27" w16cid:durableId="603732297">
    <w:abstractNumId w:val="13"/>
  </w:num>
  <w:num w:numId="28" w16cid:durableId="1062296003">
    <w:abstractNumId w:val="8"/>
  </w:num>
  <w:num w:numId="29" w16cid:durableId="1431004343">
    <w:abstractNumId w:val="12"/>
  </w:num>
  <w:num w:numId="30" w16cid:durableId="1184513778">
    <w:abstractNumId w:val="9"/>
  </w:num>
  <w:num w:numId="31" w16cid:durableId="1827939779">
    <w:abstractNumId w:val="5"/>
  </w:num>
  <w:num w:numId="32" w16cid:durableId="407650180">
    <w:abstractNumId w:val="15"/>
  </w:num>
  <w:num w:numId="33" w16cid:durableId="1596817133">
    <w:abstractNumId w:val="4"/>
  </w:num>
  <w:num w:numId="34" w16cid:durableId="430588206">
    <w:abstractNumId w:val="3"/>
  </w:num>
  <w:num w:numId="35" w16cid:durableId="188109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AA"/>
    <w:rsid w:val="00000581"/>
    <w:rsid w:val="00000820"/>
    <w:rsid w:val="000011E6"/>
    <w:rsid w:val="0000128C"/>
    <w:rsid w:val="000015C9"/>
    <w:rsid w:val="00001B5E"/>
    <w:rsid w:val="00001E0D"/>
    <w:rsid w:val="00001E4C"/>
    <w:rsid w:val="0000204B"/>
    <w:rsid w:val="0000206A"/>
    <w:rsid w:val="0000235E"/>
    <w:rsid w:val="000031C1"/>
    <w:rsid w:val="000035A0"/>
    <w:rsid w:val="00003EA1"/>
    <w:rsid w:val="0000489D"/>
    <w:rsid w:val="00004B72"/>
    <w:rsid w:val="00005103"/>
    <w:rsid w:val="00006176"/>
    <w:rsid w:val="0000629C"/>
    <w:rsid w:val="0000760B"/>
    <w:rsid w:val="00007623"/>
    <w:rsid w:val="00007BF1"/>
    <w:rsid w:val="0001288E"/>
    <w:rsid w:val="0001365D"/>
    <w:rsid w:val="00014550"/>
    <w:rsid w:val="00014FB1"/>
    <w:rsid w:val="0001625E"/>
    <w:rsid w:val="00016DC7"/>
    <w:rsid w:val="000174D1"/>
    <w:rsid w:val="00017AB8"/>
    <w:rsid w:val="00017B72"/>
    <w:rsid w:val="00017D0A"/>
    <w:rsid w:val="00017E4B"/>
    <w:rsid w:val="00017EBA"/>
    <w:rsid w:val="00020373"/>
    <w:rsid w:val="00020414"/>
    <w:rsid w:val="00020770"/>
    <w:rsid w:val="00020D59"/>
    <w:rsid w:val="0002166F"/>
    <w:rsid w:val="00021C84"/>
    <w:rsid w:val="00021EA2"/>
    <w:rsid w:val="000223D7"/>
    <w:rsid w:val="00022513"/>
    <w:rsid w:val="00022CC2"/>
    <w:rsid w:val="00023B69"/>
    <w:rsid w:val="00023B9E"/>
    <w:rsid w:val="000243BE"/>
    <w:rsid w:val="000244E3"/>
    <w:rsid w:val="000251A4"/>
    <w:rsid w:val="00025756"/>
    <w:rsid w:val="000257E1"/>
    <w:rsid w:val="00026DCB"/>
    <w:rsid w:val="000272F4"/>
    <w:rsid w:val="00027585"/>
    <w:rsid w:val="00027F9E"/>
    <w:rsid w:val="00030ADB"/>
    <w:rsid w:val="00030C01"/>
    <w:rsid w:val="00031178"/>
    <w:rsid w:val="000325FD"/>
    <w:rsid w:val="00032D5A"/>
    <w:rsid w:val="0003335D"/>
    <w:rsid w:val="00034C97"/>
    <w:rsid w:val="000356FB"/>
    <w:rsid w:val="00036471"/>
    <w:rsid w:val="000364E9"/>
    <w:rsid w:val="00036E18"/>
    <w:rsid w:val="00037237"/>
    <w:rsid w:val="00037273"/>
    <w:rsid w:val="000373EE"/>
    <w:rsid w:val="0003799E"/>
    <w:rsid w:val="00037A32"/>
    <w:rsid w:val="0004006C"/>
    <w:rsid w:val="0004102E"/>
    <w:rsid w:val="0004222D"/>
    <w:rsid w:val="0004273C"/>
    <w:rsid w:val="00042F46"/>
    <w:rsid w:val="000430AD"/>
    <w:rsid w:val="000433C9"/>
    <w:rsid w:val="00043518"/>
    <w:rsid w:val="000435AD"/>
    <w:rsid w:val="000435EC"/>
    <w:rsid w:val="000442F1"/>
    <w:rsid w:val="000446A6"/>
    <w:rsid w:val="000450E5"/>
    <w:rsid w:val="00045669"/>
    <w:rsid w:val="00045C04"/>
    <w:rsid w:val="0004687D"/>
    <w:rsid w:val="0004738D"/>
    <w:rsid w:val="0004779F"/>
    <w:rsid w:val="00047907"/>
    <w:rsid w:val="000516DE"/>
    <w:rsid w:val="00051759"/>
    <w:rsid w:val="00051DD6"/>
    <w:rsid w:val="0005219F"/>
    <w:rsid w:val="00052842"/>
    <w:rsid w:val="00052A81"/>
    <w:rsid w:val="000534B3"/>
    <w:rsid w:val="00053E5E"/>
    <w:rsid w:val="000540FD"/>
    <w:rsid w:val="00054296"/>
    <w:rsid w:val="000547C1"/>
    <w:rsid w:val="00054C6F"/>
    <w:rsid w:val="0005510C"/>
    <w:rsid w:val="000557CB"/>
    <w:rsid w:val="00055D59"/>
    <w:rsid w:val="000560D3"/>
    <w:rsid w:val="00056B4B"/>
    <w:rsid w:val="0005700F"/>
    <w:rsid w:val="0005704E"/>
    <w:rsid w:val="0006081B"/>
    <w:rsid w:val="000608DD"/>
    <w:rsid w:val="000609CD"/>
    <w:rsid w:val="00061243"/>
    <w:rsid w:val="00061406"/>
    <w:rsid w:val="00061542"/>
    <w:rsid w:val="00061658"/>
    <w:rsid w:val="00061707"/>
    <w:rsid w:val="00062099"/>
    <w:rsid w:val="00062420"/>
    <w:rsid w:val="00062AC3"/>
    <w:rsid w:val="00062B56"/>
    <w:rsid w:val="00063132"/>
    <w:rsid w:val="00063498"/>
    <w:rsid w:val="0006400C"/>
    <w:rsid w:val="000642BA"/>
    <w:rsid w:val="0006458D"/>
    <w:rsid w:val="0006483B"/>
    <w:rsid w:val="00064908"/>
    <w:rsid w:val="00064DA3"/>
    <w:rsid w:val="00064EA1"/>
    <w:rsid w:val="00064F3D"/>
    <w:rsid w:val="000659B3"/>
    <w:rsid w:val="00065BC5"/>
    <w:rsid w:val="00067023"/>
    <w:rsid w:val="00067A47"/>
    <w:rsid w:val="00067B1B"/>
    <w:rsid w:val="00067D8D"/>
    <w:rsid w:val="0007096A"/>
    <w:rsid w:val="00070AAA"/>
    <w:rsid w:val="00070DAC"/>
    <w:rsid w:val="00071375"/>
    <w:rsid w:val="00072267"/>
    <w:rsid w:val="00072396"/>
    <w:rsid w:val="00072549"/>
    <w:rsid w:val="000727C3"/>
    <w:rsid w:val="00072F1E"/>
    <w:rsid w:val="0007329B"/>
    <w:rsid w:val="0007336E"/>
    <w:rsid w:val="00074566"/>
    <w:rsid w:val="0007458C"/>
    <w:rsid w:val="00074700"/>
    <w:rsid w:val="000747C4"/>
    <w:rsid w:val="00074D8E"/>
    <w:rsid w:val="000750FA"/>
    <w:rsid w:val="00075A42"/>
    <w:rsid w:val="00075C01"/>
    <w:rsid w:val="0007614A"/>
    <w:rsid w:val="0007627F"/>
    <w:rsid w:val="00076DC7"/>
    <w:rsid w:val="00076FEF"/>
    <w:rsid w:val="0007704C"/>
    <w:rsid w:val="00077327"/>
    <w:rsid w:val="000779CD"/>
    <w:rsid w:val="0008006E"/>
    <w:rsid w:val="00080B67"/>
    <w:rsid w:val="00080F63"/>
    <w:rsid w:val="00080F9E"/>
    <w:rsid w:val="0008166C"/>
    <w:rsid w:val="0008171F"/>
    <w:rsid w:val="0008218E"/>
    <w:rsid w:val="00082B29"/>
    <w:rsid w:val="00082D75"/>
    <w:rsid w:val="00083119"/>
    <w:rsid w:val="00083BB3"/>
    <w:rsid w:val="00083E48"/>
    <w:rsid w:val="00084CBB"/>
    <w:rsid w:val="00085782"/>
    <w:rsid w:val="00085D64"/>
    <w:rsid w:val="0008625B"/>
    <w:rsid w:val="000865A6"/>
    <w:rsid w:val="00086B44"/>
    <w:rsid w:val="0008722A"/>
    <w:rsid w:val="00087737"/>
    <w:rsid w:val="00087ECF"/>
    <w:rsid w:val="000902C7"/>
    <w:rsid w:val="00090BC5"/>
    <w:rsid w:val="000910E0"/>
    <w:rsid w:val="00091854"/>
    <w:rsid w:val="0009259D"/>
    <w:rsid w:val="0009275E"/>
    <w:rsid w:val="00092875"/>
    <w:rsid w:val="000937AD"/>
    <w:rsid w:val="00094D77"/>
    <w:rsid w:val="00094E87"/>
    <w:rsid w:val="00095CC0"/>
    <w:rsid w:val="00095CCF"/>
    <w:rsid w:val="00095F79"/>
    <w:rsid w:val="000962E6"/>
    <w:rsid w:val="00097179"/>
    <w:rsid w:val="000975A0"/>
    <w:rsid w:val="00097684"/>
    <w:rsid w:val="00097C39"/>
    <w:rsid w:val="000A004C"/>
    <w:rsid w:val="000A02C7"/>
    <w:rsid w:val="000A096E"/>
    <w:rsid w:val="000A10FB"/>
    <w:rsid w:val="000A1315"/>
    <w:rsid w:val="000A1578"/>
    <w:rsid w:val="000A1A71"/>
    <w:rsid w:val="000A2303"/>
    <w:rsid w:val="000A2A60"/>
    <w:rsid w:val="000A3F6E"/>
    <w:rsid w:val="000A3F95"/>
    <w:rsid w:val="000A529D"/>
    <w:rsid w:val="000A54F6"/>
    <w:rsid w:val="000A5604"/>
    <w:rsid w:val="000A596F"/>
    <w:rsid w:val="000A5ABA"/>
    <w:rsid w:val="000A5C34"/>
    <w:rsid w:val="000A5D07"/>
    <w:rsid w:val="000A5E84"/>
    <w:rsid w:val="000A671F"/>
    <w:rsid w:val="000A6BFC"/>
    <w:rsid w:val="000A6CD0"/>
    <w:rsid w:val="000A6E53"/>
    <w:rsid w:val="000A6F1E"/>
    <w:rsid w:val="000A7095"/>
    <w:rsid w:val="000A7631"/>
    <w:rsid w:val="000A78F4"/>
    <w:rsid w:val="000A7A0C"/>
    <w:rsid w:val="000A7CB4"/>
    <w:rsid w:val="000B05D9"/>
    <w:rsid w:val="000B06A9"/>
    <w:rsid w:val="000B0BBA"/>
    <w:rsid w:val="000B11DC"/>
    <w:rsid w:val="000B27BF"/>
    <w:rsid w:val="000B2AB6"/>
    <w:rsid w:val="000B2CAE"/>
    <w:rsid w:val="000B2D5C"/>
    <w:rsid w:val="000B2E24"/>
    <w:rsid w:val="000B3C1D"/>
    <w:rsid w:val="000B401D"/>
    <w:rsid w:val="000B441C"/>
    <w:rsid w:val="000B4B41"/>
    <w:rsid w:val="000B4C28"/>
    <w:rsid w:val="000B4D3F"/>
    <w:rsid w:val="000B4F64"/>
    <w:rsid w:val="000B4F80"/>
    <w:rsid w:val="000B5672"/>
    <w:rsid w:val="000B601D"/>
    <w:rsid w:val="000B6344"/>
    <w:rsid w:val="000B66A3"/>
    <w:rsid w:val="000B78D3"/>
    <w:rsid w:val="000B7EAF"/>
    <w:rsid w:val="000B7F79"/>
    <w:rsid w:val="000C00BC"/>
    <w:rsid w:val="000C0425"/>
    <w:rsid w:val="000C04CB"/>
    <w:rsid w:val="000C04FB"/>
    <w:rsid w:val="000C0D3A"/>
    <w:rsid w:val="000C1C27"/>
    <w:rsid w:val="000C1FC0"/>
    <w:rsid w:val="000C29D6"/>
    <w:rsid w:val="000C3472"/>
    <w:rsid w:val="000C35D5"/>
    <w:rsid w:val="000C3A48"/>
    <w:rsid w:val="000C4487"/>
    <w:rsid w:val="000C465D"/>
    <w:rsid w:val="000C46F6"/>
    <w:rsid w:val="000C4763"/>
    <w:rsid w:val="000C5DAC"/>
    <w:rsid w:val="000C6796"/>
    <w:rsid w:val="000C7411"/>
    <w:rsid w:val="000C7485"/>
    <w:rsid w:val="000C797D"/>
    <w:rsid w:val="000C7D2C"/>
    <w:rsid w:val="000D006B"/>
    <w:rsid w:val="000D0B77"/>
    <w:rsid w:val="000D0CDB"/>
    <w:rsid w:val="000D0DBE"/>
    <w:rsid w:val="000D0E18"/>
    <w:rsid w:val="000D1416"/>
    <w:rsid w:val="000D1465"/>
    <w:rsid w:val="000D1548"/>
    <w:rsid w:val="000D1CA5"/>
    <w:rsid w:val="000D29A0"/>
    <w:rsid w:val="000D2CA9"/>
    <w:rsid w:val="000D2F4F"/>
    <w:rsid w:val="000D3D77"/>
    <w:rsid w:val="000D47F6"/>
    <w:rsid w:val="000D4975"/>
    <w:rsid w:val="000D4A0C"/>
    <w:rsid w:val="000D569A"/>
    <w:rsid w:val="000D5BFD"/>
    <w:rsid w:val="000D5E0B"/>
    <w:rsid w:val="000D61A6"/>
    <w:rsid w:val="000D6E91"/>
    <w:rsid w:val="000D7607"/>
    <w:rsid w:val="000D762A"/>
    <w:rsid w:val="000D7863"/>
    <w:rsid w:val="000D78F9"/>
    <w:rsid w:val="000E0539"/>
    <w:rsid w:val="000E08E0"/>
    <w:rsid w:val="000E0CCE"/>
    <w:rsid w:val="000E0E27"/>
    <w:rsid w:val="000E103D"/>
    <w:rsid w:val="000E1506"/>
    <w:rsid w:val="000E1B07"/>
    <w:rsid w:val="000E1C80"/>
    <w:rsid w:val="000E1D57"/>
    <w:rsid w:val="000E302C"/>
    <w:rsid w:val="000E30EB"/>
    <w:rsid w:val="000E44E9"/>
    <w:rsid w:val="000E4669"/>
    <w:rsid w:val="000E6A78"/>
    <w:rsid w:val="000E7430"/>
    <w:rsid w:val="000E7642"/>
    <w:rsid w:val="000E7927"/>
    <w:rsid w:val="000E7F23"/>
    <w:rsid w:val="000F0255"/>
    <w:rsid w:val="000F0D04"/>
    <w:rsid w:val="000F134B"/>
    <w:rsid w:val="000F1B2E"/>
    <w:rsid w:val="000F2814"/>
    <w:rsid w:val="000F3694"/>
    <w:rsid w:val="000F36A9"/>
    <w:rsid w:val="000F39AF"/>
    <w:rsid w:val="000F3A01"/>
    <w:rsid w:val="000F43B6"/>
    <w:rsid w:val="000F4BD8"/>
    <w:rsid w:val="000F55CC"/>
    <w:rsid w:val="000F5E39"/>
    <w:rsid w:val="000F6044"/>
    <w:rsid w:val="000F691B"/>
    <w:rsid w:val="000F6B2C"/>
    <w:rsid w:val="000F6BEE"/>
    <w:rsid w:val="000F72BC"/>
    <w:rsid w:val="00100046"/>
    <w:rsid w:val="00101041"/>
    <w:rsid w:val="001013EA"/>
    <w:rsid w:val="001018E8"/>
    <w:rsid w:val="001022B6"/>
    <w:rsid w:val="00102387"/>
    <w:rsid w:val="001024C1"/>
    <w:rsid w:val="001029D2"/>
    <w:rsid w:val="0010314F"/>
    <w:rsid w:val="001035D0"/>
    <w:rsid w:val="00103AAF"/>
    <w:rsid w:val="00103D39"/>
    <w:rsid w:val="0010479B"/>
    <w:rsid w:val="00104D88"/>
    <w:rsid w:val="00105653"/>
    <w:rsid w:val="001058F4"/>
    <w:rsid w:val="00105D99"/>
    <w:rsid w:val="001060CB"/>
    <w:rsid w:val="00106D55"/>
    <w:rsid w:val="00106D87"/>
    <w:rsid w:val="00107026"/>
    <w:rsid w:val="0011043C"/>
    <w:rsid w:val="00111EE1"/>
    <w:rsid w:val="00112349"/>
    <w:rsid w:val="00112957"/>
    <w:rsid w:val="00112A83"/>
    <w:rsid w:val="00113CE3"/>
    <w:rsid w:val="0011416A"/>
    <w:rsid w:val="00114453"/>
    <w:rsid w:val="001146D0"/>
    <w:rsid w:val="00115392"/>
    <w:rsid w:val="00115AD4"/>
    <w:rsid w:val="00115C16"/>
    <w:rsid w:val="00115D54"/>
    <w:rsid w:val="001161DE"/>
    <w:rsid w:val="00116520"/>
    <w:rsid w:val="001171D2"/>
    <w:rsid w:val="0012116C"/>
    <w:rsid w:val="00121752"/>
    <w:rsid w:val="00121802"/>
    <w:rsid w:val="00122227"/>
    <w:rsid w:val="00122613"/>
    <w:rsid w:val="0012273C"/>
    <w:rsid w:val="00122877"/>
    <w:rsid w:val="001230F6"/>
    <w:rsid w:val="00123558"/>
    <w:rsid w:val="0012380F"/>
    <w:rsid w:val="00124283"/>
    <w:rsid w:val="00124776"/>
    <w:rsid w:val="001261A9"/>
    <w:rsid w:val="001265C8"/>
    <w:rsid w:val="00126674"/>
    <w:rsid w:val="00126E78"/>
    <w:rsid w:val="0012759A"/>
    <w:rsid w:val="00130025"/>
    <w:rsid w:val="00130394"/>
    <w:rsid w:val="00130A60"/>
    <w:rsid w:val="00130C05"/>
    <w:rsid w:val="00130F9E"/>
    <w:rsid w:val="00131255"/>
    <w:rsid w:val="001317CE"/>
    <w:rsid w:val="00131B07"/>
    <w:rsid w:val="00131B08"/>
    <w:rsid w:val="00131DFD"/>
    <w:rsid w:val="00132BEC"/>
    <w:rsid w:val="00132E5D"/>
    <w:rsid w:val="001338AD"/>
    <w:rsid w:val="00133F66"/>
    <w:rsid w:val="00134E1E"/>
    <w:rsid w:val="00134F50"/>
    <w:rsid w:val="001361D4"/>
    <w:rsid w:val="00136BA4"/>
    <w:rsid w:val="001403E6"/>
    <w:rsid w:val="001404CB"/>
    <w:rsid w:val="00140608"/>
    <w:rsid w:val="0014120F"/>
    <w:rsid w:val="001415AA"/>
    <w:rsid w:val="001416F0"/>
    <w:rsid w:val="00141858"/>
    <w:rsid w:val="001426C5"/>
    <w:rsid w:val="001429F2"/>
    <w:rsid w:val="001432CB"/>
    <w:rsid w:val="00143BAF"/>
    <w:rsid w:val="001446CB"/>
    <w:rsid w:val="0014493F"/>
    <w:rsid w:val="00144E4C"/>
    <w:rsid w:val="001458B4"/>
    <w:rsid w:val="00145A8B"/>
    <w:rsid w:val="00145B0A"/>
    <w:rsid w:val="00145F2D"/>
    <w:rsid w:val="00146C40"/>
    <w:rsid w:val="00146DD7"/>
    <w:rsid w:val="00147013"/>
    <w:rsid w:val="00147035"/>
    <w:rsid w:val="00147867"/>
    <w:rsid w:val="001478DE"/>
    <w:rsid w:val="00150967"/>
    <w:rsid w:val="00150C76"/>
    <w:rsid w:val="00151D17"/>
    <w:rsid w:val="0015280A"/>
    <w:rsid w:val="00153A04"/>
    <w:rsid w:val="00153EA0"/>
    <w:rsid w:val="00154591"/>
    <w:rsid w:val="0015646F"/>
    <w:rsid w:val="001565F1"/>
    <w:rsid w:val="00156D2F"/>
    <w:rsid w:val="00156D9E"/>
    <w:rsid w:val="00157AA3"/>
    <w:rsid w:val="00157E5A"/>
    <w:rsid w:val="00160140"/>
    <w:rsid w:val="00160217"/>
    <w:rsid w:val="0016057C"/>
    <w:rsid w:val="00160A92"/>
    <w:rsid w:val="0016169C"/>
    <w:rsid w:val="00162865"/>
    <w:rsid w:val="001628A2"/>
    <w:rsid w:val="00162F4E"/>
    <w:rsid w:val="0016313D"/>
    <w:rsid w:val="00163A87"/>
    <w:rsid w:val="00163B74"/>
    <w:rsid w:val="00164393"/>
    <w:rsid w:val="00164403"/>
    <w:rsid w:val="00164763"/>
    <w:rsid w:val="00164956"/>
    <w:rsid w:val="00164F51"/>
    <w:rsid w:val="00165D44"/>
    <w:rsid w:val="00166800"/>
    <w:rsid w:val="0016713D"/>
    <w:rsid w:val="001678FE"/>
    <w:rsid w:val="00167A8E"/>
    <w:rsid w:val="00170343"/>
    <w:rsid w:val="0017084F"/>
    <w:rsid w:val="00170D32"/>
    <w:rsid w:val="00171A4F"/>
    <w:rsid w:val="00172694"/>
    <w:rsid w:val="001726C5"/>
    <w:rsid w:val="001726E0"/>
    <w:rsid w:val="001728D8"/>
    <w:rsid w:val="00172E78"/>
    <w:rsid w:val="00173204"/>
    <w:rsid w:val="00173236"/>
    <w:rsid w:val="00174B73"/>
    <w:rsid w:val="00174E8F"/>
    <w:rsid w:val="00175562"/>
    <w:rsid w:val="001756B5"/>
    <w:rsid w:val="00175F2D"/>
    <w:rsid w:val="001763DD"/>
    <w:rsid w:val="00176AB7"/>
    <w:rsid w:val="0017786A"/>
    <w:rsid w:val="001779EE"/>
    <w:rsid w:val="0018076D"/>
    <w:rsid w:val="001811C4"/>
    <w:rsid w:val="00181C26"/>
    <w:rsid w:val="00181E6A"/>
    <w:rsid w:val="0018201F"/>
    <w:rsid w:val="00182169"/>
    <w:rsid w:val="001824B1"/>
    <w:rsid w:val="00182929"/>
    <w:rsid w:val="00183099"/>
    <w:rsid w:val="00183266"/>
    <w:rsid w:val="00183697"/>
    <w:rsid w:val="00183A62"/>
    <w:rsid w:val="001841DF"/>
    <w:rsid w:val="001848E5"/>
    <w:rsid w:val="00184C97"/>
    <w:rsid w:val="001858E9"/>
    <w:rsid w:val="00186336"/>
    <w:rsid w:val="0018722F"/>
    <w:rsid w:val="00187DB2"/>
    <w:rsid w:val="001900BC"/>
    <w:rsid w:val="001908D1"/>
    <w:rsid w:val="00190C5A"/>
    <w:rsid w:val="00190C6F"/>
    <w:rsid w:val="0019108B"/>
    <w:rsid w:val="001919DF"/>
    <w:rsid w:val="00191D0F"/>
    <w:rsid w:val="00192330"/>
    <w:rsid w:val="00193ABE"/>
    <w:rsid w:val="00194204"/>
    <w:rsid w:val="00194708"/>
    <w:rsid w:val="00194DE1"/>
    <w:rsid w:val="0019530E"/>
    <w:rsid w:val="00195509"/>
    <w:rsid w:val="00195957"/>
    <w:rsid w:val="00196535"/>
    <w:rsid w:val="00196A35"/>
    <w:rsid w:val="00197064"/>
    <w:rsid w:val="001978FA"/>
    <w:rsid w:val="001A00FA"/>
    <w:rsid w:val="001A0CD5"/>
    <w:rsid w:val="001A114C"/>
    <w:rsid w:val="001A1F7B"/>
    <w:rsid w:val="001A220C"/>
    <w:rsid w:val="001A267D"/>
    <w:rsid w:val="001A2C70"/>
    <w:rsid w:val="001A2EB1"/>
    <w:rsid w:val="001A313F"/>
    <w:rsid w:val="001A3949"/>
    <w:rsid w:val="001A3E08"/>
    <w:rsid w:val="001A3E6E"/>
    <w:rsid w:val="001A40F9"/>
    <w:rsid w:val="001A49A7"/>
    <w:rsid w:val="001A5162"/>
    <w:rsid w:val="001A53AD"/>
    <w:rsid w:val="001A5F8B"/>
    <w:rsid w:val="001A667F"/>
    <w:rsid w:val="001A7288"/>
    <w:rsid w:val="001A7442"/>
    <w:rsid w:val="001A74A8"/>
    <w:rsid w:val="001A7A13"/>
    <w:rsid w:val="001A7FA0"/>
    <w:rsid w:val="001B10A0"/>
    <w:rsid w:val="001B13F5"/>
    <w:rsid w:val="001B1E61"/>
    <w:rsid w:val="001B26F2"/>
    <w:rsid w:val="001B28CF"/>
    <w:rsid w:val="001B29CB"/>
    <w:rsid w:val="001B29DE"/>
    <w:rsid w:val="001B2DD5"/>
    <w:rsid w:val="001B40ED"/>
    <w:rsid w:val="001B498B"/>
    <w:rsid w:val="001B4E40"/>
    <w:rsid w:val="001B53E7"/>
    <w:rsid w:val="001B55F8"/>
    <w:rsid w:val="001B5AF2"/>
    <w:rsid w:val="001B5D18"/>
    <w:rsid w:val="001B5FDE"/>
    <w:rsid w:val="001B6246"/>
    <w:rsid w:val="001B64DF"/>
    <w:rsid w:val="001B64EF"/>
    <w:rsid w:val="001B67FC"/>
    <w:rsid w:val="001B7D1D"/>
    <w:rsid w:val="001C0CB2"/>
    <w:rsid w:val="001C1B66"/>
    <w:rsid w:val="001C1EA6"/>
    <w:rsid w:val="001C2244"/>
    <w:rsid w:val="001C359C"/>
    <w:rsid w:val="001C3B71"/>
    <w:rsid w:val="001C3F6A"/>
    <w:rsid w:val="001C441B"/>
    <w:rsid w:val="001C44D5"/>
    <w:rsid w:val="001C4D21"/>
    <w:rsid w:val="001C4EE6"/>
    <w:rsid w:val="001C5D17"/>
    <w:rsid w:val="001C6378"/>
    <w:rsid w:val="001C647A"/>
    <w:rsid w:val="001C6588"/>
    <w:rsid w:val="001C6AEF"/>
    <w:rsid w:val="001C6DBF"/>
    <w:rsid w:val="001C7BA0"/>
    <w:rsid w:val="001C7CD7"/>
    <w:rsid w:val="001D02F5"/>
    <w:rsid w:val="001D0376"/>
    <w:rsid w:val="001D0766"/>
    <w:rsid w:val="001D0C6D"/>
    <w:rsid w:val="001D1077"/>
    <w:rsid w:val="001D1B6E"/>
    <w:rsid w:val="001D21BD"/>
    <w:rsid w:val="001D2675"/>
    <w:rsid w:val="001D280B"/>
    <w:rsid w:val="001D3798"/>
    <w:rsid w:val="001D3876"/>
    <w:rsid w:val="001D4654"/>
    <w:rsid w:val="001D4682"/>
    <w:rsid w:val="001D4D5D"/>
    <w:rsid w:val="001D51AF"/>
    <w:rsid w:val="001D51D2"/>
    <w:rsid w:val="001D578D"/>
    <w:rsid w:val="001D57B9"/>
    <w:rsid w:val="001D5AEE"/>
    <w:rsid w:val="001D61BE"/>
    <w:rsid w:val="001D6B32"/>
    <w:rsid w:val="001D719D"/>
    <w:rsid w:val="001D7243"/>
    <w:rsid w:val="001D73EB"/>
    <w:rsid w:val="001D7664"/>
    <w:rsid w:val="001E0176"/>
    <w:rsid w:val="001E19E5"/>
    <w:rsid w:val="001E1C05"/>
    <w:rsid w:val="001E2460"/>
    <w:rsid w:val="001E2694"/>
    <w:rsid w:val="001E3308"/>
    <w:rsid w:val="001E3ACC"/>
    <w:rsid w:val="001E419F"/>
    <w:rsid w:val="001E4687"/>
    <w:rsid w:val="001E5AE0"/>
    <w:rsid w:val="001E630F"/>
    <w:rsid w:val="001E634E"/>
    <w:rsid w:val="001E6A0B"/>
    <w:rsid w:val="001E6B03"/>
    <w:rsid w:val="001E6C3D"/>
    <w:rsid w:val="001E70BF"/>
    <w:rsid w:val="001E76DB"/>
    <w:rsid w:val="001E7839"/>
    <w:rsid w:val="001F0956"/>
    <w:rsid w:val="001F1F81"/>
    <w:rsid w:val="001F2433"/>
    <w:rsid w:val="001F2BA9"/>
    <w:rsid w:val="001F2CAF"/>
    <w:rsid w:val="001F359D"/>
    <w:rsid w:val="001F3AA0"/>
    <w:rsid w:val="001F3ED5"/>
    <w:rsid w:val="001F41A5"/>
    <w:rsid w:val="001F578E"/>
    <w:rsid w:val="001F6A11"/>
    <w:rsid w:val="001F6AA4"/>
    <w:rsid w:val="001F77BD"/>
    <w:rsid w:val="0020016E"/>
    <w:rsid w:val="00200771"/>
    <w:rsid w:val="00200ACD"/>
    <w:rsid w:val="00201399"/>
    <w:rsid w:val="00201455"/>
    <w:rsid w:val="00201795"/>
    <w:rsid w:val="00201C9E"/>
    <w:rsid w:val="0020227F"/>
    <w:rsid w:val="002024AA"/>
    <w:rsid w:val="00202610"/>
    <w:rsid w:val="0020296C"/>
    <w:rsid w:val="00203930"/>
    <w:rsid w:val="00203D34"/>
    <w:rsid w:val="002050F7"/>
    <w:rsid w:val="002053FF"/>
    <w:rsid w:val="002059D8"/>
    <w:rsid w:val="00205B05"/>
    <w:rsid w:val="0020615D"/>
    <w:rsid w:val="002062E6"/>
    <w:rsid w:val="00206A96"/>
    <w:rsid w:val="00206C02"/>
    <w:rsid w:val="00206E23"/>
    <w:rsid w:val="0020728B"/>
    <w:rsid w:val="00207BD6"/>
    <w:rsid w:val="0021032F"/>
    <w:rsid w:val="00210768"/>
    <w:rsid w:val="00210BFB"/>
    <w:rsid w:val="00211125"/>
    <w:rsid w:val="00211980"/>
    <w:rsid w:val="0021254C"/>
    <w:rsid w:val="00212562"/>
    <w:rsid w:val="00212DF2"/>
    <w:rsid w:val="002135A6"/>
    <w:rsid w:val="0021474F"/>
    <w:rsid w:val="00215116"/>
    <w:rsid w:val="002158AB"/>
    <w:rsid w:val="00215957"/>
    <w:rsid w:val="00216CEC"/>
    <w:rsid w:val="002170E7"/>
    <w:rsid w:val="002175F9"/>
    <w:rsid w:val="0021792A"/>
    <w:rsid w:val="00217F49"/>
    <w:rsid w:val="0022021A"/>
    <w:rsid w:val="002205D2"/>
    <w:rsid w:val="00220D9B"/>
    <w:rsid w:val="00220E01"/>
    <w:rsid w:val="00220E7D"/>
    <w:rsid w:val="002214D3"/>
    <w:rsid w:val="00221708"/>
    <w:rsid w:val="00221DEA"/>
    <w:rsid w:val="00222189"/>
    <w:rsid w:val="00222292"/>
    <w:rsid w:val="00222DEB"/>
    <w:rsid w:val="00223030"/>
    <w:rsid w:val="002237B2"/>
    <w:rsid w:val="0022384D"/>
    <w:rsid w:val="00223FE6"/>
    <w:rsid w:val="00224262"/>
    <w:rsid w:val="0022466A"/>
    <w:rsid w:val="002253B0"/>
    <w:rsid w:val="00225B3D"/>
    <w:rsid w:val="00225C3F"/>
    <w:rsid w:val="00226288"/>
    <w:rsid w:val="00226472"/>
    <w:rsid w:val="00226574"/>
    <w:rsid w:val="00227300"/>
    <w:rsid w:val="00227563"/>
    <w:rsid w:val="00227909"/>
    <w:rsid w:val="00227CCB"/>
    <w:rsid w:val="002304EC"/>
    <w:rsid w:val="002305BB"/>
    <w:rsid w:val="00230C00"/>
    <w:rsid w:val="002318B9"/>
    <w:rsid w:val="00231BD6"/>
    <w:rsid w:val="00232B01"/>
    <w:rsid w:val="002333DB"/>
    <w:rsid w:val="00233466"/>
    <w:rsid w:val="00233F8D"/>
    <w:rsid w:val="00235ABB"/>
    <w:rsid w:val="00235ED6"/>
    <w:rsid w:val="00235F72"/>
    <w:rsid w:val="0023639B"/>
    <w:rsid w:val="00236DBD"/>
    <w:rsid w:val="00237168"/>
    <w:rsid w:val="002372D2"/>
    <w:rsid w:val="0023741A"/>
    <w:rsid w:val="00237661"/>
    <w:rsid w:val="0023790D"/>
    <w:rsid w:val="00240028"/>
    <w:rsid w:val="00240647"/>
    <w:rsid w:val="00240665"/>
    <w:rsid w:val="00240726"/>
    <w:rsid w:val="002416DF"/>
    <w:rsid w:val="002427C6"/>
    <w:rsid w:val="00243104"/>
    <w:rsid w:val="0024323D"/>
    <w:rsid w:val="002433E6"/>
    <w:rsid w:val="0024485E"/>
    <w:rsid w:val="00244E45"/>
    <w:rsid w:val="002454C2"/>
    <w:rsid w:val="00245BEA"/>
    <w:rsid w:val="00247A8D"/>
    <w:rsid w:val="00247C3F"/>
    <w:rsid w:val="00250419"/>
    <w:rsid w:val="002507B4"/>
    <w:rsid w:val="00250C00"/>
    <w:rsid w:val="002513A5"/>
    <w:rsid w:val="0025157D"/>
    <w:rsid w:val="0025199D"/>
    <w:rsid w:val="0025238C"/>
    <w:rsid w:val="0025320F"/>
    <w:rsid w:val="00253AD3"/>
    <w:rsid w:val="00253BD8"/>
    <w:rsid w:val="002542B2"/>
    <w:rsid w:val="002548A2"/>
    <w:rsid w:val="002553F1"/>
    <w:rsid w:val="002555DB"/>
    <w:rsid w:val="00255814"/>
    <w:rsid w:val="00256143"/>
    <w:rsid w:val="002564E3"/>
    <w:rsid w:val="00256884"/>
    <w:rsid w:val="002569A1"/>
    <w:rsid w:val="00256EC1"/>
    <w:rsid w:val="00256F39"/>
    <w:rsid w:val="002576B9"/>
    <w:rsid w:val="00261380"/>
    <w:rsid w:val="002620BD"/>
    <w:rsid w:val="002621CA"/>
    <w:rsid w:val="00262A9A"/>
    <w:rsid w:val="00262B35"/>
    <w:rsid w:val="00262C68"/>
    <w:rsid w:val="00262CA9"/>
    <w:rsid w:val="00262D13"/>
    <w:rsid w:val="00262DF8"/>
    <w:rsid w:val="00262FDD"/>
    <w:rsid w:val="00263F7A"/>
    <w:rsid w:val="00264269"/>
    <w:rsid w:val="002643EA"/>
    <w:rsid w:val="002644C5"/>
    <w:rsid w:val="002656F3"/>
    <w:rsid w:val="0026571F"/>
    <w:rsid w:val="00265E2E"/>
    <w:rsid w:val="0026608E"/>
    <w:rsid w:val="0026673C"/>
    <w:rsid w:val="00266D69"/>
    <w:rsid w:val="00267FB0"/>
    <w:rsid w:val="00270730"/>
    <w:rsid w:val="00270AFC"/>
    <w:rsid w:val="0027108F"/>
    <w:rsid w:val="0027177F"/>
    <w:rsid w:val="002717B4"/>
    <w:rsid w:val="00271D8F"/>
    <w:rsid w:val="002723E8"/>
    <w:rsid w:val="00273896"/>
    <w:rsid w:val="00274575"/>
    <w:rsid w:val="0027491E"/>
    <w:rsid w:val="00274D89"/>
    <w:rsid w:val="002752C5"/>
    <w:rsid w:val="0027575F"/>
    <w:rsid w:val="00276041"/>
    <w:rsid w:val="002769D1"/>
    <w:rsid w:val="00276BD3"/>
    <w:rsid w:val="002772C9"/>
    <w:rsid w:val="00277438"/>
    <w:rsid w:val="00277539"/>
    <w:rsid w:val="0027778D"/>
    <w:rsid w:val="002779A6"/>
    <w:rsid w:val="00277DD4"/>
    <w:rsid w:val="00280337"/>
    <w:rsid w:val="00280521"/>
    <w:rsid w:val="002805BD"/>
    <w:rsid w:val="00280A03"/>
    <w:rsid w:val="00281060"/>
    <w:rsid w:val="00281D3B"/>
    <w:rsid w:val="00281FA6"/>
    <w:rsid w:val="002821AA"/>
    <w:rsid w:val="002828B3"/>
    <w:rsid w:val="00282FFB"/>
    <w:rsid w:val="00283224"/>
    <w:rsid w:val="00283830"/>
    <w:rsid w:val="00283ED7"/>
    <w:rsid w:val="00284355"/>
    <w:rsid w:val="00284953"/>
    <w:rsid w:val="00284CBC"/>
    <w:rsid w:val="00284EBA"/>
    <w:rsid w:val="002853A5"/>
    <w:rsid w:val="002866C6"/>
    <w:rsid w:val="002868EB"/>
    <w:rsid w:val="00286E2F"/>
    <w:rsid w:val="0028700A"/>
    <w:rsid w:val="002870C6"/>
    <w:rsid w:val="00287176"/>
    <w:rsid w:val="00287554"/>
    <w:rsid w:val="002916CE"/>
    <w:rsid w:val="00291F0E"/>
    <w:rsid w:val="00292565"/>
    <w:rsid w:val="0029282A"/>
    <w:rsid w:val="0029304B"/>
    <w:rsid w:val="00293569"/>
    <w:rsid w:val="00293925"/>
    <w:rsid w:val="00293F51"/>
    <w:rsid w:val="00293FDA"/>
    <w:rsid w:val="00293FEB"/>
    <w:rsid w:val="00294B13"/>
    <w:rsid w:val="002950CA"/>
    <w:rsid w:val="00295CC7"/>
    <w:rsid w:val="002964E3"/>
    <w:rsid w:val="0029697F"/>
    <w:rsid w:val="002A0079"/>
    <w:rsid w:val="002A03C6"/>
    <w:rsid w:val="002A0AA7"/>
    <w:rsid w:val="002A0CE6"/>
    <w:rsid w:val="002A135C"/>
    <w:rsid w:val="002A154B"/>
    <w:rsid w:val="002A19F2"/>
    <w:rsid w:val="002A2495"/>
    <w:rsid w:val="002A2893"/>
    <w:rsid w:val="002A2C5F"/>
    <w:rsid w:val="002A30D7"/>
    <w:rsid w:val="002A3316"/>
    <w:rsid w:val="002A347F"/>
    <w:rsid w:val="002A3C37"/>
    <w:rsid w:val="002A3C93"/>
    <w:rsid w:val="002A439F"/>
    <w:rsid w:val="002A47E6"/>
    <w:rsid w:val="002A4E67"/>
    <w:rsid w:val="002A5271"/>
    <w:rsid w:val="002A53F4"/>
    <w:rsid w:val="002A593C"/>
    <w:rsid w:val="002A5A4B"/>
    <w:rsid w:val="002A5B00"/>
    <w:rsid w:val="002A631A"/>
    <w:rsid w:val="002A70F9"/>
    <w:rsid w:val="002A78B8"/>
    <w:rsid w:val="002A7B45"/>
    <w:rsid w:val="002A7BB6"/>
    <w:rsid w:val="002B032A"/>
    <w:rsid w:val="002B099D"/>
    <w:rsid w:val="002B199D"/>
    <w:rsid w:val="002B19D7"/>
    <w:rsid w:val="002B2A5E"/>
    <w:rsid w:val="002B2C3F"/>
    <w:rsid w:val="002B326B"/>
    <w:rsid w:val="002B3DE1"/>
    <w:rsid w:val="002B3F01"/>
    <w:rsid w:val="002B4008"/>
    <w:rsid w:val="002B40DB"/>
    <w:rsid w:val="002B4259"/>
    <w:rsid w:val="002B42E7"/>
    <w:rsid w:val="002B4B8B"/>
    <w:rsid w:val="002B4E7B"/>
    <w:rsid w:val="002B5519"/>
    <w:rsid w:val="002B6087"/>
    <w:rsid w:val="002B6466"/>
    <w:rsid w:val="002B725D"/>
    <w:rsid w:val="002B7A06"/>
    <w:rsid w:val="002B7FBF"/>
    <w:rsid w:val="002C102A"/>
    <w:rsid w:val="002C107E"/>
    <w:rsid w:val="002C11C2"/>
    <w:rsid w:val="002C1D61"/>
    <w:rsid w:val="002C28ED"/>
    <w:rsid w:val="002C2FE9"/>
    <w:rsid w:val="002C374D"/>
    <w:rsid w:val="002C3DE0"/>
    <w:rsid w:val="002C3E07"/>
    <w:rsid w:val="002C49CB"/>
    <w:rsid w:val="002C4B72"/>
    <w:rsid w:val="002C4D62"/>
    <w:rsid w:val="002C5B3B"/>
    <w:rsid w:val="002C5DB8"/>
    <w:rsid w:val="002C5E1B"/>
    <w:rsid w:val="002C6429"/>
    <w:rsid w:val="002C789C"/>
    <w:rsid w:val="002D2096"/>
    <w:rsid w:val="002D2273"/>
    <w:rsid w:val="002D23E8"/>
    <w:rsid w:val="002D246A"/>
    <w:rsid w:val="002D258C"/>
    <w:rsid w:val="002D37E3"/>
    <w:rsid w:val="002D3C55"/>
    <w:rsid w:val="002D3D82"/>
    <w:rsid w:val="002D48FD"/>
    <w:rsid w:val="002D5172"/>
    <w:rsid w:val="002D5242"/>
    <w:rsid w:val="002D562C"/>
    <w:rsid w:val="002D5692"/>
    <w:rsid w:val="002D5CB7"/>
    <w:rsid w:val="002E0128"/>
    <w:rsid w:val="002E01A3"/>
    <w:rsid w:val="002E044C"/>
    <w:rsid w:val="002E0951"/>
    <w:rsid w:val="002E13EC"/>
    <w:rsid w:val="002E17F4"/>
    <w:rsid w:val="002E210F"/>
    <w:rsid w:val="002E2C1F"/>
    <w:rsid w:val="002E309A"/>
    <w:rsid w:val="002E3648"/>
    <w:rsid w:val="002E36EC"/>
    <w:rsid w:val="002E3939"/>
    <w:rsid w:val="002E3C28"/>
    <w:rsid w:val="002E3F39"/>
    <w:rsid w:val="002E48FD"/>
    <w:rsid w:val="002E5CA4"/>
    <w:rsid w:val="002E5E78"/>
    <w:rsid w:val="002E65A2"/>
    <w:rsid w:val="002E6968"/>
    <w:rsid w:val="002E72CA"/>
    <w:rsid w:val="002E7594"/>
    <w:rsid w:val="002F0187"/>
    <w:rsid w:val="002F03C2"/>
    <w:rsid w:val="002F047F"/>
    <w:rsid w:val="002F0A19"/>
    <w:rsid w:val="002F0DCB"/>
    <w:rsid w:val="002F0E99"/>
    <w:rsid w:val="002F15E2"/>
    <w:rsid w:val="002F1817"/>
    <w:rsid w:val="002F1C8F"/>
    <w:rsid w:val="002F1D10"/>
    <w:rsid w:val="002F2085"/>
    <w:rsid w:val="002F2B49"/>
    <w:rsid w:val="002F3569"/>
    <w:rsid w:val="002F3A48"/>
    <w:rsid w:val="002F4768"/>
    <w:rsid w:val="002F48E2"/>
    <w:rsid w:val="002F4999"/>
    <w:rsid w:val="002F4D1F"/>
    <w:rsid w:val="002F50C4"/>
    <w:rsid w:val="002F52A4"/>
    <w:rsid w:val="002F53B0"/>
    <w:rsid w:val="002F53D7"/>
    <w:rsid w:val="002F53E6"/>
    <w:rsid w:val="002F5A90"/>
    <w:rsid w:val="002F5BF2"/>
    <w:rsid w:val="002F6401"/>
    <w:rsid w:val="002F6A3A"/>
    <w:rsid w:val="002F747A"/>
    <w:rsid w:val="002F75F5"/>
    <w:rsid w:val="002F7A53"/>
    <w:rsid w:val="002F7D3A"/>
    <w:rsid w:val="002F7E24"/>
    <w:rsid w:val="0030015C"/>
    <w:rsid w:val="003016B5"/>
    <w:rsid w:val="00301810"/>
    <w:rsid w:val="003020C7"/>
    <w:rsid w:val="0030274C"/>
    <w:rsid w:val="00302954"/>
    <w:rsid w:val="00302A04"/>
    <w:rsid w:val="0030389E"/>
    <w:rsid w:val="0030493E"/>
    <w:rsid w:val="003054AE"/>
    <w:rsid w:val="00305793"/>
    <w:rsid w:val="00306E2C"/>
    <w:rsid w:val="00306FD8"/>
    <w:rsid w:val="00307276"/>
    <w:rsid w:val="003106F5"/>
    <w:rsid w:val="00310726"/>
    <w:rsid w:val="00310D97"/>
    <w:rsid w:val="0031217C"/>
    <w:rsid w:val="003125B0"/>
    <w:rsid w:val="00312719"/>
    <w:rsid w:val="00313A4E"/>
    <w:rsid w:val="00313B2E"/>
    <w:rsid w:val="00313DC5"/>
    <w:rsid w:val="00313E6C"/>
    <w:rsid w:val="003143E1"/>
    <w:rsid w:val="003144FE"/>
    <w:rsid w:val="00315411"/>
    <w:rsid w:val="003157EC"/>
    <w:rsid w:val="00315C7F"/>
    <w:rsid w:val="003166F6"/>
    <w:rsid w:val="003169C7"/>
    <w:rsid w:val="003171C9"/>
    <w:rsid w:val="0031789C"/>
    <w:rsid w:val="00321383"/>
    <w:rsid w:val="003214D7"/>
    <w:rsid w:val="00321BF1"/>
    <w:rsid w:val="00322401"/>
    <w:rsid w:val="00322A5E"/>
    <w:rsid w:val="00322B30"/>
    <w:rsid w:val="00323EEA"/>
    <w:rsid w:val="00324364"/>
    <w:rsid w:val="0032442C"/>
    <w:rsid w:val="0032492B"/>
    <w:rsid w:val="00324B04"/>
    <w:rsid w:val="00324CB6"/>
    <w:rsid w:val="00324CE8"/>
    <w:rsid w:val="0032524D"/>
    <w:rsid w:val="0032584F"/>
    <w:rsid w:val="00325C96"/>
    <w:rsid w:val="00325FFA"/>
    <w:rsid w:val="003272A6"/>
    <w:rsid w:val="003275A9"/>
    <w:rsid w:val="003275D6"/>
    <w:rsid w:val="00327673"/>
    <w:rsid w:val="00327EDA"/>
    <w:rsid w:val="00330F3C"/>
    <w:rsid w:val="0033163B"/>
    <w:rsid w:val="003318BC"/>
    <w:rsid w:val="00331D1C"/>
    <w:rsid w:val="003321F3"/>
    <w:rsid w:val="003326C0"/>
    <w:rsid w:val="0033380F"/>
    <w:rsid w:val="00333FE8"/>
    <w:rsid w:val="00334590"/>
    <w:rsid w:val="00334E3D"/>
    <w:rsid w:val="0033535A"/>
    <w:rsid w:val="00336C9C"/>
    <w:rsid w:val="00337780"/>
    <w:rsid w:val="00340198"/>
    <w:rsid w:val="00340450"/>
    <w:rsid w:val="003409C3"/>
    <w:rsid w:val="0034123D"/>
    <w:rsid w:val="0034133A"/>
    <w:rsid w:val="00341F8B"/>
    <w:rsid w:val="0034205C"/>
    <w:rsid w:val="0034265A"/>
    <w:rsid w:val="00342AC3"/>
    <w:rsid w:val="00342C47"/>
    <w:rsid w:val="00342E79"/>
    <w:rsid w:val="003435AA"/>
    <w:rsid w:val="0034375B"/>
    <w:rsid w:val="003439AC"/>
    <w:rsid w:val="0034440B"/>
    <w:rsid w:val="00345135"/>
    <w:rsid w:val="003454E7"/>
    <w:rsid w:val="0034565D"/>
    <w:rsid w:val="00346307"/>
    <w:rsid w:val="00346842"/>
    <w:rsid w:val="00346E3E"/>
    <w:rsid w:val="003479EB"/>
    <w:rsid w:val="00347C67"/>
    <w:rsid w:val="003503C7"/>
    <w:rsid w:val="00350530"/>
    <w:rsid w:val="00350542"/>
    <w:rsid w:val="0035112D"/>
    <w:rsid w:val="00351B0C"/>
    <w:rsid w:val="00351C31"/>
    <w:rsid w:val="00351EAF"/>
    <w:rsid w:val="00352159"/>
    <w:rsid w:val="003526E7"/>
    <w:rsid w:val="00353014"/>
    <w:rsid w:val="00353263"/>
    <w:rsid w:val="00353557"/>
    <w:rsid w:val="00353AF3"/>
    <w:rsid w:val="003542C4"/>
    <w:rsid w:val="003546A6"/>
    <w:rsid w:val="0035482E"/>
    <w:rsid w:val="00354A9B"/>
    <w:rsid w:val="0035517B"/>
    <w:rsid w:val="00355275"/>
    <w:rsid w:val="00355583"/>
    <w:rsid w:val="00355736"/>
    <w:rsid w:val="00355AEB"/>
    <w:rsid w:val="00356682"/>
    <w:rsid w:val="0035685C"/>
    <w:rsid w:val="00357870"/>
    <w:rsid w:val="003579F3"/>
    <w:rsid w:val="0036004A"/>
    <w:rsid w:val="003600A8"/>
    <w:rsid w:val="003603C5"/>
    <w:rsid w:val="00360703"/>
    <w:rsid w:val="00360837"/>
    <w:rsid w:val="003608B0"/>
    <w:rsid w:val="00360921"/>
    <w:rsid w:val="00361159"/>
    <w:rsid w:val="003626C1"/>
    <w:rsid w:val="00362E8E"/>
    <w:rsid w:val="00362F13"/>
    <w:rsid w:val="0036360C"/>
    <w:rsid w:val="00363B59"/>
    <w:rsid w:val="00363C10"/>
    <w:rsid w:val="0036403F"/>
    <w:rsid w:val="003644E2"/>
    <w:rsid w:val="003645DE"/>
    <w:rsid w:val="00364651"/>
    <w:rsid w:val="00365053"/>
    <w:rsid w:val="00365529"/>
    <w:rsid w:val="00365612"/>
    <w:rsid w:val="00365924"/>
    <w:rsid w:val="00365B75"/>
    <w:rsid w:val="003662FD"/>
    <w:rsid w:val="003664A9"/>
    <w:rsid w:val="0036656A"/>
    <w:rsid w:val="00366713"/>
    <w:rsid w:val="0036688A"/>
    <w:rsid w:val="00366C16"/>
    <w:rsid w:val="0036716C"/>
    <w:rsid w:val="003700F4"/>
    <w:rsid w:val="003709AE"/>
    <w:rsid w:val="00370C9D"/>
    <w:rsid w:val="00370E03"/>
    <w:rsid w:val="0037163D"/>
    <w:rsid w:val="00371674"/>
    <w:rsid w:val="00371B7E"/>
    <w:rsid w:val="003722A2"/>
    <w:rsid w:val="003734FC"/>
    <w:rsid w:val="003741D3"/>
    <w:rsid w:val="00374750"/>
    <w:rsid w:val="00374755"/>
    <w:rsid w:val="003748BA"/>
    <w:rsid w:val="00374A23"/>
    <w:rsid w:val="00375778"/>
    <w:rsid w:val="00375B31"/>
    <w:rsid w:val="00375F9D"/>
    <w:rsid w:val="00376389"/>
    <w:rsid w:val="00376D3A"/>
    <w:rsid w:val="00376F05"/>
    <w:rsid w:val="0037715B"/>
    <w:rsid w:val="003805FE"/>
    <w:rsid w:val="0038082F"/>
    <w:rsid w:val="0038130D"/>
    <w:rsid w:val="003815EA"/>
    <w:rsid w:val="00381FC2"/>
    <w:rsid w:val="00382DCB"/>
    <w:rsid w:val="00382F24"/>
    <w:rsid w:val="00383972"/>
    <w:rsid w:val="00383B85"/>
    <w:rsid w:val="00384CAF"/>
    <w:rsid w:val="00384D0E"/>
    <w:rsid w:val="00384E68"/>
    <w:rsid w:val="00384F28"/>
    <w:rsid w:val="0038546F"/>
    <w:rsid w:val="00385494"/>
    <w:rsid w:val="003859C8"/>
    <w:rsid w:val="00385DD6"/>
    <w:rsid w:val="0038644B"/>
    <w:rsid w:val="00386A19"/>
    <w:rsid w:val="00386CC5"/>
    <w:rsid w:val="00386CFB"/>
    <w:rsid w:val="00386EFB"/>
    <w:rsid w:val="0038711A"/>
    <w:rsid w:val="00387A6B"/>
    <w:rsid w:val="003901C2"/>
    <w:rsid w:val="003905A0"/>
    <w:rsid w:val="00391141"/>
    <w:rsid w:val="003911FB"/>
    <w:rsid w:val="00391966"/>
    <w:rsid w:val="00391B56"/>
    <w:rsid w:val="0039295D"/>
    <w:rsid w:val="003932CA"/>
    <w:rsid w:val="003954C4"/>
    <w:rsid w:val="003955CD"/>
    <w:rsid w:val="003955F4"/>
    <w:rsid w:val="003959B9"/>
    <w:rsid w:val="00395A9F"/>
    <w:rsid w:val="00395BC8"/>
    <w:rsid w:val="003965EF"/>
    <w:rsid w:val="00396FB2"/>
    <w:rsid w:val="0039785D"/>
    <w:rsid w:val="00397C3C"/>
    <w:rsid w:val="003A0A94"/>
    <w:rsid w:val="003A1AA2"/>
    <w:rsid w:val="003A2A18"/>
    <w:rsid w:val="003A2F7F"/>
    <w:rsid w:val="003A3204"/>
    <w:rsid w:val="003A39F6"/>
    <w:rsid w:val="003A46E0"/>
    <w:rsid w:val="003A46F6"/>
    <w:rsid w:val="003A4AFF"/>
    <w:rsid w:val="003A545D"/>
    <w:rsid w:val="003A6FE7"/>
    <w:rsid w:val="003A71CA"/>
    <w:rsid w:val="003A7EB9"/>
    <w:rsid w:val="003A7F8E"/>
    <w:rsid w:val="003B007F"/>
    <w:rsid w:val="003B0107"/>
    <w:rsid w:val="003B055A"/>
    <w:rsid w:val="003B0D82"/>
    <w:rsid w:val="003B133B"/>
    <w:rsid w:val="003B3054"/>
    <w:rsid w:val="003B3478"/>
    <w:rsid w:val="003B34BC"/>
    <w:rsid w:val="003B38B7"/>
    <w:rsid w:val="003B443C"/>
    <w:rsid w:val="003B45BC"/>
    <w:rsid w:val="003B4715"/>
    <w:rsid w:val="003B4808"/>
    <w:rsid w:val="003B5CE4"/>
    <w:rsid w:val="003B5E75"/>
    <w:rsid w:val="003B5FDB"/>
    <w:rsid w:val="003B7ECD"/>
    <w:rsid w:val="003C03A2"/>
    <w:rsid w:val="003C040D"/>
    <w:rsid w:val="003C05CA"/>
    <w:rsid w:val="003C0640"/>
    <w:rsid w:val="003C0B2D"/>
    <w:rsid w:val="003C0B3A"/>
    <w:rsid w:val="003C1993"/>
    <w:rsid w:val="003C1AEB"/>
    <w:rsid w:val="003C1E99"/>
    <w:rsid w:val="003C317F"/>
    <w:rsid w:val="003C3675"/>
    <w:rsid w:val="003C387B"/>
    <w:rsid w:val="003C3ED9"/>
    <w:rsid w:val="003C4508"/>
    <w:rsid w:val="003C4624"/>
    <w:rsid w:val="003C470B"/>
    <w:rsid w:val="003C4B6D"/>
    <w:rsid w:val="003C5127"/>
    <w:rsid w:val="003C52D6"/>
    <w:rsid w:val="003C592C"/>
    <w:rsid w:val="003C677C"/>
    <w:rsid w:val="003C7363"/>
    <w:rsid w:val="003C7616"/>
    <w:rsid w:val="003C7A91"/>
    <w:rsid w:val="003C7F83"/>
    <w:rsid w:val="003C7FEC"/>
    <w:rsid w:val="003D088D"/>
    <w:rsid w:val="003D2119"/>
    <w:rsid w:val="003D2465"/>
    <w:rsid w:val="003D2DB2"/>
    <w:rsid w:val="003D2FA4"/>
    <w:rsid w:val="003D30B4"/>
    <w:rsid w:val="003D3EDB"/>
    <w:rsid w:val="003D42D7"/>
    <w:rsid w:val="003D439A"/>
    <w:rsid w:val="003D4A74"/>
    <w:rsid w:val="003D5597"/>
    <w:rsid w:val="003D581C"/>
    <w:rsid w:val="003D587F"/>
    <w:rsid w:val="003D6BE6"/>
    <w:rsid w:val="003D6DEC"/>
    <w:rsid w:val="003D6E71"/>
    <w:rsid w:val="003E0415"/>
    <w:rsid w:val="003E088A"/>
    <w:rsid w:val="003E0979"/>
    <w:rsid w:val="003E0D0A"/>
    <w:rsid w:val="003E22C7"/>
    <w:rsid w:val="003E26E0"/>
    <w:rsid w:val="003E290F"/>
    <w:rsid w:val="003E3E29"/>
    <w:rsid w:val="003E40B2"/>
    <w:rsid w:val="003E4D78"/>
    <w:rsid w:val="003E5409"/>
    <w:rsid w:val="003E5A38"/>
    <w:rsid w:val="003E5BB8"/>
    <w:rsid w:val="003E6D6E"/>
    <w:rsid w:val="003E714C"/>
    <w:rsid w:val="003E7456"/>
    <w:rsid w:val="003E7854"/>
    <w:rsid w:val="003E7998"/>
    <w:rsid w:val="003E7CDA"/>
    <w:rsid w:val="003F1261"/>
    <w:rsid w:val="003F1C00"/>
    <w:rsid w:val="003F1C0C"/>
    <w:rsid w:val="003F1CAA"/>
    <w:rsid w:val="003F2509"/>
    <w:rsid w:val="003F27F4"/>
    <w:rsid w:val="003F362A"/>
    <w:rsid w:val="003F3D2F"/>
    <w:rsid w:val="003F46EC"/>
    <w:rsid w:val="003F5E17"/>
    <w:rsid w:val="003F6093"/>
    <w:rsid w:val="003F6BF0"/>
    <w:rsid w:val="003F6F05"/>
    <w:rsid w:val="003F7775"/>
    <w:rsid w:val="003F7EBB"/>
    <w:rsid w:val="0040018B"/>
    <w:rsid w:val="004005B3"/>
    <w:rsid w:val="00400625"/>
    <w:rsid w:val="00400661"/>
    <w:rsid w:val="00400705"/>
    <w:rsid w:val="004007B4"/>
    <w:rsid w:val="00400D04"/>
    <w:rsid w:val="00400FA4"/>
    <w:rsid w:val="0040219E"/>
    <w:rsid w:val="004025F1"/>
    <w:rsid w:val="00402857"/>
    <w:rsid w:val="00402967"/>
    <w:rsid w:val="00402BDE"/>
    <w:rsid w:val="00403230"/>
    <w:rsid w:val="004033B3"/>
    <w:rsid w:val="00403C51"/>
    <w:rsid w:val="0040480E"/>
    <w:rsid w:val="0040486A"/>
    <w:rsid w:val="00404A39"/>
    <w:rsid w:val="00404C56"/>
    <w:rsid w:val="00406DCE"/>
    <w:rsid w:val="0040759D"/>
    <w:rsid w:val="0040792E"/>
    <w:rsid w:val="00407998"/>
    <w:rsid w:val="00407F76"/>
    <w:rsid w:val="00411C20"/>
    <w:rsid w:val="00411D61"/>
    <w:rsid w:val="00411D7F"/>
    <w:rsid w:val="00411D80"/>
    <w:rsid w:val="00411F11"/>
    <w:rsid w:val="00411FD1"/>
    <w:rsid w:val="0041225B"/>
    <w:rsid w:val="00412605"/>
    <w:rsid w:val="00412885"/>
    <w:rsid w:val="00412A58"/>
    <w:rsid w:val="004134C3"/>
    <w:rsid w:val="00413588"/>
    <w:rsid w:val="004135AE"/>
    <w:rsid w:val="00413F52"/>
    <w:rsid w:val="004144CC"/>
    <w:rsid w:val="00414A34"/>
    <w:rsid w:val="004153D6"/>
    <w:rsid w:val="00415799"/>
    <w:rsid w:val="004158F5"/>
    <w:rsid w:val="00415A35"/>
    <w:rsid w:val="00415BA3"/>
    <w:rsid w:val="00415EF8"/>
    <w:rsid w:val="00415FB8"/>
    <w:rsid w:val="00416331"/>
    <w:rsid w:val="004165A9"/>
    <w:rsid w:val="00416C2F"/>
    <w:rsid w:val="00417626"/>
    <w:rsid w:val="00417B05"/>
    <w:rsid w:val="004206FD"/>
    <w:rsid w:val="004210D3"/>
    <w:rsid w:val="004211E8"/>
    <w:rsid w:val="00421A81"/>
    <w:rsid w:val="00421BE9"/>
    <w:rsid w:val="00422B3D"/>
    <w:rsid w:val="00422DAC"/>
    <w:rsid w:val="00423286"/>
    <w:rsid w:val="00423CDB"/>
    <w:rsid w:val="00424731"/>
    <w:rsid w:val="0042497C"/>
    <w:rsid w:val="00425447"/>
    <w:rsid w:val="00426A8C"/>
    <w:rsid w:val="00427010"/>
    <w:rsid w:val="004306CE"/>
    <w:rsid w:val="004309C8"/>
    <w:rsid w:val="004309FF"/>
    <w:rsid w:val="00430E56"/>
    <w:rsid w:val="004310B9"/>
    <w:rsid w:val="00431374"/>
    <w:rsid w:val="0043148C"/>
    <w:rsid w:val="00431725"/>
    <w:rsid w:val="00432CA8"/>
    <w:rsid w:val="0043462A"/>
    <w:rsid w:val="00434F69"/>
    <w:rsid w:val="00435197"/>
    <w:rsid w:val="0043549E"/>
    <w:rsid w:val="00435B7F"/>
    <w:rsid w:val="00435E3E"/>
    <w:rsid w:val="00436B98"/>
    <w:rsid w:val="00436FBB"/>
    <w:rsid w:val="004373D5"/>
    <w:rsid w:val="00437BE8"/>
    <w:rsid w:val="004402E0"/>
    <w:rsid w:val="00440368"/>
    <w:rsid w:val="00440851"/>
    <w:rsid w:val="00440A2C"/>
    <w:rsid w:val="00441063"/>
    <w:rsid w:val="00441860"/>
    <w:rsid w:val="0044192C"/>
    <w:rsid w:val="004423A7"/>
    <w:rsid w:val="004427F0"/>
    <w:rsid w:val="004437AD"/>
    <w:rsid w:val="004442F2"/>
    <w:rsid w:val="0044439A"/>
    <w:rsid w:val="004444B5"/>
    <w:rsid w:val="0044548B"/>
    <w:rsid w:val="00445AF1"/>
    <w:rsid w:val="004460C0"/>
    <w:rsid w:val="004461A2"/>
    <w:rsid w:val="00446DB9"/>
    <w:rsid w:val="0044760B"/>
    <w:rsid w:val="00447BF4"/>
    <w:rsid w:val="00450DA8"/>
    <w:rsid w:val="00452B23"/>
    <w:rsid w:val="0045302E"/>
    <w:rsid w:val="00453E36"/>
    <w:rsid w:val="0045421C"/>
    <w:rsid w:val="00454C1B"/>
    <w:rsid w:val="004551F2"/>
    <w:rsid w:val="00455396"/>
    <w:rsid w:val="00455743"/>
    <w:rsid w:val="004577B2"/>
    <w:rsid w:val="00457C7F"/>
    <w:rsid w:val="00457DD4"/>
    <w:rsid w:val="00460069"/>
    <w:rsid w:val="00460806"/>
    <w:rsid w:val="00461EF6"/>
    <w:rsid w:val="004623C0"/>
    <w:rsid w:val="0046282E"/>
    <w:rsid w:val="00462F0E"/>
    <w:rsid w:val="00462FDC"/>
    <w:rsid w:val="004636F4"/>
    <w:rsid w:val="00464129"/>
    <w:rsid w:val="0046681C"/>
    <w:rsid w:val="00466882"/>
    <w:rsid w:val="00466A79"/>
    <w:rsid w:val="00466F4D"/>
    <w:rsid w:val="004671E0"/>
    <w:rsid w:val="00467FE5"/>
    <w:rsid w:val="004708CE"/>
    <w:rsid w:val="00470C4B"/>
    <w:rsid w:val="00471E15"/>
    <w:rsid w:val="0047235C"/>
    <w:rsid w:val="00472464"/>
    <w:rsid w:val="004725A1"/>
    <w:rsid w:val="004742FC"/>
    <w:rsid w:val="004753E0"/>
    <w:rsid w:val="004755A9"/>
    <w:rsid w:val="00475C7E"/>
    <w:rsid w:val="00476AC8"/>
    <w:rsid w:val="00476B95"/>
    <w:rsid w:val="00476C9E"/>
    <w:rsid w:val="00476DEA"/>
    <w:rsid w:val="0047739B"/>
    <w:rsid w:val="00477827"/>
    <w:rsid w:val="00477DB5"/>
    <w:rsid w:val="0048025F"/>
    <w:rsid w:val="004809BB"/>
    <w:rsid w:val="0048157C"/>
    <w:rsid w:val="00481888"/>
    <w:rsid w:val="004826F8"/>
    <w:rsid w:val="00482AE6"/>
    <w:rsid w:val="0048346B"/>
    <w:rsid w:val="004837B2"/>
    <w:rsid w:val="0048385C"/>
    <w:rsid w:val="00483A35"/>
    <w:rsid w:val="004841A0"/>
    <w:rsid w:val="0048437E"/>
    <w:rsid w:val="00484B8C"/>
    <w:rsid w:val="00484CF3"/>
    <w:rsid w:val="00484D99"/>
    <w:rsid w:val="00485E2C"/>
    <w:rsid w:val="004869B3"/>
    <w:rsid w:val="00487802"/>
    <w:rsid w:val="00487D73"/>
    <w:rsid w:val="00487FD6"/>
    <w:rsid w:val="004913C1"/>
    <w:rsid w:val="00491E0A"/>
    <w:rsid w:val="004926C9"/>
    <w:rsid w:val="00492FEE"/>
    <w:rsid w:val="004930B4"/>
    <w:rsid w:val="004931D0"/>
    <w:rsid w:val="00494A2A"/>
    <w:rsid w:val="00494B24"/>
    <w:rsid w:val="00495095"/>
    <w:rsid w:val="00495197"/>
    <w:rsid w:val="004957AD"/>
    <w:rsid w:val="0049629D"/>
    <w:rsid w:val="004973F7"/>
    <w:rsid w:val="004A032A"/>
    <w:rsid w:val="004A072F"/>
    <w:rsid w:val="004A0765"/>
    <w:rsid w:val="004A0814"/>
    <w:rsid w:val="004A0BB8"/>
    <w:rsid w:val="004A16F2"/>
    <w:rsid w:val="004A1F8F"/>
    <w:rsid w:val="004A2188"/>
    <w:rsid w:val="004A2519"/>
    <w:rsid w:val="004A42AB"/>
    <w:rsid w:val="004A43B3"/>
    <w:rsid w:val="004A4C3F"/>
    <w:rsid w:val="004A4F16"/>
    <w:rsid w:val="004A57D8"/>
    <w:rsid w:val="004A5FBC"/>
    <w:rsid w:val="004A5FDA"/>
    <w:rsid w:val="004A6190"/>
    <w:rsid w:val="004A6715"/>
    <w:rsid w:val="004A6BEB"/>
    <w:rsid w:val="004A71D4"/>
    <w:rsid w:val="004A71E4"/>
    <w:rsid w:val="004A7FF3"/>
    <w:rsid w:val="004B0466"/>
    <w:rsid w:val="004B0566"/>
    <w:rsid w:val="004B0605"/>
    <w:rsid w:val="004B0DC0"/>
    <w:rsid w:val="004B0F08"/>
    <w:rsid w:val="004B1008"/>
    <w:rsid w:val="004B238B"/>
    <w:rsid w:val="004B2607"/>
    <w:rsid w:val="004B3130"/>
    <w:rsid w:val="004B33BE"/>
    <w:rsid w:val="004B34E7"/>
    <w:rsid w:val="004B5318"/>
    <w:rsid w:val="004B751F"/>
    <w:rsid w:val="004B781A"/>
    <w:rsid w:val="004B7E0C"/>
    <w:rsid w:val="004B7F58"/>
    <w:rsid w:val="004C04BF"/>
    <w:rsid w:val="004C0E4D"/>
    <w:rsid w:val="004C0EDD"/>
    <w:rsid w:val="004C16B6"/>
    <w:rsid w:val="004C182D"/>
    <w:rsid w:val="004C1FE4"/>
    <w:rsid w:val="004C2FC1"/>
    <w:rsid w:val="004C303D"/>
    <w:rsid w:val="004C54E5"/>
    <w:rsid w:val="004C5563"/>
    <w:rsid w:val="004C58F8"/>
    <w:rsid w:val="004C657C"/>
    <w:rsid w:val="004C747A"/>
    <w:rsid w:val="004C75A8"/>
    <w:rsid w:val="004C7710"/>
    <w:rsid w:val="004D059C"/>
    <w:rsid w:val="004D0C3A"/>
    <w:rsid w:val="004D105A"/>
    <w:rsid w:val="004D1455"/>
    <w:rsid w:val="004D1932"/>
    <w:rsid w:val="004D1CF6"/>
    <w:rsid w:val="004D21B9"/>
    <w:rsid w:val="004D26CA"/>
    <w:rsid w:val="004D28DE"/>
    <w:rsid w:val="004D2BB9"/>
    <w:rsid w:val="004D39EB"/>
    <w:rsid w:val="004D3C92"/>
    <w:rsid w:val="004D4C7D"/>
    <w:rsid w:val="004D54F4"/>
    <w:rsid w:val="004D57A7"/>
    <w:rsid w:val="004D5CF8"/>
    <w:rsid w:val="004D6D22"/>
    <w:rsid w:val="004D70DF"/>
    <w:rsid w:val="004D7242"/>
    <w:rsid w:val="004E0582"/>
    <w:rsid w:val="004E1082"/>
    <w:rsid w:val="004E12B5"/>
    <w:rsid w:val="004E1401"/>
    <w:rsid w:val="004E1DE6"/>
    <w:rsid w:val="004E203F"/>
    <w:rsid w:val="004E292A"/>
    <w:rsid w:val="004E2B6E"/>
    <w:rsid w:val="004E2E03"/>
    <w:rsid w:val="004E3473"/>
    <w:rsid w:val="004E3A9C"/>
    <w:rsid w:val="004E4818"/>
    <w:rsid w:val="004E4B3C"/>
    <w:rsid w:val="004E5868"/>
    <w:rsid w:val="004E5F63"/>
    <w:rsid w:val="004E60F2"/>
    <w:rsid w:val="004E6796"/>
    <w:rsid w:val="004E698C"/>
    <w:rsid w:val="004E6BC8"/>
    <w:rsid w:val="004E78DD"/>
    <w:rsid w:val="004E7920"/>
    <w:rsid w:val="004E79C9"/>
    <w:rsid w:val="004E7A8A"/>
    <w:rsid w:val="004F0719"/>
    <w:rsid w:val="004F0D4F"/>
    <w:rsid w:val="004F0D88"/>
    <w:rsid w:val="004F18B7"/>
    <w:rsid w:val="004F1BD0"/>
    <w:rsid w:val="004F24F5"/>
    <w:rsid w:val="004F2536"/>
    <w:rsid w:val="004F2A1C"/>
    <w:rsid w:val="004F2B39"/>
    <w:rsid w:val="004F3798"/>
    <w:rsid w:val="004F3B3F"/>
    <w:rsid w:val="004F3E9B"/>
    <w:rsid w:val="004F45AC"/>
    <w:rsid w:val="004F5014"/>
    <w:rsid w:val="004F5D64"/>
    <w:rsid w:val="004F6780"/>
    <w:rsid w:val="004F6A44"/>
    <w:rsid w:val="004F6ABD"/>
    <w:rsid w:val="004F6E8D"/>
    <w:rsid w:val="004F6F40"/>
    <w:rsid w:val="004F7013"/>
    <w:rsid w:val="004F7295"/>
    <w:rsid w:val="004F7340"/>
    <w:rsid w:val="004F75C4"/>
    <w:rsid w:val="00500272"/>
    <w:rsid w:val="00500449"/>
    <w:rsid w:val="00500837"/>
    <w:rsid w:val="00500A73"/>
    <w:rsid w:val="00500B57"/>
    <w:rsid w:val="00500DB1"/>
    <w:rsid w:val="00501790"/>
    <w:rsid w:val="00502E87"/>
    <w:rsid w:val="0050347B"/>
    <w:rsid w:val="00503599"/>
    <w:rsid w:val="0050395B"/>
    <w:rsid w:val="00503EA7"/>
    <w:rsid w:val="00503F31"/>
    <w:rsid w:val="005041B6"/>
    <w:rsid w:val="00504278"/>
    <w:rsid w:val="005042DD"/>
    <w:rsid w:val="005049F7"/>
    <w:rsid w:val="005053CF"/>
    <w:rsid w:val="00506639"/>
    <w:rsid w:val="00506754"/>
    <w:rsid w:val="005069BF"/>
    <w:rsid w:val="00507498"/>
    <w:rsid w:val="00510432"/>
    <w:rsid w:val="005108E2"/>
    <w:rsid w:val="00510963"/>
    <w:rsid w:val="005109E8"/>
    <w:rsid w:val="0051185F"/>
    <w:rsid w:val="00511E7A"/>
    <w:rsid w:val="00511F0D"/>
    <w:rsid w:val="005120F8"/>
    <w:rsid w:val="0051283D"/>
    <w:rsid w:val="00512C8C"/>
    <w:rsid w:val="00512CC2"/>
    <w:rsid w:val="00512E6B"/>
    <w:rsid w:val="005130AB"/>
    <w:rsid w:val="0051401E"/>
    <w:rsid w:val="00514312"/>
    <w:rsid w:val="00514E67"/>
    <w:rsid w:val="005152C9"/>
    <w:rsid w:val="005155F3"/>
    <w:rsid w:val="0051575B"/>
    <w:rsid w:val="00515E22"/>
    <w:rsid w:val="00516661"/>
    <w:rsid w:val="00516D68"/>
    <w:rsid w:val="00517150"/>
    <w:rsid w:val="005172A1"/>
    <w:rsid w:val="00517A3D"/>
    <w:rsid w:val="00517FE3"/>
    <w:rsid w:val="00520668"/>
    <w:rsid w:val="00520BD3"/>
    <w:rsid w:val="00520E56"/>
    <w:rsid w:val="005213D9"/>
    <w:rsid w:val="00521876"/>
    <w:rsid w:val="00521EC2"/>
    <w:rsid w:val="00522058"/>
    <w:rsid w:val="0052209E"/>
    <w:rsid w:val="0052255B"/>
    <w:rsid w:val="005229BF"/>
    <w:rsid w:val="00522FEF"/>
    <w:rsid w:val="00523B8F"/>
    <w:rsid w:val="00524347"/>
    <w:rsid w:val="0052452F"/>
    <w:rsid w:val="005245D8"/>
    <w:rsid w:val="0052491D"/>
    <w:rsid w:val="005262C8"/>
    <w:rsid w:val="00526348"/>
    <w:rsid w:val="00526551"/>
    <w:rsid w:val="005265E9"/>
    <w:rsid w:val="00526B0F"/>
    <w:rsid w:val="0052722C"/>
    <w:rsid w:val="00527566"/>
    <w:rsid w:val="0053005A"/>
    <w:rsid w:val="00530821"/>
    <w:rsid w:val="005314FC"/>
    <w:rsid w:val="0053208C"/>
    <w:rsid w:val="00533272"/>
    <w:rsid w:val="0053338C"/>
    <w:rsid w:val="00534347"/>
    <w:rsid w:val="005346C5"/>
    <w:rsid w:val="00534C56"/>
    <w:rsid w:val="00534D9B"/>
    <w:rsid w:val="00534DF4"/>
    <w:rsid w:val="00535315"/>
    <w:rsid w:val="005353DD"/>
    <w:rsid w:val="00535570"/>
    <w:rsid w:val="0053569C"/>
    <w:rsid w:val="00535B32"/>
    <w:rsid w:val="00535E57"/>
    <w:rsid w:val="005361BE"/>
    <w:rsid w:val="0053692B"/>
    <w:rsid w:val="00536A5F"/>
    <w:rsid w:val="005374D8"/>
    <w:rsid w:val="0054025C"/>
    <w:rsid w:val="005406A1"/>
    <w:rsid w:val="005407F9"/>
    <w:rsid w:val="00540DFE"/>
    <w:rsid w:val="00540FE8"/>
    <w:rsid w:val="0054118A"/>
    <w:rsid w:val="00541850"/>
    <w:rsid w:val="005421DB"/>
    <w:rsid w:val="00542959"/>
    <w:rsid w:val="00542FCA"/>
    <w:rsid w:val="0054301F"/>
    <w:rsid w:val="0054337F"/>
    <w:rsid w:val="00543765"/>
    <w:rsid w:val="00543FC4"/>
    <w:rsid w:val="005449B7"/>
    <w:rsid w:val="005449EB"/>
    <w:rsid w:val="00544CFE"/>
    <w:rsid w:val="00545202"/>
    <w:rsid w:val="005455AF"/>
    <w:rsid w:val="00545E1B"/>
    <w:rsid w:val="00545E83"/>
    <w:rsid w:val="00546DE7"/>
    <w:rsid w:val="00546E9F"/>
    <w:rsid w:val="00547559"/>
    <w:rsid w:val="00547BB7"/>
    <w:rsid w:val="00547C8D"/>
    <w:rsid w:val="00547E37"/>
    <w:rsid w:val="00550188"/>
    <w:rsid w:val="005511CB"/>
    <w:rsid w:val="00551252"/>
    <w:rsid w:val="005515EF"/>
    <w:rsid w:val="0055164B"/>
    <w:rsid w:val="005517C0"/>
    <w:rsid w:val="00551E11"/>
    <w:rsid w:val="00551E5C"/>
    <w:rsid w:val="00552308"/>
    <w:rsid w:val="005527BE"/>
    <w:rsid w:val="005527F1"/>
    <w:rsid w:val="00552CA3"/>
    <w:rsid w:val="00553C0F"/>
    <w:rsid w:val="00554D6C"/>
    <w:rsid w:val="00555AF3"/>
    <w:rsid w:val="00555B8A"/>
    <w:rsid w:val="00556DF7"/>
    <w:rsid w:val="00556E1E"/>
    <w:rsid w:val="00557C16"/>
    <w:rsid w:val="0056002E"/>
    <w:rsid w:val="00561E82"/>
    <w:rsid w:val="005624E7"/>
    <w:rsid w:val="0056293F"/>
    <w:rsid w:val="00562B78"/>
    <w:rsid w:val="00562D6A"/>
    <w:rsid w:val="005639A6"/>
    <w:rsid w:val="00563F7C"/>
    <w:rsid w:val="00564213"/>
    <w:rsid w:val="00564A9B"/>
    <w:rsid w:val="00564C26"/>
    <w:rsid w:val="00564FC5"/>
    <w:rsid w:val="005658D5"/>
    <w:rsid w:val="00565FAA"/>
    <w:rsid w:val="005663C7"/>
    <w:rsid w:val="00566A76"/>
    <w:rsid w:val="005673C5"/>
    <w:rsid w:val="005678ED"/>
    <w:rsid w:val="00567E3E"/>
    <w:rsid w:val="0057013D"/>
    <w:rsid w:val="00570939"/>
    <w:rsid w:val="00570D51"/>
    <w:rsid w:val="00571023"/>
    <w:rsid w:val="00571058"/>
    <w:rsid w:val="00571168"/>
    <w:rsid w:val="00571A91"/>
    <w:rsid w:val="00571DFA"/>
    <w:rsid w:val="00571EE6"/>
    <w:rsid w:val="00571F7D"/>
    <w:rsid w:val="0057236E"/>
    <w:rsid w:val="0057238B"/>
    <w:rsid w:val="0057238F"/>
    <w:rsid w:val="005726CA"/>
    <w:rsid w:val="00572970"/>
    <w:rsid w:val="00572BBD"/>
    <w:rsid w:val="0057309D"/>
    <w:rsid w:val="005731B6"/>
    <w:rsid w:val="0057477E"/>
    <w:rsid w:val="005747B6"/>
    <w:rsid w:val="00574AEB"/>
    <w:rsid w:val="00574D32"/>
    <w:rsid w:val="00575035"/>
    <w:rsid w:val="005756A0"/>
    <w:rsid w:val="00576E10"/>
    <w:rsid w:val="0057709D"/>
    <w:rsid w:val="00577164"/>
    <w:rsid w:val="005775D7"/>
    <w:rsid w:val="00580536"/>
    <w:rsid w:val="00580575"/>
    <w:rsid w:val="0058070C"/>
    <w:rsid w:val="005807BA"/>
    <w:rsid w:val="0058107C"/>
    <w:rsid w:val="005811FC"/>
    <w:rsid w:val="00581242"/>
    <w:rsid w:val="005815C1"/>
    <w:rsid w:val="0058255E"/>
    <w:rsid w:val="00582A03"/>
    <w:rsid w:val="005845D9"/>
    <w:rsid w:val="00584639"/>
    <w:rsid w:val="00585B78"/>
    <w:rsid w:val="00586009"/>
    <w:rsid w:val="00586931"/>
    <w:rsid w:val="00586B2B"/>
    <w:rsid w:val="00586D71"/>
    <w:rsid w:val="00586EA5"/>
    <w:rsid w:val="00590252"/>
    <w:rsid w:val="005906C6"/>
    <w:rsid w:val="00590A62"/>
    <w:rsid w:val="005922D5"/>
    <w:rsid w:val="00592A3C"/>
    <w:rsid w:val="0059361E"/>
    <w:rsid w:val="0059370D"/>
    <w:rsid w:val="005941AB"/>
    <w:rsid w:val="00594777"/>
    <w:rsid w:val="00595029"/>
    <w:rsid w:val="0059509D"/>
    <w:rsid w:val="0059515E"/>
    <w:rsid w:val="00595684"/>
    <w:rsid w:val="0059597B"/>
    <w:rsid w:val="005975A5"/>
    <w:rsid w:val="00597E29"/>
    <w:rsid w:val="005A0DEB"/>
    <w:rsid w:val="005A1643"/>
    <w:rsid w:val="005A1ECE"/>
    <w:rsid w:val="005A246C"/>
    <w:rsid w:val="005A267C"/>
    <w:rsid w:val="005A270C"/>
    <w:rsid w:val="005A34B4"/>
    <w:rsid w:val="005A3F0E"/>
    <w:rsid w:val="005A43B1"/>
    <w:rsid w:val="005A44B3"/>
    <w:rsid w:val="005A47FB"/>
    <w:rsid w:val="005A49D2"/>
    <w:rsid w:val="005A5868"/>
    <w:rsid w:val="005A612C"/>
    <w:rsid w:val="005A612D"/>
    <w:rsid w:val="005A6DFD"/>
    <w:rsid w:val="005A6E7D"/>
    <w:rsid w:val="005A7391"/>
    <w:rsid w:val="005A7489"/>
    <w:rsid w:val="005A778B"/>
    <w:rsid w:val="005A77F3"/>
    <w:rsid w:val="005A7CF3"/>
    <w:rsid w:val="005B1876"/>
    <w:rsid w:val="005B1ACF"/>
    <w:rsid w:val="005B1F7C"/>
    <w:rsid w:val="005B238D"/>
    <w:rsid w:val="005B2B7C"/>
    <w:rsid w:val="005B2D1D"/>
    <w:rsid w:val="005B3C39"/>
    <w:rsid w:val="005B54A6"/>
    <w:rsid w:val="005B562A"/>
    <w:rsid w:val="005B5BAC"/>
    <w:rsid w:val="005B6234"/>
    <w:rsid w:val="005B68EC"/>
    <w:rsid w:val="005B7085"/>
    <w:rsid w:val="005B7C40"/>
    <w:rsid w:val="005C02A4"/>
    <w:rsid w:val="005C07D5"/>
    <w:rsid w:val="005C08D0"/>
    <w:rsid w:val="005C0C4F"/>
    <w:rsid w:val="005C0C6F"/>
    <w:rsid w:val="005C0EDB"/>
    <w:rsid w:val="005C0F1F"/>
    <w:rsid w:val="005C1F61"/>
    <w:rsid w:val="005C279D"/>
    <w:rsid w:val="005C28AE"/>
    <w:rsid w:val="005C32FC"/>
    <w:rsid w:val="005C33A4"/>
    <w:rsid w:val="005C3B87"/>
    <w:rsid w:val="005C579D"/>
    <w:rsid w:val="005C5CB7"/>
    <w:rsid w:val="005C5D21"/>
    <w:rsid w:val="005C7165"/>
    <w:rsid w:val="005C7763"/>
    <w:rsid w:val="005D0129"/>
    <w:rsid w:val="005D0324"/>
    <w:rsid w:val="005D04FC"/>
    <w:rsid w:val="005D0717"/>
    <w:rsid w:val="005D073C"/>
    <w:rsid w:val="005D0E7D"/>
    <w:rsid w:val="005D189F"/>
    <w:rsid w:val="005D2526"/>
    <w:rsid w:val="005D276D"/>
    <w:rsid w:val="005D2838"/>
    <w:rsid w:val="005D28EC"/>
    <w:rsid w:val="005D2A68"/>
    <w:rsid w:val="005D2D04"/>
    <w:rsid w:val="005D2EE0"/>
    <w:rsid w:val="005D3EFF"/>
    <w:rsid w:val="005D4B1D"/>
    <w:rsid w:val="005D4BD1"/>
    <w:rsid w:val="005D519E"/>
    <w:rsid w:val="005D5A41"/>
    <w:rsid w:val="005D6202"/>
    <w:rsid w:val="005D62B6"/>
    <w:rsid w:val="005D6EC1"/>
    <w:rsid w:val="005D7124"/>
    <w:rsid w:val="005D73CA"/>
    <w:rsid w:val="005E02CC"/>
    <w:rsid w:val="005E037B"/>
    <w:rsid w:val="005E08E2"/>
    <w:rsid w:val="005E0B96"/>
    <w:rsid w:val="005E0D71"/>
    <w:rsid w:val="005E127D"/>
    <w:rsid w:val="005E1998"/>
    <w:rsid w:val="005E1B26"/>
    <w:rsid w:val="005E24C5"/>
    <w:rsid w:val="005E2AA2"/>
    <w:rsid w:val="005E3009"/>
    <w:rsid w:val="005E33D7"/>
    <w:rsid w:val="005E3518"/>
    <w:rsid w:val="005E4372"/>
    <w:rsid w:val="005E4BE1"/>
    <w:rsid w:val="005E4F35"/>
    <w:rsid w:val="005E5585"/>
    <w:rsid w:val="005E62F0"/>
    <w:rsid w:val="005E7A41"/>
    <w:rsid w:val="005E7BEA"/>
    <w:rsid w:val="005E7D33"/>
    <w:rsid w:val="005E7E0C"/>
    <w:rsid w:val="005E7EDE"/>
    <w:rsid w:val="005F0433"/>
    <w:rsid w:val="005F0800"/>
    <w:rsid w:val="005F106B"/>
    <w:rsid w:val="005F1418"/>
    <w:rsid w:val="005F1BB4"/>
    <w:rsid w:val="005F2348"/>
    <w:rsid w:val="005F239B"/>
    <w:rsid w:val="005F26B5"/>
    <w:rsid w:val="005F2727"/>
    <w:rsid w:val="005F30C6"/>
    <w:rsid w:val="005F315D"/>
    <w:rsid w:val="005F320D"/>
    <w:rsid w:val="005F3349"/>
    <w:rsid w:val="005F415B"/>
    <w:rsid w:val="005F47CB"/>
    <w:rsid w:val="005F53BF"/>
    <w:rsid w:val="005F623E"/>
    <w:rsid w:val="005F62EE"/>
    <w:rsid w:val="005F7079"/>
    <w:rsid w:val="005F75A3"/>
    <w:rsid w:val="005F7A25"/>
    <w:rsid w:val="006017D9"/>
    <w:rsid w:val="00602328"/>
    <w:rsid w:val="00602B98"/>
    <w:rsid w:val="00602D6C"/>
    <w:rsid w:val="00604849"/>
    <w:rsid w:val="0060494D"/>
    <w:rsid w:val="00604D65"/>
    <w:rsid w:val="00604FFF"/>
    <w:rsid w:val="00605480"/>
    <w:rsid w:val="00605553"/>
    <w:rsid w:val="00606496"/>
    <w:rsid w:val="00606AAC"/>
    <w:rsid w:val="00606B23"/>
    <w:rsid w:val="00606B52"/>
    <w:rsid w:val="006070FD"/>
    <w:rsid w:val="00607955"/>
    <w:rsid w:val="00607E49"/>
    <w:rsid w:val="00607E4B"/>
    <w:rsid w:val="006106C3"/>
    <w:rsid w:val="00611985"/>
    <w:rsid w:val="00612392"/>
    <w:rsid w:val="006123A4"/>
    <w:rsid w:val="0061262E"/>
    <w:rsid w:val="00612993"/>
    <w:rsid w:val="006135AE"/>
    <w:rsid w:val="00614BE5"/>
    <w:rsid w:val="00614CB4"/>
    <w:rsid w:val="00615136"/>
    <w:rsid w:val="006151C7"/>
    <w:rsid w:val="00615F21"/>
    <w:rsid w:val="006160C7"/>
    <w:rsid w:val="006161E2"/>
    <w:rsid w:val="00616639"/>
    <w:rsid w:val="0061683B"/>
    <w:rsid w:val="00617037"/>
    <w:rsid w:val="00617390"/>
    <w:rsid w:val="00617577"/>
    <w:rsid w:val="00617988"/>
    <w:rsid w:val="00617BB6"/>
    <w:rsid w:val="00620015"/>
    <w:rsid w:val="00620368"/>
    <w:rsid w:val="00620A69"/>
    <w:rsid w:val="00621480"/>
    <w:rsid w:val="006219CC"/>
    <w:rsid w:val="00621B50"/>
    <w:rsid w:val="00622D2E"/>
    <w:rsid w:val="0062324D"/>
    <w:rsid w:val="0062385A"/>
    <w:rsid w:val="00624063"/>
    <w:rsid w:val="00624C25"/>
    <w:rsid w:val="00624EC6"/>
    <w:rsid w:val="0062501D"/>
    <w:rsid w:val="0062502E"/>
    <w:rsid w:val="00625ED5"/>
    <w:rsid w:val="0062609C"/>
    <w:rsid w:val="00626B34"/>
    <w:rsid w:val="006275FD"/>
    <w:rsid w:val="006304D7"/>
    <w:rsid w:val="00630CAD"/>
    <w:rsid w:val="0063122B"/>
    <w:rsid w:val="00631A65"/>
    <w:rsid w:val="00632748"/>
    <w:rsid w:val="006327E9"/>
    <w:rsid w:val="0063292A"/>
    <w:rsid w:val="0063321F"/>
    <w:rsid w:val="0063364C"/>
    <w:rsid w:val="006343F1"/>
    <w:rsid w:val="00634915"/>
    <w:rsid w:val="0063494F"/>
    <w:rsid w:val="00634BD0"/>
    <w:rsid w:val="0063560D"/>
    <w:rsid w:val="00635917"/>
    <w:rsid w:val="00635CA3"/>
    <w:rsid w:val="00635CD5"/>
    <w:rsid w:val="006365C3"/>
    <w:rsid w:val="0063697C"/>
    <w:rsid w:val="00637FDD"/>
    <w:rsid w:val="006419BE"/>
    <w:rsid w:val="00641B6F"/>
    <w:rsid w:val="00641BEC"/>
    <w:rsid w:val="00641DEC"/>
    <w:rsid w:val="00641E43"/>
    <w:rsid w:val="00641F39"/>
    <w:rsid w:val="006420AE"/>
    <w:rsid w:val="0064257B"/>
    <w:rsid w:val="00642842"/>
    <w:rsid w:val="00642E8A"/>
    <w:rsid w:val="006434F8"/>
    <w:rsid w:val="006436D6"/>
    <w:rsid w:val="00643B18"/>
    <w:rsid w:val="00643B63"/>
    <w:rsid w:val="00643C97"/>
    <w:rsid w:val="006443DE"/>
    <w:rsid w:val="00644470"/>
    <w:rsid w:val="0064491B"/>
    <w:rsid w:val="00644B0A"/>
    <w:rsid w:val="00644F38"/>
    <w:rsid w:val="00644FAB"/>
    <w:rsid w:val="0064517D"/>
    <w:rsid w:val="0064551F"/>
    <w:rsid w:val="00645789"/>
    <w:rsid w:val="0064643E"/>
    <w:rsid w:val="00646865"/>
    <w:rsid w:val="00647189"/>
    <w:rsid w:val="006472FF"/>
    <w:rsid w:val="00647499"/>
    <w:rsid w:val="00650316"/>
    <w:rsid w:val="006504E1"/>
    <w:rsid w:val="006511DB"/>
    <w:rsid w:val="006511FE"/>
    <w:rsid w:val="006517AC"/>
    <w:rsid w:val="006524DE"/>
    <w:rsid w:val="00652E7B"/>
    <w:rsid w:val="0065377D"/>
    <w:rsid w:val="00653E86"/>
    <w:rsid w:val="00653FE5"/>
    <w:rsid w:val="0065435D"/>
    <w:rsid w:val="0065496F"/>
    <w:rsid w:val="00654E7C"/>
    <w:rsid w:val="006551D2"/>
    <w:rsid w:val="00655364"/>
    <w:rsid w:val="006556C3"/>
    <w:rsid w:val="00655769"/>
    <w:rsid w:val="006558EA"/>
    <w:rsid w:val="00655C18"/>
    <w:rsid w:val="00655C83"/>
    <w:rsid w:val="00655DB1"/>
    <w:rsid w:val="00656B80"/>
    <w:rsid w:val="00656D0B"/>
    <w:rsid w:val="006600C9"/>
    <w:rsid w:val="006601AD"/>
    <w:rsid w:val="0066033D"/>
    <w:rsid w:val="00660519"/>
    <w:rsid w:val="00660807"/>
    <w:rsid w:val="00660975"/>
    <w:rsid w:val="00661442"/>
    <w:rsid w:val="006615BA"/>
    <w:rsid w:val="0066175B"/>
    <w:rsid w:val="00661C6E"/>
    <w:rsid w:val="00661F98"/>
    <w:rsid w:val="00661FBE"/>
    <w:rsid w:val="0066339F"/>
    <w:rsid w:val="0066373D"/>
    <w:rsid w:val="00663C8B"/>
    <w:rsid w:val="00663E4C"/>
    <w:rsid w:val="00663FD2"/>
    <w:rsid w:val="00664A2B"/>
    <w:rsid w:val="00664BED"/>
    <w:rsid w:val="00664D47"/>
    <w:rsid w:val="00664FF9"/>
    <w:rsid w:val="00666510"/>
    <w:rsid w:val="00666868"/>
    <w:rsid w:val="00666B43"/>
    <w:rsid w:val="0066720C"/>
    <w:rsid w:val="00667F6F"/>
    <w:rsid w:val="00671231"/>
    <w:rsid w:val="006732C4"/>
    <w:rsid w:val="00673DB7"/>
    <w:rsid w:val="00673DE5"/>
    <w:rsid w:val="006742DB"/>
    <w:rsid w:val="006747A5"/>
    <w:rsid w:val="00674EAD"/>
    <w:rsid w:val="00675275"/>
    <w:rsid w:val="00675301"/>
    <w:rsid w:val="00675611"/>
    <w:rsid w:val="00675BCE"/>
    <w:rsid w:val="00676A35"/>
    <w:rsid w:val="00676EC5"/>
    <w:rsid w:val="00677706"/>
    <w:rsid w:val="00677B2B"/>
    <w:rsid w:val="00677D3B"/>
    <w:rsid w:val="00677F26"/>
    <w:rsid w:val="00680616"/>
    <w:rsid w:val="0068082A"/>
    <w:rsid w:val="006808C5"/>
    <w:rsid w:val="00680B1A"/>
    <w:rsid w:val="00680E6F"/>
    <w:rsid w:val="0068240F"/>
    <w:rsid w:val="0068288A"/>
    <w:rsid w:val="00682FBA"/>
    <w:rsid w:val="00684675"/>
    <w:rsid w:val="00684E4D"/>
    <w:rsid w:val="00684E52"/>
    <w:rsid w:val="0068522D"/>
    <w:rsid w:val="006853B7"/>
    <w:rsid w:val="006856CE"/>
    <w:rsid w:val="00686468"/>
    <w:rsid w:val="006869A2"/>
    <w:rsid w:val="00686AEE"/>
    <w:rsid w:val="00686BC2"/>
    <w:rsid w:val="00686EC7"/>
    <w:rsid w:val="006877A2"/>
    <w:rsid w:val="00687968"/>
    <w:rsid w:val="00687A06"/>
    <w:rsid w:val="00687E29"/>
    <w:rsid w:val="006906A5"/>
    <w:rsid w:val="0069082C"/>
    <w:rsid w:val="00690933"/>
    <w:rsid w:val="00690B68"/>
    <w:rsid w:val="00691272"/>
    <w:rsid w:val="00691979"/>
    <w:rsid w:val="00691D48"/>
    <w:rsid w:val="0069246C"/>
    <w:rsid w:val="006924BA"/>
    <w:rsid w:val="0069347C"/>
    <w:rsid w:val="00694300"/>
    <w:rsid w:val="006948CC"/>
    <w:rsid w:val="00694A41"/>
    <w:rsid w:val="00694C6F"/>
    <w:rsid w:val="006967B2"/>
    <w:rsid w:val="006967C9"/>
    <w:rsid w:val="006974EC"/>
    <w:rsid w:val="00697F91"/>
    <w:rsid w:val="006A0399"/>
    <w:rsid w:val="006A0EAE"/>
    <w:rsid w:val="006A10B1"/>
    <w:rsid w:val="006A115B"/>
    <w:rsid w:val="006A12BE"/>
    <w:rsid w:val="006A18CC"/>
    <w:rsid w:val="006A1DC4"/>
    <w:rsid w:val="006A1E6A"/>
    <w:rsid w:val="006A2059"/>
    <w:rsid w:val="006A2EA0"/>
    <w:rsid w:val="006A3AEE"/>
    <w:rsid w:val="006A3BFB"/>
    <w:rsid w:val="006A4DBC"/>
    <w:rsid w:val="006A559B"/>
    <w:rsid w:val="006A5AD1"/>
    <w:rsid w:val="006A5DBB"/>
    <w:rsid w:val="006A66B9"/>
    <w:rsid w:val="006A6869"/>
    <w:rsid w:val="006A68EB"/>
    <w:rsid w:val="006A6934"/>
    <w:rsid w:val="006A6C30"/>
    <w:rsid w:val="006A6C88"/>
    <w:rsid w:val="006A6F2A"/>
    <w:rsid w:val="006A713F"/>
    <w:rsid w:val="006B02DB"/>
    <w:rsid w:val="006B08E1"/>
    <w:rsid w:val="006B0EFD"/>
    <w:rsid w:val="006B10BD"/>
    <w:rsid w:val="006B287D"/>
    <w:rsid w:val="006B29D0"/>
    <w:rsid w:val="006B2AB3"/>
    <w:rsid w:val="006B31CD"/>
    <w:rsid w:val="006B35CA"/>
    <w:rsid w:val="006B36BA"/>
    <w:rsid w:val="006B3A03"/>
    <w:rsid w:val="006B4742"/>
    <w:rsid w:val="006B4827"/>
    <w:rsid w:val="006B648E"/>
    <w:rsid w:val="006B6490"/>
    <w:rsid w:val="006B6B33"/>
    <w:rsid w:val="006B765D"/>
    <w:rsid w:val="006B7CDA"/>
    <w:rsid w:val="006C0B37"/>
    <w:rsid w:val="006C0ED2"/>
    <w:rsid w:val="006C0FB6"/>
    <w:rsid w:val="006C1A2A"/>
    <w:rsid w:val="006C1E5F"/>
    <w:rsid w:val="006C2E83"/>
    <w:rsid w:val="006C30CF"/>
    <w:rsid w:val="006C3474"/>
    <w:rsid w:val="006C35D9"/>
    <w:rsid w:val="006C3775"/>
    <w:rsid w:val="006C3985"/>
    <w:rsid w:val="006C3F66"/>
    <w:rsid w:val="006C430B"/>
    <w:rsid w:val="006C4782"/>
    <w:rsid w:val="006C4A32"/>
    <w:rsid w:val="006C4C0B"/>
    <w:rsid w:val="006C4C3E"/>
    <w:rsid w:val="006C5B46"/>
    <w:rsid w:val="006C5C72"/>
    <w:rsid w:val="006C617C"/>
    <w:rsid w:val="006C65D7"/>
    <w:rsid w:val="006C6AB2"/>
    <w:rsid w:val="006C6DC3"/>
    <w:rsid w:val="006C7771"/>
    <w:rsid w:val="006D1048"/>
    <w:rsid w:val="006D120B"/>
    <w:rsid w:val="006D1FC9"/>
    <w:rsid w:val="006D2814"/>
    <w:rsid w:val="006D316F"/>
    <w:rsid w:val="006D3221"/>
    <w:rsid w:val="006D32D6"/>
    <w:rsid w:val="006D388F"/>
    <w:rsid w:val="006D3A8B"/>
    <w:rsid w:val="006D4343"/>
    <w:rsid w:val="006D4BA9"/>
    <w:rsid w:val="006D4C28"/>
    <w:rsid w:val="006D5575"/>
    <w:rsid w:val="006D69C3"/>
    <w:rsid w:val="006D6F61"/>
    <w:rsid w:val="006D76E8"/>
    <w:rsid w:val="006E0C31"/>
    <w:rsid w:val="006E1A0E"/>
    <w:rsid w:val="006E231C"/>
    <w:rsid w:val="006E27A0"/>
    <w:rsid w:val="006E321E"/>
    <w:rsid w:val="006E369A"/>
    <w:rsid w:val="006E384C"/>
    <w:rsid w:val="006E43BB"/>
    <w:rsid w:val="006E4965"/>
    <w:rsid w:val="006E4B9E"/>
    <w:rsid w:val="006E4C93"/>
    <w:rsid w:val="006E5513"/>
    <w:rsid w:val="006E5536"/>
    <w:rsid w:val="006E5A4D"/>
    <w:rsid w:val="006E5F2A"/>
    <w:rsid w:val="006E6377"/>
    <w:rsid w:val="006E749D"/>
    <w:rsid w:val="006F019A"/>
    <w:rsid w:val="006F0A7E"/>
    <w:rsid w:val="006F10F7"/>
    <w:rsid w:val="006F14C1"/>
    <w:rsid w:val="006F1596"/>
    <w:rsid w:val="006F1EFC"/>
    <w:rsid w:val="006F50F1"/>
    <w:rsid w:val="006F5187"/>
    <w:rsid w:val="006F54B5"/>
    <w:rsid w:val="006F55F1"/>
    <w:rsid w:val="006F5BBA"/>
    <w:rsid w:val="006F7085"/>
    <w:rsid w:val="006F7F69"/>
    <w:rsid w:val="0070006E"/>
    <w:rsid w:val="0070039F"/>
    <w:rsid w:val="007005E8"/>
    <w:rsid w:val="00700834"/>
    <w:rsid w:val="00701057"/>
    <w:rsid w:val="00701A48"/>
    <w:rsid w:val="00701FB0"/>
    <w:rsid w:val="00702373"/>
    <w:rsid w:val="00702662"/>
    <w:rsid w:val="00702DA5"/>
    <w:rsid w:val="00702EAA"/>
    <w:rsid w:val="00702FAA"/>
    <w:rsid w:val="00703119"/>
    <w:rsid w:val="00703F22"/>
    <w:rsid w:val="0070405C"/>
    <w:rsid w:val="00704111"/>
    <w:rsid w:val="0070423F"/>
    <w:rsid w:val="00704723"/>
    <w:rsid w:val="00705366"/>
    <w:rsid w:val="00705A86"/>
    <w:rsid w:val="00705E12"/>
    <w:rsid w:val="00706067"/>
    <w:rsid w:val="007061E3"/>
    <w:rsid w:val="00706959"/>
    <w:rsid w:val="00706E68"/>
    <w:rsid w:val="00706E95"/>
    <w:rsid w:val="00707171"/>
    <w:rsid w:val="00707318"/>
    <w:rsid w:val="00707876"/>
    <w:rsid w:val="00707F6F"/>
    <w:rsid w:val="00710D7C"/>
    <w:rsid w:val="00711004"/>
    <w:rsid w:val="0071164D"/>
    <w:rsid w:val="00711F01"/>
    <w:rsid w:val="00712339"/>
    <w:rsid w:val="00712D43"/>
    <w:rsid w:val="00712E3B"/>
    <w:rsid w:val="00712F99"/>
    <w:rsid w:val="00713A65"/>
    <w:rsid w:val="00713CF0"/>
    <w:rsid w:val="007148F8"/>
    <w:rsid w:val="00714941"/>
    <w:rsid w:val="00714CC5"/>
    <w:rsid w:val="0071506C"/>
    <w:rsid w:val="007151F2"/>
    <w:rsid w:val="0071593B"/>
    <w:rsid w:val="00715E52"/>
    <w:rsid w:val="00716500"/>
    <w:rsid w:val="007167F6"/>
    <w:rsid w:val="00717118"/>
    <w:rsid w:val="00717143"/>
    <w:rsid w:val="00717513"/>
    <w:rsid w:val="0071778C"/>
    <w:rsid w:val="007202A5"/>
    <w:rsid w:val="00720C0A"/>
    <w:rsid w:val="00720E16"/>
    <w:rsid w:val="00720FA2"/>
    <w:rsid w:val="00721209"/>
    <w:rsid w:val="007216A6"/>
    <w:rsid w:val="00721B64"/>
    <w:rsid w:val="007228FC"/>
    <w:rsid w:val="007238EF"/>
    <w:rsid w:val="00723AD8"/>
    <w:rsid w:val="00724026"/>
    <w:rsid w:val="007241C1"/>
    <w:rsid w:val="007245A6"/>
    <w:rsid w:val="00725037"/>
    <w:rsid w:val="00726359"/>
    <w:rsid w:val="00726405"/>
    <w:rsid w:val="0072682B"/>
    <w:rsid w:val="00727423"/>
    <w:rsid w:val="00727847"/>
    <w:rsid w:val="00727F9E"/>
    <w:rsid w:val="007301B5"/>
    <w:rsid w:val="007305DB"/>
    <w:rsid w:val="007306AE"/>
    <w:rsid w:val="00730758"/>
    <w:rsid w:val="00730B1B"/>
    <w:rsid w:val="00730ED6"/>
    <w:rsid w:val="007318A7"/>
    <w:rsid w:val="007318EC"/>
    <w:rsid w:val="00731EA0"/>
    <w:rsid w:val="0073207C"/>
    <w:rsid w:val="007321B0"/>
    <w:rsid w:val="00732243"/>
    <w:rsid w:val="007327D8"/>
    <w:rsid w:val="00732C0D"/>
    <w:rsid w:val="00733171"/>
    <w:rsid w:val="007332F0"/>
    <w:rsid w:val="007336A8"/>
    <w:rsid w:val="007338AF"/>
    <w:rsid w:val="00733E3A"/>
    <w:rsid w:val="00734922"/>
    <w:rsid w:val="00734B21"/>
    <w:rsid w:val="00734D00"/>
    <w:rsid w:val="00735082"/>
    <w:rsid w:val="007355F2"/>
    <w:rsid w:val="00735DC6"/>
    <w:rsid w:val="007372B5"/>
    <w:rsid w:val="00737D53"/>
    <w:rsid w:val="007401B2"/>
    <w:rsid w:val="00740EC3"/>
    <w:rsid w:val="007414C1"/>
    <w:rsid w:val="00741675"/>
    <w:rsid w:val="0074325F"/>
    <w:rsid w:val="007436A2"/>
    <w:rsid w:val="00743A8A"/>
    <w:rsid w:val="00743B7E"/>
    <w:rsid w:val="00743F8E"/>
    <w:rsid w:val="0074413C"/>
    <w:rsid w:val="0074498A"/>
    <w:rsid w:val="0074513B"/>
    <w:rsid w:val="007458E6"/>
    <w:rsid w:val="00745F49"/>
    <w:rsid w:val="0074600E"/>
    <w:rsid w:val="00746609"/>
    <w:rsid w:val="00746646"/>
    <w:rsid w:val="00747050"/>
    <w:rsid w:val="0074720A"/>
    <w:rsid w:val="00747568"/>
    <w:rsid w:val="0074796F"/>
    <w:rsid w:val="00747EE5"/>
    <w:rsid w:val="00750B4F"/>
    <w:rsid w:val="00751AA1"/>
    <w:rsid w:val="00751BC6"/>
    <w:rsid w:val="007536BE"/>
    <w:rsid w:val="0075560A"/>
    <w:rsid w:val="0075587D"/>
    <w:rsid w:val="00755B91"/>
    <w:rsid w:val="00755C79"/>
    <w:rsid w:val="00755DF9"/>
    <w:rsid w:val="007566A6"/>
    <w:rsid w:val="007569B4"/>
    <w:rsid w:val="00756C42"/>
    <w:rsid w:val="00757436"/>
    <w:rsid w:val="00760A09"/>
    <w:rsid w:val="00760A96"/>
    <w:rsid w:val="00760BAA"/>
    <w:rsid w:val="00761B80"/>
    <w:rsid w:val="00761E1B"/>
    <w:rsid w:val="007628DA"/>
    <w:rsid w:val="00762D94"/>
    <w:rsid w:val="007648EC"/>
    <w:rsid w:val="0076526C"/>
    <w:rsid w:val="007659B9"/>
    <w:rsid w:val="00765CEA"/>
    <w:rsid w:val="00766604"/>
    <w:rsid w:val="007670C2"/>
    <w:rsid w:val="0076736B"/>
    <w:rsid w:val="00767509"/>
    <w:rsid w:val="00767A4B"/>
    <w:rsid w:val="00770051"/>
    <w:rsid w:val="00770A72"/>
    <w:rsid w:val="00770F8A"/>
    <w:rsid w:val="0077137B"/>
    <w:rsid w:val="0077141C"/>
    <w:rsid w:val="00771537"/>
    <w:rsid w:val="007716A9"/>
    <w:rsid w:val="007716CD"/>
    <w:rsid w:val="0077263C"/>
    <w:rsid w:val="00772A49"/>
    <w:rsid w:val="00772DA4"/>
    <w:rsid w:val="007734A4"/>
    <w:rsid w:val="0077351F"/>
    <w:rsid w:val="00773C04"/>
    <w:rsid w:val="007741C5"/>
    <w:rsid w:val="0077622B"/>
    <w:rsid w:val="007764F9"/>
    <w:rsid w:val="00776CF4"/>
    <w:rsid w:val="00777A38"/>
    <w:rsid w:val="00777A4E"/>
    <w:rsid w:val="00777E1E"/>
    <w:rsid w:val="007800B6"/>
    <w:rsid w:val="00780460"/>
    <w:rsid w:val="007810D4"/>
    <w:rsid w:val="0078153F"/>
    <w:rsid w:val="00782C6A"/>
    <w:rsid w:val="007832E6"/>
    <w:rsid w:val="00783F2C"/>
    <w:rsid w:val="0078406F"/>
    <w:rsid w:val="00784AAC"/>
    <w:rsid w:val="00784D5B"/>
    <w:rsid w:val="0078559B"/>
    <w:rsid w:val="0078612D"/>
    <w:rsid w:val="007864D0"/>
    <w:rsid w:val="00787107"/>
    <w:rsid w:val="00787A7B"/>
    <w:rsid w:val="0079011A"/>
    <w:rsid w:val="007904FE"/>
    <w:rsid w:val="00790DBD"/>
    <w:rsid w:val="007914E2"/>
    <w:rsid w:val="00791883"/>
    <w:rsid w:val="00791E8F"/>
    <w:rsid w:val="00792885"/>
    <w:rsid w:val="00792B3D"/>
    <w:rsid w:val="00792E4A"/>
    <w:rsid w:val="00793CAB"/>
    <w:rsid w:val="0079410B"/>
    <w:rsid w:val="0079414F"/>
    <w:rsid w:val="007944AA"/>
    <w:rsid w:val="00794559"/>
    <w:rsid w:val="00795053"/>
    <w:rsid w:val="007951C6"/>
    <w:rsid w:val="007953FD"/>
    <w:rsid w:val="007957B1"/>
    <w:rsid w:val="007962C2"/>
    <w:rsid w:val="007967B8"/>
    <w:rsid w:val="00797B1A"/>
    <w:rsid w:val="007A004F"/>
    <w:rsid w:val="007A044C"/>
    <w:rsid w:val="007A07DF"/>
    <w:rsid w:val="007A0FC5"/>
    <w:rsid w:val="007A198A"/>
    <w:rsid w:val="007A1ACC"/>
    <w:rsid w:val="007A2A7E"/>
    <w:rsid w:val="007A35F5"/>
    <w:rsid w:val="007A36D1"/>
    <w:rsid w:val="007A3EB1"/>
    <w:rsid w:val="007A3F5C"/>
    <w:rsid w:val="007A465A"/>
    <w:rsid w:val="007A56AB"/>
    <w:rsid w:val="007A5F7B"/>
    <w:rsid w:val="007A6215"/>
    <w:rsid w:val="007A62ED"/>
    <w:rsid w:val="007A6C9B"/>
    <w:rsid w:val="007A6D00"/>
    <w:rsid w:val="007A70D8"/>
    <w:rsid w:val="007A711D"/>
    <w:rsid w:val="007A7C2F"/>
    <w:rsid w:val="007A7E29"/>
    <w:rsid w:val="007B006D"/>
    <w:rsid w:val="007B00C9"/>
    <w:rsid w:val="007B25F2"/>
    <w:rsid w:val="007B28EC"/>
    <w:rsid w:val="007B2D7B"/>
    <w:rsid w:val="007B347E"/>
    <w:rsid w:val="007B390A"/>
    <w:rsid w:val="007B4188"/>
    <w:rsid w:val="007B4975"/>
    <w:rsid w:val="007B4BEB"/>
    <w:rsid w:val="007B4CA7"/>
    <w:rsid w:val="007B528A"/>
    <w:rsid w:val="007B57E1"/>
    <w:rsid w:val="007B5828"/>
    <w:rsid w:val="007B5BE5"/>
    <w:rsid w:val="007B6679"/>
    <w:rsid w:val="007B742F"/>
    <w:rsid w:val="007B7946"/>
    <w:rsid w:val="007C1039"/>
    <w:rsid w:val="007C25D2"/>
    <w:rsid w:val="007C30A9"/>
    <w:rsid w:val="007C35DA"/>
    <w:rsid w:val="007C37FC"/>
    <w:rsid w:val="007C3D6B"/>
    <w:rsid w:val="007C4221"/>
    <w:rsid w:val="007C4353"/>
    <w:rsid w:val="007C4A91"/>
    <w:rsid w:val="007C4D0C"/>
    <w:rsid w:val="007C543E"/>
    <w:rsid w:val="007C5E2C"/>
    <w:rsid w:val="007C6573"/>
    <w:rsid w:val="007C6B50"/>
    <w:rsid w:val="007C6B70"/>
    <w:rsid w:val="007C72A6"/>
    <w:rsid w:val="007C758C"/>
    <w:rsid w:val="007C7AFB"/>
    <w:rsid w:val="007C7C8C"/>
    <w:rsid w:val="007D1628"/>
    <w:rsid w:val="007D17B7"/>
    <w:rsid w:val="007D1806"/>
    <w:rsid w:val="007D1F44"/>
    <w:rsid w:val="007D218C"/>
    <w:rsid w:val="007D3504"/>
    <w:rsid w:val="007D3878"/>
    <w:rsid w:val="007D3BE4"/>
    <w:rsid w:val="007D3CBE"/>
    <w:rsid w:val="007D4261"/>
    <w:rsid w:val="007D45E1"/>
    <w:rsid w:val="007D49A1"/>
    <w:rsid w:val="007D4DBA"/>
    <w:rsid w:val="007D54F8"/>
    <w:rsid w:val="007D56BA"/>
    <w:rsid w:val="007D5973"/>
    <w:rsid w:val="007D5F66"/>
    <w:rsid w:val="007D5FD8"/>
    <w:rsid w:val="007D6948"/>
    <w:rsid w:val="007D6DB9"/>
    <w:rsid w:val="007D6E53"/>
    <w:rsid w:val="007D74AE"/>
    <w:rsid w:val="007D7663"/>
    <w:rsid w:val="007D79BC"/>
    <w:rsid w:val="007D79CD"/>
    <w:rsid w:val="007E0255"/>
    <w:rsid w:val="007E0259"/>
    <w:rsid w:val="007E0675"/>
    <w:rsid w:val="007E0844"/>
    <w:rsid w:val="007E09CF"/>
    <w:rsid w:val="007E1A30"/>
    <w:rsid w:val="007E21A1"/>
    <w:rsid w:val="007E2B0F"/>
    <w:rsid w:val="007E2BA6"/>
    <w:rsid w:val="007E4A5B"/>
    <w:rsid w:val="007E4FC5"/>
    <w:rsid w:val="007E5F49"/>
    <w:rsid w:val="007E67B4"/>
    <w:rsid w:val="007E6B22"/>
    <w:rsid w:val="007E7606"/>
    <w:rsid w:val="007E7731"/>
    <w:rsid w:val="007E780B"/>
    <w:rsid w:val="007F002D"/>
    <w:rsid w:val="007F01DD"/>
    <w:rsid w:val="007F0A1D"/>
    <w:rsid w:val="007F0A89"/>
    <w:rsid w:val="007F1100"/>
    <w:rsid w:val="007F1FDE"/>
    <w:rsid w:val="007F218E"/>
    <w:rsid w:val="007F2620"/>
    <w:rsid w:val="007F27D0"/>
    <w:rsid w:val="007F2B12"/>
    <w:rsid w:val="007F2C58"/>
    <w:rsid w:val="007F3000"/>
    <w:rsid w:val="007F3514"/>
    <w:rsid w:val="007F38C2"/>
    <w:rsid w:val="007F3B80"/>
    <w:rsid w:val="007F4335"/>
    <w:rsid w:val="007F479A"/>
    <w:rsid w:val="007F4D98"/>
    <w:rsid w:val="007F522F"/>
    <w:rsid w:val="007F5CC6"/>
    <w:rsid w:val="007F701D"/>
    <w:rsid w:val="007F70DA"/>
    <w:rsid w:val="007F747A"/>
    <w:rsid w:val="007F7C65"/>
    <w:rsid w:val="007F7F4B"/>
    <w:rsid w:val="00800018"/>
    <w:rsid w:val="00800602"/>
    <w:rsid w:val="0080065C"/>
    <w:rsid w:val="008019BA"/>
    <w:rsid w:val="00801BEC"/>
    <w:rsid w:val="00801E4D"/>
    <w:rsid w:val="00803104"/>
    <w:rsid w:val="0080336D"/>
    <w:rsid w:val="00803B60"/>
    <w:rsid w:val="00803BD6"/>
    <w:rsid w:val="00803CAB"/>
    <w:rsid w:val="00804DA7"/>
    <w:rsid w:val="00804ED8"/>
    <w:rsid w:val="00805376"/>
    <w:rsid w:val="00805450"/>
    <w:rsid w:val="00805C10"/>
    <w:rsid w:val="00805E50"/>
    <w:rsid w:val="00806F87"/>
    <w:rsid w:val="00807677"/>
    <w:rsid w:val="00810189"/>
    <w:rsid w:val="008102BC"/>
    <w:rsid w:val="00810635"/>
    <w:rsid w:val="008108AE"/>
    <w:rsid w:val="00811744"/>
    <w:rsid w:val="00811778"/>
    <w:rsid w:val="00811858"/>
    <w:rsid w:val="00812919"/>
    <w:rsid w:val="00813D49"/>
    <w:rsid w:val="008145B6"/>
    <w:rsid w:val="00814AFC"/>
    <w:rsid w:val="00814D4E"/>
    <w:rsid w:val="00815756"/>
    <w:rsid w:val="008159CC"/>
    <w:rsid w:val="0081655A"/>
    <w:rsid w:val="008168B0"/>
    <w:rsid w:val="00816CBD"/>
    <w:rsid w:val="00816DA0"/>
    <w:rsid w:val="008179BB"/>
    <w:rsid w:val="008179F2"/>
    <w:rsid w:val="00820303"/>
    <w:rsid w:val="008206D5"/>
    <w:rsid w:val="00820E23"/>
    <w:rsid w:val="00821AE8"/>
    <w:rsid w:val="00821D7D"/>
    <w:rsid w:val="00821DB0"/>
    <w:rsid w:val="00822722"/>
    <w:rsid w:val="00822956"/>
    <w:rsid w:val="00822AD1"/>
    <w:rsid w:val="00822AFD"/>
    <w:rsid w:val="0082304D"/>
    <w:rsid w:val="008233F4"/>
    <w:rsid w:val="0082360B"/>
    <w:rsid w:val="00824138"/>
    <w:rsid w:val="00824590"/>
    <w:rsid w:val="008246C5"/>
    <w:rsid w:val="00824B9D"/>
    <w:rsid w:val="00825226"/>
    <w:rsid w:val="008253ED"/>
    <w:rsid w:val="008259EC"/>
    <w:rsid w:val="00825D17"/>
    <w:rsid w:val="00826020"/>
    <w:rsid w:val="008265C2"/>
    <w:rsid w:val="00826D0B"/>
    <w:rsid w:val="008272F5"/>
    <w:rsid w:val="0082767D"/>
    <w:rsid w:val="00831129"/>
    <w:rsid w:val="0083163E"/>
    <w:rsid w:val="00831C4C"/>
    <w:rsid w:val="0083254A"/>
    <w:rsid w:val="0083357F"/>
    <w:rsid w:val="00834162"/>
    <w:rsid w:val="00834315"/>
    <w:rsid w:val="008346CC"/>
    <w:rsid w:val="00835211"/>
    <w:rsid w:val="00835560"/>
    <w:rsid w:val="00836040"/>
    <w:rsid w:val="008362F0"/>
    <w:rsid w:val="00836E44"/>
    <w:rsid w:val="00836E77"/>
    <w:rsid w:val="00837431"/>
    <w:rsid w:val="00837803"/>
    <w:rsid w:val="008378F2"/>
    <w:rsid w:val="00840998"/>
    <w:rsid w:val="008415E8"/>
    <w:rsid w:val="00841F39"/>
    <w:rsid w:val="008427E0"/>
    <w:rsid w:val="00842EC9"/>
    <w:rsid w:val="00842EEC"/>
    <w:rsid w:val="00843335"/>
    <w:rsid w:val="00843923"/>
    <w:rsid w:val="00843A49"/>
    <w:rsid w:val="00843DA0"/>
    <w:rsid w:val="00844021"/>
    <w:rsid w:val="008447DA"/>
    <w:rsid w:val="00845154"/>
    <w:rsid w:val="00845CEF"/>
    <w:rsid w:val="00845ECD"/>
    <w:rsid w:val="0084652D"/>
    <w:rsid w:val="00846901"/>
    <w:rsid w:val="00846D8E"/>
    <w:rsid w:val="0084738F"/>
    <w:rsid w:val="0084742C"/>
    <w:rsid w:val="00847468"/>
    <w:rsid w:val="008474D0"/>
    <w:rsid w:val="008478F9"/>
    <w:rsid w:val="00847BCA"/>
    <w:rsid w:val="00847BEB"/>
    <w:rsid w:val="00850A1C"/>
    <w:rsid w:val="008510AB"/>
    <w:rsid w:val="0085135B"/>
    <w:rsid w:val="0085158D"/>
    <w:rsid w:val="00851860"/>
    <w:rsid w:val="00851ABF"/>
    <w:rsid w:val="0085201B"/>
    <w:rsid w:val="0085261E"/>
    <w:rsid w:val="008528FA"/>
    <w:rsid w:val="0085427F"/>
    <w:rsid w:val="008542FF"/>
    <w:rsid w:val="00854539"/>
    <w:rsid w:val="00854548"/>
    <w:rsid w:val="00854949"/>
    <w:rsid w:val="00854DA1"/>
    <w:rsid w:val="008557A4"/>
    <w:rsid w:val="00855A91"/>
    <w:rsid w:val="00857573"/>
    <w:rsid w:val="0085784A"/>
    <w:rsid w:val="00857E6F"/>
    <w:rsid w:val="0086078D"/>
    <w:rsid w:val="00860C04"/>
    <w:rsid w:val="008610AA"/>
    <w:rsid w:val="008618CA"/>
    <w:rsid w:val="0086223D"/>
    <w:rsid w:val="0086238F"/>
    <w:rsid w:val="00862EAF"/>
    <w:rsid w:val="00862EBA"/>
    <w:rsid w:val="0086314B"/>
    <w:rsid w:val="00863208"/>
    <w:rsid w:val="008634A1"/>
    <w:rsid w:val="008640F4"/>
    <w:rsid w:val="008642C1"/>
    <w:rsid w:val="00864BBC"/>
    <w:rsid w:val="008650FD"/>
    <w:rsid w:val="00865266"/>
    <w:rsid w:val="00865588"/>
    <w:rsid w:val="00865B7F"/>
    <w:rsid w:val="0086709E"/>
    <w:rsid w:val="0086728A"/>
    <w:rsid w:val="00870508"/>
    <w:rsid w:val="00870B12"/>
    <w:rsid w:val="00870D56"/>
    <w:rsid w:val="0087129C"/>
    <w:rsid w:val="00871641"/>
    <w:rsid w:val="008720E7"/>
    <w:rsid w:val="008726FF"/>
    <w:rsid w:val="008734A1"/>
    <w:rsid w:val="0087374F"/>
    <w:rsid w:val="008740B7"/>
    <w:rsid w:val="00874506"/>
    <w:rsid w:val="00874786"/>
    <w:rsid w:val="008748AE"/>
    <w:rsid w:val="008759B5"/>
    <w:rsid w:val="008761DE"/>
    <w:rsid w:val="0087651C"/>
    <w:rsid w:val="008775DB"/>
    <w:rsid w:val="00877898"/>
    <w:rsid w:val="00877974"/>
    <w:rsid w:val="00877D4A"/>
    <w:rsid w:val="008801F0"/>
    <w:rsid w:val="00880A9E"/>
    <w:rsid w:val="00881279"/>
    <w:rsid w:val="00882583"/>
    <w:rsid w:val="00883114"/>
    <w:rsid w:val="008837B4"/>
    <w:rsid w:val="00883D69"/>
    <w:rsid w:val="00883F84"/>
    <w:rsid w:val="00885B33"/>
    <w:rsid w:val="008868AD"/>
    <w:rsid w:val="00886933"/>
    <w:rsid w:val="00886D15"/>
    <w:rsid w:val="008874FA"/>
    <w:rsid w:val="008878E8"/>
    <w:rsid w:val="00887D47"/>
    <w:rsid w:val="008903D7"/>
    <w:rsid w:val="008908BC"/>
    <w:rsid w:val="00890ABF"/>
    <w:rsid w:val="008916B2"/>
    <w:rsid w:val="008917D2"/>
    <w:rsid w:val="00891DAF"/>
    <w:rsid w:val="00891F89"/>
    <w:rsid w:val="008925B9"/>
    <w:rsid w:val="008932BC"/>
    <w:rsid w:val="00893446"/>
    <w:rsid w:val="008935AD"/>
    <w:rsid w:val="008951D6"/>
    <w:rsid w:val="00896128"/>
    <w:rsid w:val="008962D2"/>
    <w:rsid w:val="00896804"/>
    <w:rsid w:val="0089753F"/>
    <w:rsid w:val="00897616"/>
    <w:rsid w:val="008A0EE1"/>
    <w:rsid w:val="008A0F47"/>
    <w:rsid w:val="008A18A6"/>
    <w:rsid w:val="008A1F09"/>
    <w:rsid w:val="008A2664"/>
    <w:rsid w:val="008A26B6"/>
    <w:rsid w:val="008A273E"/>
    <w:rsid w:val="008A2E69"/>
    <w:rsid w:val="008A3583"/>
    <w:rsid w:val="008A3887"/>
    <w:rsid w:val="008A3D75"/>
    <w:rsid w:val="008A41E9"/>
    <w:rsid w:val="008A4708"/>
    <w:rsid w:val="008A48FB"/>
    <w:rsid w:val="008A4BD9"/>
    <w:rsid w:val="008A5F87"/>
    <w:rsid w:val="008A772A"/>
    <w:rsid w:val="008A7745"/>
    <w:rsid w:val="008A7819"/>
    <w:rsid w:val="008A7899"/>
    <w:rsid w:val="008B0736"/>
    <w:rsid w:val="008B1250"/>
    <w:rsid w:val="008B1871"/>
    <w:rsid w:val="008B1A9C"/>
    <w:rsid w:val="008B2589"/>
    <w:rsid w:val="008B2B70"/>
    <w:rsid w:val="008B2B91"/>
    <w:rsid w:val="008B42B1"/>
    <w:rsid w:val="008B58B7"/>
    <w:rsid w:val="008B5DE2"/>
    <w:rsid w:val="008B60AD"/>
    <w:rsid w:val="008B6197"/>
    <w:rsid w:val="008B69CE"/>
    <w:rsid w:val="008B6C9E"/>
    <w:rsid w:val="008B6F7E"/>
    <w:rsid w:val="008B71B2"/>
    <w:rsid w:val="008B74F6"/>
    <w:rsid w:val="008B7950"/>
    <w:rsid w:val="008C020C"/>
    <w:rsid w:val="008C0FB1"/>
    <w:rsid w:val="008C14DF"/>
    <w:rsid w:val="008C16D8"/>
    <w:rsid w:val="008C170D"/>
    <w:rsid w:val="008C1A3B"/>
    <w:rsid w:val="008C1ED7"/>
    <w:rsid w:val="008C208B"/>
    <w:rsid w:val="008C23F8"/>
    <w:rsid w:val="008C251B"/>
    <w:rsid w:val="008C2578"/>
    <w:rsid w:val="008C25A6"/>
    <w:rsid w:val="008C2600"/>
    <w:rsid w:val="008C338A"/>
    <w:rsid w:val="008C3B02"/>
    <w:rsid w:val="008C3C8D"/>
    <w:rsid w:val="008C4CFB"/>
    <w:rsid w:val="008C51BA"/>
    <w:rsid w:val="008C559F"/>
    <w:rsid w:val="008C59F9"/>
    <w:rsid w:val="008C5AD2"/>
    <w:rsid w:val="008C5EE5"/>
    <w:rsid w:val="008C625E"/>
    <w:rsid w:val="008C632B"/>
    <w:rsid w:val="008C65FE"/>
    <w:rsid w:val="008C6F08"/>
    <w:rsid w:val="008C77AC"/>
    <w:rsid w:val="008D0594"/>
    <w:rsid w:val="008D136A"/>
    <w:rsid w:val="008D16AD"/>
    <w:rsid w:val="008D1A82"/>
    <w:rsid w:val="008D235B"/>
    <w:rsid w:val="008D252B"/>
    <w:rsid w:val="008D298C"/>
    <w:rsid w:val="008D2D51"/>
    <w:rsid w:val="008D2FCF"/>
    <w:rsid w:val="008D3485"/>
    <w:rsid w:val="008D35B2"/>
    <w:rsid w:val="008D3766"/>
    <w:rsid w:val="008D39E3"/>
    <w:rsid w:val="008D3A9E"/>
    <w:rsid w:val="008D4027"/>
    <w:rsid w:val="008D4E93"/>
    <w:rsid w:val="008D58F2"/>
    <w:rsid w:val="008D595B"/>
    <w:rsid w:val="008D7154"/>
    <w:rsid w:val="008D7BC4"/>
    <w:rsid w:val="008E05F4"/>
    <w:rsid w:val="008E0839"/>
    <w:rsid w:val="008E0886"/>
    <w:rsid w:val="008E1709"/>
    <w:rsid w:val="008E1BE1"/>
    <w:rsid w:val="008E20F6"/>
    <w:rsid w:val="008E2AEA"/>
    <w:rsid w:val="008E3607"/>
    <w:rsid w:val="008E47D0"/>
    <w:rsid w:val="008E5A26"/>
    <w:rsid w:val="008E5BD0"/>
    <w:rsid w:val="008E613E"/>
    <w:rsid w:val="008E7335"/>
    <w:rsid w:val="008E7A1D"/>
    <w:rsid w:val="008E7E44"/>
    <w:rsid w:val="008F0112"/>
    <w:rsid w:val="008F0265"/>
    <w:rsid w:val="008F0E89"/>
    <w:rsid w:val="008F0FA2"/>
    <w:rsid w:val="008F0FC5"/>
    <w:rsid w:val="008F1D91"/>
    <w:rsid w:val="008F2D0D"/>
    <w:rsid w:val="008F2F46"/>
    <w:rsid w:val="008F5E11"/>
    <w:rsid w:val="008F5EDE"/>
    <w:rsid w:val="008F608A"/>
    <w:rsid w:val="008F6304"/>
    <w:rsid w:val="008F6540"/>
    <w:rsid w:val="008F6B80"/>
    <w:rsid w:val="008F7113"/>
    <w:rsid w:val="008F71CE"/>
    <w:rsid w:val="008F7979"/>
    <w:rsid w:val="008F7A7F"/>
    <w:rsid w:val="009004AC"/>
    <w:rsid w:val="009017BC"/>
    <w:rsid w:val="009020B4"/>
    <w:rsid w:val="009025FE"/>
    <w:rsid w:val="0090264D"/>
    <w:rsid w:val="009027D3"/>
    <w:rsid w:val="009030FC"/>
    <w:rsid w:val="009035E1"/>
    <w:rsid w:val="0090383E"/>
    <w:rsid w:val="00903908"/>
    <w:rsid w:val="00903979"/>
    <w:rsid w:val="00903AB9"/>
    <w:rsid w:val="00903B56"/>
    <w:rsid w:val="00903BFC"/>
    <w:rsid w:val="00904972"/>
    <w:rsid w:val="009049CA"/>
    <w:rsid w:val="00904ACF"/>
    <w:rsid w:val="00904BF1"/>
    <w:rsid w:val="00904CAF"/>
    <w:rsid w:val="0090539F"/>
    <w:rsid w:val="00905490"/>
    <w:rsid w:val="009060A0"/>
    <w:rsid w:val="00907B7B"/>
    <w:rsid w:val="00907F03"/>
    <w:rsid w:val="0091005C"/>
    <w:rsid w:val="0091020F"/>
    <w:rsid w:val="00910637"/>
    <w:rsid w:val="0091080B"/>
    <w:rsid w:val="00910CFD"/>
    <w:rsid w:val="009115DB"/>
    <w:rsid w:val="00911D0E"/>
    <w:rsid w:val="00911DC9"/>
    <w:rsid w:val="009124E6"/>
    <w:rsid w:val="009135A3"/>
    <w:rsid w:val="00913DC1"/>
    <w:rsid w:val="00913E1A"/>
    <w:rsid w:val="00914A9C"/>
    <w:rsid w:val="00914C47"/>
    <w:rsid w:val="00914C55"/>
    <w:rsid w:val="00915986"/>
    <w:rsid w:val="00915AE0"/>
    <w:rsid w:val="00916033"/>
    <w:rsid w:val="009166F6"/>
    <w:rsid w:val="00916822"/>
    <w:rsid w:val="0091774C"/>
    <w:rsid w:val="00917C7B"/>
    <w:rsid w:val="0092076F"/>
    <w:rsid w:val="0092185F"/>
    <w:rsid w:val="00921B1B"/>
    <w:rsid w:val="00921B7E"/>
    <w:rsid w:val="009228A2"/>
    <w:rsid w:val="00923528"/>
    <w:rsid w:val="00923A3C"/>
    <w:rsid w:val="00924960"/>
    <w:rsid w:val="00924B06"/>
    <w:rsid w:val="00924B79"/>
    <w:rsid w:val="00924CC9"/>
    <w:rsid w:val="00925478"/>
    <w:rsid w:val="00925559"/>
    <w:rsid w:val="00925D12"/>
    <w:rsid w:val="00926A65"/>
    <w:rsid w:val="00926C78"/>
    <w:rsid w:val="00927217"/>
    <w:rsid w:val="0092778D"/>
    <w:rsid w:val="00930184"/>
    <w:rsid w:val="00930197"/>
    <w:rsid w:val="0093071B"/>
    <w:rsid w:val="00930D6B"/>
    <w:rsid w:val="0093165B"/>
    <w:rsid w:val="00931907"/>
    <w:rsid w:val="00931CC0"/>
    <w:rsid w:val="0093254D"/>
    <w:rsid w:val="00932AEC"/>
    <w:rsid w:val="00932F1E"/>
    <w:rsid w:val="00933350"/>
    <w:rsid w:val="00933C76"/>
    <w:rsid w:val="00933F60"/>
    <w:rsid w:val="00934070"/>
    <w:rsid w:val="009342CE"/>
    <w:rsid w:val="009354A3"/>
    <w:rsid w:val="009354D1"/>
    <w:rsid w:val="00935718"/>
    <w:rsid w:val="00935AAA"/>
    <w:rsid w:val="00935C3D"/>
    <w:rsid w:val="00935DFD"/>
    <w:rsid w:val="00936117"/>
    <w:rsid w:val="009364A8"/>
    <w:rsid w:val="0093748B"/>
    <w:rsid w:val="0093750F"/>
    <w:rsid w:val="009375D6"/>
    <w:rsid w:val="00940A42"/>
    <w:rsid w:val="00940B76"/>
    <w:rsid w:val="00940D62"/>
    <w:rsid w:val="00940E14"/>
    <w:rsid w:val="0094208C"/>
    <w:rsid w:val="009420DF"/>
    <w:rsid w:val="00942205"/>
    <w:rsid w:val="009429CD"/>
    <w:rsid w:val="00942FAB"/>
    <w:rsid w:val="00943224"/>
    <w:rsid w:val="00943624"/>
    <w:rsid w:val="0094383C"/>
    <w:rsid w:val="00944208"/>
    <w:rsid w:val="00944849"/>
    <w:rsid w:val="00944DC6"/>
    <w:rsid w:val="00945597"/>
    <w:rsid w:val="009455DD"/>
    <w:rsid w:val="00945867"/>
    <w:rsid w:val="009459B6"/>
    <w:rsid w:val="00946365"/>
    <w:rsid w:val="0094640D"/>
    <w:rsid w:val="00946849"/>
    <w:rsid w:val="00946A53"/>
    <w:rsid w:val="00946E92"/>
    <w:rsid w:val="0094739A"/>
    <w:rsid w:val="009474CF"/>
    <w:rsid w:val="00950B58"/>
    <w:rsid w:val="00950C3D"/>
    <w:rsid w:val="009514F6"/>
    <w:rsid w:val="00952142"/>
    <w:rsid w:val="009522FC"/>
    <w:rsid w:val="00953100"/>
    <w:rsid w:val="0095361F"/>
    <w:rsid w:val="00953BE7"/>
    <w:rsid w:val="00953C9A"/>
    <w:rsid w:val="00954140"/>
    <w:rsid w:val="00954501"/>
    <w:rsid w:val="00954B8E"/>
    <w:rsid w:val="00954B93"/>
    <w:rsid w:val="00955023"/>
    <w:rsid w:val="00955FE0"/>
    <w:rsid w:val="00956609"/>
    <w:rsid w:val="00956A22"/>
    <w:rsid w:val="00956E57"/>
    <w:rsid w:val="00960426"/>
    <w:rsid w:val="00960723"/>
    <w:rsid w:val="00961ABA"/>
    <w:rsid w:val="00962314"/>
    <w:rsid w:val="009625F6"/>
    <w:rsid w:val="0096298C"/>
    <w:rsid w:val="00962E96"/>
    <w:rsid w:val="00962ECF"/>
    <w:rsid w:val="00962FF2"/>
    <w:rsid w:val="0096332E"/>
    <w:rsid w:val="009633E4"/>
    <w:rsid w:val="00963497"/>
    <w:rsid w:val="00963652"/>
    <w:rsid w:val="00963EA4"/>
    <w:rsid w:val="00963FD0"/>
    <w:rsid w:val="00964F0F"/>
    <w:rsid w:val="00964F17"/>
    <w:rsid w:val="00964FAD"/>
    <w:rsid w:val="009657BE"/>
    <w:rsid w:val="00965C3E"/>
    <w:rsid w:val="00965FB7"/>
    <w:rsid w:val="009665C5"/>
    <w:rsid w:val="009671AA"/>
    <w:rsid w:val="009673FE"/>
    <w:rsid w:val="00967D79"/>
    <w:rsid w:val="00970B82"/>
    <w:rsid w:val="009715D5"/>
    <w:rsid w:val="0097282A"/>
    <w:rsid w:val="00972DA2"/>
    <w:rsid w:val="00973043"/>
    <w:rsid w:val="009731C1"/>
    <w:rsid w:val="0097399D"/>
    <w:rsid w:val="00974152"/>
    <w:rsid w:val="0097475E"/>
    <w:rsid w:val="00974C8C"/>
    <w:rsid w:val="00974E15"/>
    <w:rsid w:val="009750DA"/>
    <w:rsid w:val="00975198"/>
    <w:rsid w:val="00975D48"/>
    <w:rsid w:val="009779F3"/>
    <w:rsid w:val="00982992"/>
    <w:rsid w:val="00982C66"/>
    <w:rsid w:val="00982FB5"/>
    <w:rsid w:val="009834B8"/>
    <w:rsid w:val="00983A30"/>
    <w:rsid w:val="00983C8A"/>
    <w:rsid w:val="00983DA6"/>
    <w:rsid w:val="0098413E"/>
    <w:rsid w:val="00984C01"/>
    <w:rsid w:val="00984E73"/>
    <w:rsid w:val="00984FB9"/>
    <w:rsid w:val="0098555F"/>
    <w:rsid w:val="00985927"/>
    <w:rsid w:val="0098614F"/>
    <w:rsid w:val="00986C26"/>
    <w:rsid w:val="00986CE3"/>
    <w:rsid w:val="009904C7"/>
    <w:rsid w:val="00990C96"/>
    <w:rsid w:val="0099112C"/>
    <w:rsid w:val="0099139B"/>
    <w:rsid w:val="00992046"/>
    <w:rsid w:val="009927B6"/>
    <w:rsid w:val="00992C05"/>
    <w:rsid w:val="00992EA4"/>
    <w:rsid w:val="009936DA"/>
    <w:rsid w:val="00993B6C"/>
    <w:rsid w:val="00993E53"/>
    <w:rsid w:val="009941B5"/>
    <w:rsid w:val="00994298"/>
    <w:rsid w:val="009943B0"/>
    <w:rsid w:val="00994B61"/>
    <w:rsid w:val="009959BA"/>
    <w:rsid w:val="00995A31"/>
    <w:rsid w:val="0099764F"/>
    <w:rsid w:val="009A00CD"/>
    <w:rsid w:val="009A01D7"/>
    <w:rsid w:val="009A0527"/>
    <w:rsid w:val="009A07FD"/>
    <w:rsid w:val="009A21B4"/>
    <w:rsid w:val="009A2440"/>
    <w:rsid w:val="009A2A20"/>
    <w:rsid w:val="009A39A1"/>
    <w:rsid w:val="009A43E9"/>
    <w:rsid w:val="009A4B23"/>
    <w:rsid w:val="009A4CE0"/>
    <w:rsid w:val="009A5019"/>
    <w:rsid w:val="009A5D13"/>
    <w:rsid w:val="009A62E0"/>
    <w:rsid w:val="009A6744"/>
    <w:rsid w:val="009A6D13"/>
    <w:rsid w:val="009A6E46"/>
    <w:rsid w:val="009A7558"/>
    <w:rsid w:val="009A7A24"/>
    <w:rsid w:val="009A7EEE"/>
    <w:rsid w:val="009B0502"/>
    <w:rsid w:val="009B0B4F"/>
    <w:rsid w:val="009B19DC"/>
    <w:rsid w:val="009B1D37"/>
    <w:rsid w:val="009B25DC"/>
    <w:rsid w:val="009B2651"/>
    <w:rsid w:val="009B2718"/>
    <w:rsid w:val="009B2AB8"/>
    <w:rsid w:val="009B2ACF"/>
    <w:rsid w:val="009B39D5"/>
    <w:rsid w:val="009B3C7E"/>
    <w:rsid w:val="009B40D7"/>
    <w:rsid w:val="009B4281"/>
    <w:rsid w:val="009B4304"/>
    <w:rsid w:val="009B4B9F"/>
    <w:rsid w:val="009B52E8"/>
    <w:rsid w:val="009B5C6E"/>
    <w:rsid w:val="009B645C"/>
    <w:rsid w:val="009B69FC"/>
    <w:rsid w:val="009B6DE6"/>
    <w:rsid w:val="009B6F80"/>
    <w:rsid w:val="009B7071"/>
    <w:rsid w:val="009B7CC2"/>
    <w:rsid w:val="009B7FC3"/>
    <w:rsid w:val="009C1474"/>
    <w:rsid w:val="009C1B28"/>
    <w:rsid w:val="009C1BC6"/>
    <w:rsid w:val="009C1CEB"/>
    <w:rsid w:val="009C1D44"/>
    <w:rsid w:val="009C1DCE"/>
    <w:rsid w:val="009C2673"/>
    <w:rsid w:val="009C2C32"/>
    <w:rsid w:val="009C2F25"/>
    <w:rsid w:val="009C3171"/>
    <w:rsid w:val="009C3416"/>
    <w:rsid w:val="009C3BA5"/>
    <w:rsid w:val="009C40EF"/>
    <w:rsid w:val="009C49E3"/>
    <w:rsid w:val="009C4B3C"/>
    <w:rsid w:val="009C4B6D"/>
    <w:rsid w:val="009C518A"/>
    <w:rsid w:val="009C5798"/>
    <w:rsid w:val="009C5CAA"/>
    <w:rsid w:val="009C6336"/>
    <w:rsid w:val="009C69A9"/>
    <w:rsid w:val="009C6D45"/>
    <w:rsid w:val="009C6F49"/>
    <w:rsid w:val="009C6FCB"/>
    <w:rsid w:val="009C6FD2"/>
    <w:rsid w:val="009C7919"/>
    <w:rsid w:val="009D01B7"/>
    <w:rsid w:val="009D03D2"/>
    <w:rsid w:val="009D09AE"/>
    <w:rsid w:val="009D0B14"/>
    <w:rsid w:val="009D26D9"/>
    <w:rsid w:val="009D272F"/>
    <w:rsid w:val="009D2DD0"/>
    <w:rsid w:val="009D3089"/>
    <w:rsid w:val="009D37FF"/>
    <w:rsid w:val="009D39D2"/>
    <w:rsid w:val="009D3B22"/>
    <w:rsid w:val="009D46AE"/>
    <w:rsid w:val="009D5D62"/>
    <w:rsid w:val="009D5DBC"/>
    <w:rsid w:val="009D64E9"/>
    <w:rsid w:val="009D65D0"/>
    <w:rsid w:val="009D72A1"/>
    <w:rsid w:val="009D7309"/>
    <w:rsid w:val="009D752B"/>
    <w:rsid w:val="009E0542"/>
    <w:rsid w:val="009E0B79"/>
    <w:rsid w:val="009E0CE5"/>
    <w:rsid w:val="009E1244"/>
    <w:rsid w:val="009E1615"/>
    <w:rsid w:val="009E1BF0"/>
    <w:rsid w:val="009E2739"/>
    <w:rsid w:val="009E413C"/>
    <w:rsid w:val="009E43ED"/>
    <w:rsid w:val="009E4F2C"/>
    <w:rsid w:val="009E5BA7"/>
    <w:rsid w:val="009E638D"/>
    <w:rsid w:val="009E6592"/>
    <w:rsid w:val="009E65A5"/>
    <w:rsid w:val="009E7A71"/>
    <w:rsid w:val="009F0049"/>
    <w:rsid w:val="009F0121"/>
    <w:rsid w:val="009F0685"/>
    <w:rsid w:val="009F14DF"/>
    <w:rsid w:val="009F20FB"/>
    <w:rsid w:val="009F2358"/>
    <w:rsid w:val="009F2A2B"/>
    <w:rsid w:val="009F2A7D"/>
    <w:rsid w:val="009F2EA1"/>
    <w:rsid w:val="009F2FDE"/>
    <w:rsid w:val="009F31DF"/>
    <w:rsid w:val="009F347F"/>
    <w:rsid w:val="009F3C68"/>
    <w:rsid w:val="009F3F6D"/>
    <w:rsid w:val="009F401A"/>
    <w:rsid w:val="009F4577"/>
    <w:rsid w:val="009F45A1"/>
    <w:rsid w:val="009F4A98"/>
    <w:rsid w:val="009F4DD9"/>
    <w:rsid w:val="009F4E90"/>
    <w:rsid w:val="009F517F"/>
    <w:rsid w:val="009F5411"/>
    <w:rsid w:val="009F5803"/>
    <w:rsid w:val="009F5F8E"/>
    <w:rsid w:val="009F62D6"/>
    <w:rsid w:val="009F63A5"/>
    <w:rsid w:val="009F774D"/>
    <w:rsid w:val="009F7825"/>
    <w:rsid w:val="009F7F15"/>
    <w:rsid w:val="00A0007B"/>
    <w:rsid w:val="00A00200"/>
    <w:rsid w:val="00A0032F"/>
    <w:rsid w:val="00A00418"/>
    <w:rsid w:val="00A0082E"/>
    <w:rsid w:val="00A010D9"/>
    <w:rsid w:val="00A01643"/>
    <w:rsid w:val="00A01A53"/>
    <w:rsid w:val="00A01C87"/>
    <w:rsid w:val="00A0272F"/>
    <w:rsid w:val="00A0341E"/>
    <w:rsid w:val="00A0370D"/>
    <w:rsid w:val="00A03E45"/>
    <w:rsid w:val="00A04E2A"/>
    <w:rsid w:val="00A055B3"/>
    <w:rsid w:val="00A05606"/>
    <w:rsid w:val="00A05816"/>
    <w:rsid w:val="00A0596A"/>
    <w:rsid w:val="00A05A8E"/>
    <w:rsid w:val="00A05B0A"/>
    <w:rsid w:val="00A05D8C"/>
    <w:rsid w:val="00A06180"/>
    <w:rsid w:val="00A0690A"/>
    <w:rsid w:val="00A06DB7"/>
    <w:rsid w:val="00A06FB5"/>
    <w:rsid w:val="00A0720C"/>
    <w:rsid w:val="00A074D5"/>
    <w:rsid w:val="00A07600"/>
    <w:rsid w:val="00A11023"/>
    <w:rsid w:val="00A1113D"/>
    <w:rsid w:val="00A112B2"/>
    <w:rsid w:val="00A11E57"/>
    <w:rsid w:val="00A11FE5"/>
    <w:rsid w:val="00A122D4"/>
    <w:rsid w:val="00A12A1A"/>
    <w:rsid w:val="00A12C6D"/>
    <w:rsid w:val="00A12F4B"/>
    <w:rsid w:val="00A13A0C"/>
    <w:rsid w:val="00A13AAA"/>
    <w:rsid w:val="00A14790"/>
    <w:rsid w:val="00A148DE"/>
    <w:rsid w:val="00A1495D"/>
    <w:rsid w:val="00A14F8C"/>
    <w:rsid w:val="00A15568"/>
    <w:rsid w:val="00A159D8"/>
    <w:rsid w:val="00A1612A"/>
    <w:rsid w:val="00A165AF"/>
    <w:rsid w:val="00A16F92"/>
    <w:rsid w:val="00A17361"/>
    <w:rsid w:val="00A174D4"/>
    <w:rsid w:val="00A177D3"/>
    <w:rsid w:val="00A202D3"/>
    <w:rsid w:val="00A20502"/>
    <w:rsid w:val="00A2102D"/>
    <w:rsid w:val="00A21126"/>
    <w:rsid w:val="00A21707"/>
    <w:rsid w:val="00A223CF"/>
    <w:rsid w:val="00A223F6"/>
    <w:rsid w:val="00A22A0A"/>
    <w:rsid w:val="00A22AC2"/>
    <w:rsid w:val="00A22D0F"/>
    <w:rsid w:val="00A23953"/>
    <w:rsid w:val="00A241DA"/>
    <w:rsid w:val="00A249E7"/>
    <w:rsid w:val="00A252A8"/>
    <w:rsid w:val="00A2557C"/>
    <w:rsid w:val="00A25810"/>
    <w:rsid w:val="00A25AA1"/>
    <w:rsid w:val="00A26182"/>
    <w:rsid w:val="00A26835"/>
    <w:rsid w:val="00A26893"/>
    <w:rsid w:val="00A26E19"/>
    <w:rsid w:val="00A26E99"/>
    <w:rsid w:val="00A2710C"/>
    <w:rsid w:val="00A279BA"/>
    <w:rsid w:val="00A3061D"/>
    <w:rsid w:val="00A30AB5"/>
    <w:rsid w:val="00A3191F"/>
    <w:rsid w:val="00A32C67"/>
    <w:rsid w:val="00A333AF"/>
    <w:rsid w:val="00A33790"/>
    <w:rsid w:val="00A337AA"/>
    <w:rsid w:val="00A34D5E"/>
    <w:rsid w:val="00A3504D"/>
    <w:rsid w:val="00A35129"/>
    <w:rsid w:val="00A35966"/>
    <w:rsid w:val="00A3598C"/>
    <w:rsid w:val="00A362E7"/>
    <w:rsid w:val="00A36E0B"/>
    <w:rsid w:val="00A37779"/>
    <w:rsid w:val="00A409A8"/>
    <w:rsid w:val="00A41A1D"/>
    <w:rsid w:val="00A41C2D"/>
    <w:rsid w:val="00A41D32"/>
    <w:rsid w:val="00A42576"/>
    <w:rsid w:val="00A429C4"/>
    <w:rsid w:val="00A42E71"/>
    <w:rsid w:val="00A4413C"/>
    <w:rsid w:val="00A45266"/>
    <w:rsid w:val="00A456AF"/>
    <w:rsid w:val="00A45BE3"/>
    <w:rsid w:val="00A4717E"/>
    <w:rsid w:val="00A4776A"/>
    <w:rsid w:val="00A479D1"/>
    <w:rsid w:val="00A47CE4"/>
    <w:rsid w:val="00A47F08"/>
    <w:rsid w:val="00A5133A"/>
    <w:rsid w:val="00A51690"/>
    <w:rsid w:val="00A5209A"/>
    <w:rsid w:val="00A520A4"/>
    <w:rsid w:val="00A5259F"/>
    <w:rsid w:val="00A52762"/>
    <w:rsid w:val="00A528EB"/>
    <w:rsid w:val="00A52F08"/>
    <w:rsid w:val="00A52F4F"/>
    <w:rsid w:val="00A5303E"/>
    <w:rsid w:val="00A53514"/>
    <w:rsid w:val="00A53ED1"/>
    <w:rsid w:val="00A53F0B"/>
    <w:rsid w:val="00A54199"/>
    <w:rsid w:val="00A544C0"/>
    <w:rsid w:val="00A54A88"/>
    <w:rsid w:val="00A556F8"/>
    <w:rsid w:val="00A57ED3"/>
    <w:rsid w:val="00A60173"/>
    <w:rsid w:val="00A612C2"/>
    <w:rsid w:val="00A615BB"/>
    <w:rsid w:val="00A616EC"/>
    <w:rsid w:val="00A6190E"/>
    <w:rsid w:val="00A61B34"/>
    <w:rsid w:val="00A625F4"/>
    <w:rsid w:val="00A6293F"/>
    <w:rsid w:val="00A634E4"/>
    <w:rsid w:val="00A6355F"/>
    <w:rsid w:val="00A63623"/>
    <w:rsid w:val="00A6375E"/>
    <w:rsid w:val="00A63E60"/>
    <w:rsid w:val="00A6553F"/>
    <w:rsid w:val="00A66537"/>
    <w:rsid w:val="00A66677"/>
    <w:rsid w:val="00A676CD"/>
    <w:rsid w:val="00A67919"/>
    <w:rsid w:val="00A67B07"/>
    <w:rsid w:val="00A67CCE"/>
    <w:rsid w:val="00A7013F"/>
    <w:rsid w:val="00A70158"/>
    <w:rsid w:val="00A70FBE"/>
    <w:rsid w:val="00A71AB7"/>
    <w:rsid w:val="00A71D7E"/>
    <w:rsid w:val="00A720B0"/>
    <w:rsid w:val="00A720F1"/>
    <w:rsid w:val="00A72819"/>
    <w:rsid w:val="00A72EC2"/>
    <w:rsid w:val="00A737EB"/>
    <w:rsid w:val="00A74A1A"/>
    <w:rsid w:val="00A75202"/>
    <w:rsid w:val="00A755C3"/>
    <w:rsid w:val="00A758CC"/>
    <w:rsid w:val="00A75DC6"/>
    <w:rsid w:val="00A768A4"/>
    <w:rsid w:val="00A772F1"/>
    <w:rsid w:val="00A77430"/>
    <w:rsid w:val="00A779CB"/>
    <w:rsid w:val="00A77C91"/>
    <w:rsid w:val="00A77F04"/>
    <w:rsid w:val="00A81C65"/>
    <w:rsid w:val="00A8209D"/>
    <w:rsid w:val="00A82111"/>
    <w:rsid w:val="00A82768"/>
    <w:rsid w:val="00A82CE7"/>
    <w:rsid w:val="00A83C7A"/>
    <w:rsid w:val="00A83D18"/>
    <w:rsid w:val="00A85CB1"/>
    <w:rsid w:val="00A8600F"/>
    <w:rsid w:val="00A863E9"/>
    <w:rsid w:val="00A86CC0"/>
    <w:rsid w:val="00A87144"/>
    <w:rsid w:val="00A873E9"/>
    <w:rsid w:val="00A87BF4"/>
    <w:rsid w:val="00A90215"/>
    <w:rsid w:val="00A9167D"/>
    <w:rsid w:val="00A91940"/>
    <w:rsid w:val="00A920A3"/>
    <w:rsid w:val="00A9258A"/>
    <w:rsid w:val="00A92C4B"/>
    <w:rsid w:val="00A92D33"/>
    <w:rsid w:val="00A936F7"/>
    <w:rsid w:val="00A93D73"/>
    <w:rsid w:val="00A93DA1"/>
    <w:rsid w:val="00A93E94"/>
    <w:rsid w:val="00A94425"/>
    <w:rsid w:val="00A94C52"/>
    <w:rsid w:val="00A94F09"/>
    <w:rsid w:val="00A9509D"/>
    <w:rsid w:val="00A95111"/>
    <w:rsid w:val="00A95D89"/>
    <w:rsid w:val="00A95DAA"/>
    <w:rsid w:val="00A96559"/>
    <w:rsid w:val="00A96618"/>
    <w:rsid w:val="00A967F4"/>
    <w:rsid w:val="00A96DA9"/>
    <w:rsid w:val="00A970DC"/>
    <w:rsid w:val="00A97E88"/>
    <w:rsid w:val="00AA0131"/>
    <w:rsid w:val="00AA0367"/>
    <w:rsid w:val="00AA0C02"/>
    <w:rsid w:val="00AA2981"/>
    <w:rsid w:val="00AA3664"/>
    <w:rsid w:val="00AA389B"/>
    <w:rsid w:val="00AA3A3E"/>
    <w:rsid w:val="00AA3ADA"/>
    <w:rsid w:val="00AA3D17"/>
    <w:rsid w:val="00AA45B0"/>
    <w:rsid w:val="00AA5BD7"/>
    <w:rsid w:val="00AA5D57"/>
    <w:rsid w:val="00AA5FEB"/>
    <w:rsid w:val="00AA6308"/>
    <w:rsid w:val="00AA68B5"/>
    <w:rsid w:val="00AA6A50"/>
    <w:rsid w:val="00AA7B46"/>
    <w:rsid w:val="00AA7C36"/>
    <w:rsid w:val="00AB06D0"/>
    <w:rsid w:val="00AB0B6A"/>
    <w:rsid w:val="00AB1269"/>
    <w:rsid w:val="00AB14A5"/>
    <w:rsid w:val="00AB166C"/>
    <w:rsid w:val="00AB1DD0"/>
    <w:rsid w:val="00AB25A1"/>
    <w:rsid w:val="00AB280B"/>
    <w:rsid w:val="00AB3C7B"/>
    <w:rsid w:val="00AB42C2"/>
    <w:rsid w:val="00AB42D1"/>
    <w:rsid w:val="00AB5941"/>
    <w:rsid w:val="00AB5E31"/>
    <w:rsid w:val="00AB5FBE"/>
    <w:rsid w:val="00AB6958"/>
    <w:rsid w:val="00AB6D84"/>
    <w:rsid w:val="00AC0B69"/>
    <w:rsid w:val="00AC181F"/>
    <w:rsid w:val="00AC25E1"/>
    <w:rsid w:val="00AC3050"/>
    <w:rsid w:val="00AC31C6"/>
    <w:rsid w:val="00AC3523"/>
    <w:rsid w:val="00AC363C"/>
    <w:rsid w:val="00AC392F"/>
    <w:rsid w:val="00AC39CB"/>
    <w:rsid w:val="00AC3AE2"/>
    <w:rsid w:val="00AC4A0F"/>
    <w:rsid w:val="00AC4E70"/>
    <w:rsid w:val="00AC53C4"/>
    <w:rsid w:val="00AC55E6"/>
    <w:rsid w:val="00AC5E78"/>
    <w:rsid w:val="00AC652D"/>
    <w:rsid w:val="00AC6B38"/>
    <w:rsid w:val="00AC6BDC"/>
    <w:rsid w:val="00AC6FE1"/>
    <w:rsid w:val="00AC7E69"/>
    <w:rsid w:val="00AD036A"/>
    <w:rsid w:val="00AD05A7"/>
    <w:rsid w:val="00AD0AB3"/>
    <w:rsid w:val="00AD0CBE"/>
    <w:rsid w:val="00AD1719"/>
    <w:rsid w:val="00AD192C"/>
    <w:rsid w:val="00AD1FDD"/>
    <w:rsid w:val="00AD30C4"/>
    <w:rsid w:val="00AD37C7"/>
    <w:rsid w:val="00AD3960"/>
    <w:rsid w:val="00AD398C"/>
    <w:rsid w:val="00AD3CA0"/>
    <w:rsid w:val="00AD40C5"/>
    <w:rsid w:val="00AD4710"/>
    <w:rsid w:val="00AD4D27"/>
    <w:rsid w:val="00AD6C47"/>
    <w:rsid w:val="00AD6FFC"/>
    <w:rsid w:val="00AD7F5E"/>
    <w:rsid w:val="00AE0343"/>
    <w:rsid w:val="00AE0CF8"/>
    <w:rsid w:val="00AE152E"/>
    <w:rsid w:val="00AE1860"/>
    <w:rsid w:val="00AE1ED7"/>
    <w:rsid w:val="00AE2599"/>
    <w:rsid w:val="00AE27F6"/>
    <w:rsid w:val="00AE2C54"/>
    <w:rsid w:val="00AE2EFF"/>
    <w:rsid w:val="00AE3213"/>
    <w:rsid w:val="00AE33ED"/>
    <w:rsid w:val="00AE36EF"/>
    <w:rsid w:val="00AE39F4"/>
    <w:rsid w:val="00AE3FF6"/>
    <w:rsid w:val="00AE4753"/>
    <w:rsid w:val="00AE49B6"/>
    <w:rsid w:val="00AE4B5D"/>
    <w:rsid w:val="00AE4C0A"/>
    <w:rsid w:val="00AE4E64"/>
    <w:rsid w:val="00AE5596"/>
    <w:rsid w:val="00AE5692"/>
    <w:rsid w:val="00AE579F"/>
    <w:rsid w:val="00AE64BD"/>
    <w:rsid w:val="00AE6EE9"/>
    <w:rsid w:val="00AE7C5A"/>
    <w:rsid w:val="00AF0471"/>
    <w:rsid w:val="00AF05C5"/>
    <w:rsid w:val="00AF08B7"/>
    <w:rsid w:val="00AF1012"/>
    <w:rsid w:val="00AF1158"/>
    <w:rsid w:val="00AF1E62"/>
    <w:rsid w:val="00AF261E"/>
    <w:rsid w:val="00AF2FEC"/>
    <w:rsid w:val="00AF3598"/>
    <w:rsid w:val="00AF3DA3"/>
    <w:rsid w:val="00AF3E6C"/>
    <w:rsid w:val="00AF3EC3"/>
    <w:rsid w:val="00AF41C3"/>
    <w:rsid w:val="00AF424F"/>
    <w:rsid w:val="00AF492E"/>
    <w:rsid w:val="00AF5955"/>
    <w:rsid w:val="00AF62AE"/>
    <w:rsid w:val="00AF692D"/>
    <w:rsid w:val="00AF6A9A"/>
    <w:rsid w:val="00AF6BED"/>
    <w:rsid w:val="00AF6F61"/>
    <w:rsid w:val="00AF76CF"/>
    <w:rsid w:val="00AF7C99"/>
    <w:rsid w:val="00B00432"/>
    <w:rsid w:val="00B00E0A"/>
    <w:rsid w:val="00B01128"/>
    <w:rsid w:val="00B01232"/>
    <w:rsid w:val="00B016B3"/>
    <w:rsid w:val="00B0173C"/>
    <w:rsid w:val="00B023A6"/>
    <w:rsid w:val="00B036B9"/>
    <w:rsid w:val="00B03872"/>
    <w:rsid w:val="00B03C41"/>
    <w:rsid w:val="00B03E86"/>
    <w:rsid w:val="00B058EF"/>
    <w:rsid w:val="00B05A91"/>
    <w:rsid w:val="00B05D3F"/>
    <w:rsid w:val="00B0676A"/>
    <w:rsid w:val="00B06D3D"/>
    <w:rsid w:val="00B06D4B"/>
    <w:rsid w:val="00B0757A"/>
    <w:rsid w:val="00B07B45"/>
    <w:rsid w:val="00B07F04"/>
    <w:rsid w:val="00B106E8"/>
    <w:rsid w:val="00B10D78"/>
    <w:rsid w:val="00B111F9"/>
    <w:rsid w:val="00B11377"/>
    <w:rsid w:val="00B113A7"/>
    <w:rsid w:val="00B11FC7"/>
    <w:rsid w:val="00B12235"/>
    <w:rsid w:val="00B12598"/>
    <w:rsid w:val="00B128AF"/>
    <w:rsid w:val="00B12AB8"/>
    <w:rsid w:val="00B134E1"/>
    <w:rsid w:val="00B1363F"/>
    <w:rsid w:val="00B137B7"/>
    <w:rsid w:val="00B1571E"/>
    <w:rsid w:val="00B157D5"/>
    <w:rsid w:val="00B1616C"/>
    <w:rsid w:val="00B1668E"/>
    <w:rsid w:val="00B16A5B"/>
    <w:rsid w:val="00B16D27"/>
    <w:rsid w:val="00B17891"/>
    <w:rsid w:val="00B20B1A"/>
    <w:rsid w:val="00B20CC5"/>
    <w:rsid w:val="00B2141A"/>
    <w:rsid w:val="00B21452"/>
    <w:rsid w:val="00B214E3"/>
    <w:rsid w:val="00B21D94"/>
    <w:rsid w:val="00B22052"/>
    <w:rsid w:val="00B2278D"/>
    <w:rsid w:val="00B2421C"/>
    <w:rsid w:val="00B2430D"/>
    <w:rsid w:val="00B24427"/>
    <w:rsid w:val="00B24B84"/>
    <w:rsid w:val="00B257E3"/>
    <w:rsid w:val="00B258AC"/>
    <w:rsid w:val="00B25FFE"/>
    <w:rsid w:val="00B260CE"/>
    <w:rsid w:val="00B26257"/>
    <w:rsid w:val="00B26479"/>
    <w:rsid w:val="00B26858"/>
    <w:rsid w:val="00B26D90"/>
    <w:rsid w:val="00B26EA0"/>
    <w:rsid w:val="00B273D4"/>
    <w:rsid w:val="00B27640"/>
    <w:rsid w:val="00B2781C"/>
    <w:rsid w:val="00B30147"/>
    <w:rsid w:val="00B30BA4"/>
    <w:rsid w:val="00B30C06"/>
    <w:rsid w:val="00B31404"/>
    <w:rsid w:val="00B314CD"/>
    <w:rsid w:val="00B3154E"/>
    <w:rsid w:val="00B315B6"/>
    <w:rsid w:val="00B316DB"/>
    <w:rsid w:val="00B31CC9"/>
    <w:rsid w:val="00B31CDB"/>
    <w:rsid w:val="00B31E07"/>
    <w:rsid w:val="00B31E29"/>
    <w:rsid w:val="00B32E1E"/>
    <w:rsid w:val="00B32F8B"/>
    <w:rsid w:val="00B33146"/>
    <w:rsid w:val="00B33A51"/>
    <w:rsid w:val="00B346FB"/>
    <w:rsid w:val="00B35816"/>
    <w:rsid w:val="00B3721F"/>
    <w:rsid w:val="00B40357"/>
    <w:rsid w:val="00B41AFE"/>
    <w:rsid w:val="00B4207D"/>
    <w:rsid w:val="00B424F0"/>
    <w:rsid w:val="00B42CB3"/>
    <w:rsid w:val="00B439C3"/>
    <w:rsid w:val="00B452E6"/>
    <w:rsid w:val="00B45631"/>
    <w:rsid w:val="00B45A90"/>
    <w:rsid w:val="00B45E82"/>
    <w:rsid w:val="00B45EE6"/>
    <w:rsid w:val="00B46013"/>
    <w:rsid w:val="00B46649"/>
    <w:rsid w:val="00B469E8"/>
    <w:rsid w:val="00B4710D"/>
    <w:rsid w:val="00B475D2"/>
    <w:rsid w:val="00B476D8"/>
    <w:rsid w:val="00B477F0"/>
    <w:rsid w:val="00B47A86"/>
    <w:rsid w:val="00B5024F"/>
    <w:rsid w:val="00B51065"/>
    <w:rsid w:val="00B511C9"/>
    <w:rsid w:val="00B533D8"/>
    <w:rsid w:val="00B53B97"/>
    <w:rsid w:val="00B545B7"/>
    <w:rsid w:val="00B5483B"/>
    <w:rsid w:val="00B54C04"/>
    <w:rsid w:val="00B5516B"/>
    <w:rsid w:val="00B5598F"/>
    <w:rsid w:val="00B55E3A"/>
    <w:rsid w:val="00B55EEB"/>
    <w:rsid w:val="00B566CF"/>
    <w:rsid w:val="00B56A26"/>
    <w:rsid w:val="00B5715F"/>
    <w:rsid w:val="00B5787C"/>
    <w:rsid w:val="00B57A27"/>
    <w:rsid w:val="00B57B67"/>
    <w:rsid w:val="00B57C5D"/>
    <w:rsid w:val="00B57E4D"/>
    <w:rsid w:val="00B60D36"/>
    <w:rsid w:val="00B61CAE"/>
    <w:rsid w:val="00B623A9"/>
    <w:rsid w:val="00B62E22"/>
    <w:rsid w:val="00B63395"/>
    <w:rsid w:val="00B63509"/>
    <w:rsid w:val="00B638CA"/>
    <w:rsid w:val="00B64306"/>
    <w:rsid w:val="00B649C3"/>
    <w:rsid w:val="00B64F71"/>
    <w:rsid w:val="00B65195"/>
    <w:rsid w:val="00B65DC2"/>
    <w:rsid w:val="00B65F22"/>
    <w:rsid w:val="00B6643E"/>
    <w:rsid w:val="00B66F29"/>
    <w:rsid w:val="00B67A87"/>
    <w:rsid w:val="00B70CD9"/>
    <w:rsid w:val="00B70D09"/>
    <w:rsid w:val="00B71011"/>
    <w:rsid w:val="00B716D0"/>
    <w:rsid w:val="00B7272F"/>
    <w:rsid w:val="00B736BC"/>
    <w:rsid w:val="00B75083"/>
    <w:rsid w:val="00B7511C"/>
    <w:rsid w:val="00B75560"/>
    <w:rsid w:val="00B7578C"/>
    <w:rsid w:val="00B765EA"/>
    <w:rsid w:val="00B76E84"/>
    <w:rsid w:val="00B76FBE"/>
    <w:rsid w:val="00B772A3"/>
    <w:rsid w:val="00B775F0"/>
    <w:rsid w:val="00B77BF9"/>
    <w:rsid w:val="00B803D2"/>
    <w:rsid w:val="00B8070F"/>
    <w:rsid w:val="00B80717"/>
    <w:rsid w:val="00B80AC2"/>
    <w:rsid w:val="00B80FCD"/>
    <w:rsid w:val="00B8184E"/>
    <w:rsid w:val="00B82122"/>
    <w:rsid w:val="00B82A09"/>
    <w:rsid w:val="00B82BE6"/>
    <w:rsid w:val="00B82EF2"/>
    <w:rsid w:val="00B82FC1"/>
    <w:rsid w:val="00B83C3B"/>
    <w:rsid w:val="00B843A0"/>
    <w:rsid w:val="00B84B73"/>
    <w:rsid w:val="00B85082"/>
    <w:rsid w:val="00B86160"/>
    <w:rsid w:val="00B866C5"/>
    <w:rsid w:val="00B90A98"/>
    <w:rsid w:val="00B9253D"/>
    <w:rsid w:val="00B925AC"/>
    <w:rsid w:val="00B926D5"/>
    <w:rsid w:val="00B9322D"/>
    <w:rsid w:val="00B933DD"/>
    <w:rsid w:val="00B935AE"/>
    <w:rsid w:val="00B93D38"/>
    <w:rsid w:val="00B93FC6"/>
    <w:rsid w:val="00B94298"/>
    <w:rsid w:val="00B9482C"/>
    <w:rsid w:val="00B9562F"/>
    <w:rsid w:val="00B95CAC"/>
    <w:rsid w:val="00B96CAF"/>
    <w:rsid w:val="00BA08B0"/>
    <w:rsid w:val="00BA0A65"/>
    <w:rsid w:val="00BA0D1D"/>
    <w:rsid w:val="00BA12A8"/>
    <w:rsid w:val="00BA141E"/>
    <w:rsid w:val="00BA1814"/>
    <w:rsid w:val="00BA20C5"/>
    <w:rsid w:val="00BA227D"/>
    <w:rsid w:val="00BA2415"/>
    <w:rsid w:val="00BA2940"/>
    <w:rsid w:val="00BA2C68"/>
    <w:rsid w:val="00BA345B"/>
    <w:rsid w:val="00BA348F"/>
    <w:rsid w:val="00BA3C43"/>
    <w:rsid w:val="00BA3C57"/>
    <w:rsid w:val="00BA4AA5"/>
    <w:rsid w:val="00BA4E5A"/>
    <w:rsid w:val="00BA50BE"/>
    <w:rsid w:val="00BA517E"/>
    <w:rsid w:val="00BA5B74"/>
    <w:rsid w:val="00BA5BFD"/>
    <w:rsid w:val="00BA5D5E"/>
    <w:rsid w:val="00BA60C6"/>
    <w:rsid w:val="00BA68DE"/>
    <w:rsid w:val="00BA70F5"/>
    <w:rsid w:val="00BA78F4"/>
    <w:rsid w:val="00BB0900"/>
    <w:rsid w:val="00BB142C"/>
    <w:rsid w:val="00BB1650"/>
    <w:rsid w:val="00BB2115"/>
    <w:rsid w:val="00BB246A"/>
    <w:rsid w:val="00BB2BBC"/>
    <w:rsid w:val="00BB38C5"/>
    <w:rsid w:val="00BB3AA0"/>
    <w:rsid w:val="00BB3B57"/>
    <w:rsid w:val="00BB3C57"/>
    <w:rsid w:val="00BB4B82"/>
    <w:rsid w:val="00BB4E11"/>
    <w:rsid w:val="00BB5AE0"/>
    <w:rsid w:val="00BB6770"/>
    <w:rsid w:val="00BB75FB"/>
    <w:rsid w:val="00BB778E"/>
    <w:rsid w:val="00BB7B3A"/>
    <w:rsid w:val="00BB7EE6"/>
    <w:rsid w:val="00BC05A1"/>
    <w:rsid w:val="00BC0AA3"/>
    <w:rsid w:val="00BC11A4"/>
    <w:rsid w:val="00BC155F"/>
    <w:rsid w:val="00BC173F"/>
    <w:rsid w:val="00BC194B"/>
    <w:rsid w:val="00BC1FB8"/>
    <w:rsid w:val="00BC22BE"/>
    <w:rsid w:val="00BC25EF"/>
    <w:rsid w:val="00BC2D1A"/>
    <w:rsid w:val="00BC3540"/>
    <w:rsid w:val="00BC3C4E"/>
    <w:rsid w:val="00BC3C5D"/>
    <w:rsid w:val="00BC4962"/>
    <w:rsid w:val="00BC4C4F"/>
    <w:rsid w:val="00BC58F6"/>
    <w:rsid w:val="00BC5A30"/>
    <w:rsid w:val="00BC5C5F"/>
    <w:rsid w:val="00BC6154"/>
    <w:rsid w:val="00BC6558"/>
    <w:rsid w:val="00BC6C8C"/>
    <w:rsid w:val="00BC7238"/>
    <w:rsid w:val="00BC7396"/>
    <w:rsid w:val="00BC75BF"/>
    <w:rsid w:val="00BC7DAC"/>
    <w:rsid w:val="00BC7F9B"/>
    <w:rsid w:val="00BC7FC5"/>
    <w:rsid w:val="00BD0A7F"/>
    <w:rsid w:val="00BD10AF"/>
    <w:rsid w:val="00BD112B"/>
    <w:rsid w:val="00BD166D"/>
    <w:rsid w:val="00BD16AC"/>
    <w:rsid w:val="00BD199D"/>
    <w:rsid w:val="00BD1F67"/>
    <w:rsid w:val="00BD2C84"/>
    <w:rsid w:val="00BD2F58"/>
    <w:rsid w:val="00BD3122"/>
    <w:rsid w:val="00BD39AC"/>
    <w:rsid w:val="00BD3A31"/>
    <w:rsid w:val="00BD44CC"/>
    <w:rsid w:val="00BD46C4"/>
    <w:rsid w:val="00BD477A"/>
    <w:rsid w:val="00BD483B"/>
    <w:rsid w:val="00BD59F9"/>
    <w:rsid w:val="00BD5AB0"/>
    <w:rsid w:val="00BD5D43"/>
    <w:rsid w:val="00BD5E1D"/>
    <w:rsid w:val="00BD5F0A"/>
    <w:rsid w:val="00BD6111"/>
    <w:rsid w:val="00BD6615"/>
    <w:rsid w:val="00BD6853"/>
    <w:rsid w:val="00BD752B"/>
    <w:rsid w:val="00BD7634"/>
    <w:rsid w:val="00BD77DA"/>
    <w:rsid w:val="00BE013E"/>
    <w:rsid w:val="00BE021F"/>
    <w:rsid w:val="00BE02F8"/>
    <w:rsid w:val="00BE0418"/>
    <w:rsid w:val="00BE06EE"/>
    <w:rsid w:val="00BE29BE"/>
    <w:rsid w:val="00BE2FC5"/>
    <w:rsid w:val="00BE353F"/>
    <w:rsid w:val="00BE3547"/>
    <w:rsid w:val="00BE370B"/>
    <w:rsid w:val="00BE3DB0"/>
    <w:rsid w:val="00BE438C"/>
    <w:rsid w:val="00BE43C1"/>
    <w:rsid w:val="00BE4691"/>
    <w:rsid w:val="00BE4BA2"/>
    <w:rsid w:val="00BE5117"/>
    <w:rsid w:val="00BE5DCE"/>
    <w:rsid w:val="00BE6205"/>
    <w:rsid w:val="00BE6A78"/>
    <w:rsid w:val="00BE6AB5"/>
    <w:rsid w:val="00BE7360"/>
    <w:rsid w:val="00BE7BCC"/>
    <w:rsid w:val="00BE7E46"/>
    <w:rsid w:val="00BF04BD"/>
    <w:rsid w:val="00BF0ADB"/>
    <w:rsid w:val="00BF12F6"/>
    <w:rsid w:val="00BF1AFD"/>
    <w:rsid w:val="00BF1B84"/>
    <w:rsid w:val="00BF1F20"/>
    <w:rsid w:val="00BF2011"/>
    <w:rsid w:val="00BF23F1"/>
    <w:rsid w:val="00BF2904"/>
    <w:rsid w:val="00BF2AD8"/>
    <w:rsid w:val="00BF365A"/>
    <w:rsid w:val="00BF38C9"/>
    <w:rsid w:val="00BF4B0C"/>
    <w:rsid w:val="00BF4E3E"/>
    <w:rsid w:val="00BF4F6F"/>
    <w:rsid w:val="00BF56F5"/>
    <w:rsid w:val="00BF607A"/>
    <w:rsid w:val="00BF6B67"/>
    <w:rsid w:val="00BF6D00"/>
    <w:rsid w:val="00BF6D81"/>
    <w:rsid w:val="00BF6F55"/>
    <w:rsid w:val="00BF75F7"/>
    <w:rsid w:val="00C00937"/>
    <w:rsid w:val="00C00A5E"/>
    <w:rsid w:val="00C00DBF"/>
    <w:rsid w:val="00C013FF"/>
    <w:rsid w:val="00C01584"/>
    <w:rsid w:val="00C0166D"/>
    <w:rsid w:val="00C016A4"/>
    <w:rsid w:val="00C02073"/>
    <w:rsid w:val="00C02482"/>
    <w:rsid w:val="00C02483"/>
    <w:rsid w:val="00C0261D"/>
    <w:rsid w:val="00C0270D"/>
    <w:rsid w:val="00C02BC0"/>
    <w:rsid w:val="00C0352D"/>
    <w:rsid w:val="00C036B4"/>
    <w:rsid w:val="00C03758"/>
    <w:rsid w:val="00C03A34"/>
    <w:rsid w:val="00C054B0"/>
    <w:rsid w:val="00C0576F"/>
    <w:rsid w:val="00C05F50"/>
    <w:rsid w:val="00C0654A"/>
    <w:rsid w:val="00C0707E"/>
    <w:rsid w:val="00C10270"/>
    <w:rsid w:val="00C107DB"/>
    <w:rsid w:val="00C10EDF"/>
    <w:rsid w:val="00C115AD"/>
    <w:rsid w:val="00C11979"/>
    <w:rsid w:val="00C11A30"/>
    <w:rsid w:val="00C11B92"/>
    <w:rsid w:val="00C11F01"/>
    <w:rsid w:val="00C120C7"/>
    <w:rsid w:val="00C122A2"/>
    <w:rsid w:val="00C12AD5"/>
    <w:rsid w:val="00C1353A"/>
    <w:rsid w:val="00C14F0A"/>
    <w:rsid w:val="00C1522B"/>
    <w:rsid w:val="00C157BA"/>
    <w:rsid w:val="00C16077"/>
    <w:rsid w:val="00C16376"/>
    <w:rsid w:val="00C165EB"/>
    <w:rsid w:val="00C20483"/>
    <w:rsid w:val="00C2097F"/>
    <w:rsid w:val="00C20B2E"/>
    <w:rsid w:val="00C20EC2"/>
    <w:rsid w:val="00C21157"/>
    <w:rsid w:val="00C21B3A"/>
    <w:rsid w:val="00C22540"/>
    <w:rsid w:val="00C22CDD"/>
    <w:rsid w:val="00C233C7"/>
    <w:rsid w:val="00C2384A"/>
    <w:rsid w:val="00C23A80"/>
    <w:rsid w:val="00C23D4D"/>
    <w:rsid w:val="00C243F2"/>
    <w:rsid w:val="00C25655"/>
    <w:rsid w:val="00C26911"/>
    <w:rsid w:val="00C26B6B"/>
    <w:rsid w:val="00C26F3D"/>
    <w:rsid w:val="00C26F7B"/>
    <w:rsid w:val="00C26FDA"/>
    <w:rsid w:val="00C273E5"/>
    <w:rsid w:val="00C308D1"/>
    <w:rsid w:val="00C31124"/>
    <w:rsid w:val="00C3125E"/>
    <w:rsid w:val="00C312F3"/>
    <w:rsid w:val="00C31912"/>
    <w:rsid w:val="00C31A1C"/>
    <w:rsid w:val="00C31BBD"/>
    <w:rsid w:val="00C31FF5"/>
    <w:rsid w:val="00C3212D"/>
    <w:rsid w:val="00C32CB4"/>
    <w:rsid w:val="00C333B9"/>
    <w:rsid w:val="00C33C52"/>
    <w:rsid w:val="00C33C76"/>
    <w:rsid w:val="00C342D9"/>
    <w:rsid w:val="00C34465"/>
    <w:rsid w:val="00C345F9"/>
    <w:rsid w:val="00C34B80"/>
    <w:rsid w:val="00C34BBB"/>
    <w:rsid w:val="00C34D6F"/>
    <w:rsid w:val="00C34F68"/>
    <w:rsid w:val="00C351C2"/>
    <w:rsid w:val="00C35329"/>
    <w:rsid w:val="00C35AAC"/>
    <w:rsid w:val="00C35FC0"/>
    <w:rsid w:val="00C36DCF"/>
    <w:rsid w:val="00C37150"/>
    <w:rsid w:val="00C3739F"/>
    <w:rsid w:val="00C37569"/>
    <w:rsid w:val="00C37683"/>
    <w:rsid w:val="00C378FE"/>
    <w:rsid w:val="00C3796D"/>
    <w:rsid w:val="00C379F0"/>
    <w:rsid w:val="00C37A31"/>
    <w:rsid w:val="00C40851"/>
    <w:rsid w:val="00C41292"/>
    <w:rsid w:val="00C41ACC"/>
    <w:rsid w:val="00C421BF"/>
    <w:rsid w:val="00C42D1E"/>
    <w:rsid w:val="00C42D72"/>
    <w:rsid w:val="00C432D0"/>
    <w:rsid w:val="00C433FA"/>
    <w:rsid w:val="00C438C6"/>
    <w:rsid w:val="00C43B80"/>
    <w:rsid w:val="00C44248"/>
    <w:rsid w:val="00C446EE"/>
    <w:rsid w:val="00C44824"/>
    <w:rsid w:val="00C455B9"/>
    <w:rsid w:val="00C46A11"/>
    <w:rsid w:val="00C46C03"/>
    <w:rsid w:val="00C472C6"/>
    <w:rsid w:val="00C47812"/>
    <w:rsid w:val="00C47EF6"/>
    <w:rsid w:val="00C50549"/>
    <w:rsid w:val="00C50C47"/>
    <w:rsid w:val="00C51762"/>
    <w:rsid w:val="00C5256C"/>
    <w:rsid w:val="00C525D8"/>
    <w:rsid w:val="00C525F8"/>
    <w:rsid w:val="00C52663"/>
    <w:rsid w:val="00C533F1"/>
    <w:rsid w:val="00C53ABF"/>
    <w:rsid w:val="00C53C72"/>
    <w:rsid w:val="00C53D40"/>
    <w:rsid w:val="00C54594"/>
    <w:rsid w:val="00C5533E"/>
    <w:rsid w:val="00C55355"/>
    <w:rsid w:val="00C56295"/>
    <w:rsid w:val="00C56716"/>
    <w:rsid w:val="00C56BCF"/>
    <w:rsid w:val="00C56E15"/>
    <w:rsid w:val="00C57765"/>
    <w:rsid w:val="00C57AC7"/>
    <w:rsid w:val="00C57B28"/>
    <w:rsid w:val="00C57BFF"/>
    <w:rsid w:val="00C57ED4"/>
    <w:rsid w:val="00C57FB4"/>
    <w:rsid w:val="00C600BF"/>
    <w:rsid w:val="00C60369"/>
    <w:rsid w:val="00C603E2"/>
    <w:rsid w:val="00C60BA2"/>
    <w:rsid w:val="00C60ED1"/>
    <w:rsid w:val="00C6105D"/>
    <w:rsid w:val="00C61438"/>
    <w:rsid w:val="00C61CB8"/>
    <w:rsid w:val="00C61F74"/>
    <w:rsid w:val="00C624F3"/>
    <w:rsid w:val="00C6312C"/>
    <w:rsid w:val="00C63A39"/>
    <w:rsid w:val="00C657B8"/>
    <w:rsid w:val="00C6638D"/>
    <w:rsid w:val="00C66F36"/>
    <w:rsid w:val="00C67158"/>
    <w:rsid w:val="00C67840"/>
    <w:rsid w:val="00C67994"/>
    <w:rsid w:val="00C67A51"/>
    <w:rsid w:val="00C70EF2"/>
    <w:rsid w:val="00C70FF6"/>
    <w:rsid w:val="00C7142B"/>
    <w:rsid w:val="00C716C4"/>
    <w:rsid w:val="00C71AD1"/>
    <w:rsid w:val="00C72385"/>
    <w:rsid w:val="00C727D0"/>
    <w:rsid w:val="00C729F8"/>
    <w:rsid w:val="00C72CA7"/>
    <w:rsid w:val="00C72F93"/>
    <w:rsid w:val="00C731B2"/>
    <w:rsid w:val="00C73475"/>
    <w:rsid w:val="00C739C0"/>
    <w:rsid w:val="00C739D9"/>
    <w:rsid w:val="00C73C37"/>
    <w:rsid w:val="00C73D1A"/>
    <w:rsid w:val="00C74434"/>
    <w:rsid w:val="00C749AC"/>
    <w:rsid w:val="00C76206"/>
    <w:rsid w:val="00C76BF4"/>
    <w:rsid w:val="00C773CC"/>
    <w:rsid w:val="00C77E80"/>
    <w:rsid w:val="00C80060"/>
    <w:rsid w:val="00C8078A"/>
    <w:rsid w:val="00C8099C"/>
    <w:rsid w:val="00C81115"/>
    <w:rsid w:val="00C815D3"/>
    <w:rsid w:val="00C81746"/>
    <w:rsid w:val="00C81AC3"/>
    <w:rsid w:val="00C81E08"/>
    <w:rsid w:val="00C8219E"/>
    <w:rsid w:val="00C82C17"/>
    <w:rsid w:val="00C836EC"/>
    <w:rsid w:val="00C84702"/>
    <w:rsid w:val="00C84FB3"/>
    <w:rsid w:val="00C85103"/>
    <w:rsid w:val="00C8575F"/>
    <w:rsid w:val="00C857EF"/>
    <w:rsid w:val="00C86699"/>
    <w:rsid w:val="00C86A59"/>
    <w:rsid w:val="00C87F5A"/>
    <w:rsid w:val="00C9000A"/>
    <w:rsid w:val="00C900D6"/>
    <w:rsid w:val="00C903FB"/>
    <w:rsid w:val="00C906C3"/>
    <w:rsid w:val="00C90868"/>
    <w:rsid w:val="00C911A8"/>
    <w:rsid w:val="00C91304"/>
    <w:rsid w:val="00C91354"/>
    <w:rsid w:val="00C91CB2"/>
    <w:rsid w:val="00C91D40"/>
    <w:rsid w:val="00C9333C"/>
    <w:rsid w:val="00C941A9"/>
    <w:rsid w:val="00C949D7"/>
    <w:rsid w:val="00C94D02"/>
    <w:rsid w:val="00C95297"/>
    <w:rsid w:val="00C9541D"/>
    <w:rsid w:val="00C95AE7"/>
    <w:rsid w:val="00C95EBF"/>
    <w:rsid w:val="00C96046"/>
    <w:rsid w:val="00C96CCC"/>
    <w:rsid w:val="00C96EB8"/>
    <w:rsid w:val="00C97487"/>
    <w:rsid w:val="00C97CF9"/>
    <w:rsid w:val="00CA055B"/>
    <w:rsid w:val="00CA1D28"/>
    <w:rsid w:val="00CA233F"/>
    <w:rsid w:val="00CA2C3D"/>
    <w:rsid w:val="00CA2F35"/>
    <w:rsid w:val="00CA317C"/>
    <w:rsid w:val="00CA354F"/>
    <w:rsid w:val="00CA39B7"/>
    <w:rsid w:val="00CA3A73"/>
    <w:rsid w:val="00CA3BEE"/>
    <w:rsid w:val="00CA3E7D"/>
    <w:rsid w:val="00CA4BB2"/>
    <w:rsid w:val="00CA57FA"/>
    <w:rsid w:val="00CA60A5"/>
    <w:rsid w:val="00CA65B6"/>
    <w:rsid w:val="00CA73B9"/>
    <w:rsid w:val="00CA744A"/>
    <w:rsid w:val="00CA7B7E"/>
    <w:rsid w:val="00CB067F"/>
    <w:rsid w:val="00CB0758"/>
    <w:rsid w:val="00CB0A12"/>
    <w:rsid w:val="00CB0F13"/>
    <w:rsid w:val="00CB11DE"/>
    <w:rsid w:val="00CB19A2"/>
    <w:rsid w:val="00CB1EB9"/>
    <w:rsid w:val="00CB236A"/>
    <w:rsid w:val="00CB262E"/>
    <w:rsid w:val="00CB2B2C"/>
    <w:rsid w:val="00CB2FB0"/>
    <w:rsid w:val="00CB32BC"/>
    <w:rsid w:val="00CB3488"/>
    <w:rsid w:val="00CB3698"/>
    <w:rsid w:val="00CB3819"/>
    <w:rsid w:val="00CB393F"/>
    <w:rsid w:val="00CB46C0"/>
    <w:rsid w:val="00CB51CA"/>
    <w:rsid w:val="00CB5426"/>
    <w:rsid w:val="00CB5790"/>
    <w:rsid w:val="00CB59DA"/>
    <w:rsid w:val="00CB6081"/>
    <w:rsid w:val="00CB6354"/>
    <w:rsid w:val="00CB65C4"/>
    <w:rsid w:val="00CB6971"/>
    <w:rsid w:val="00CB6F6A"/>
    <w:rsid w:val="00CB7092"/>
    <w:rsid w:val="00CB726A"/>
    <w:rsid w:val="00CB740F"/>
    <w:rsid w:val="00CB74D7"/>
    <w:rsid w:val="00CB7518"/>
    <w:rsid w:val="00CB78A2"/>
    <w:rsid w:val="00CB79DB"/>
    <w:rsid w:val="00CB7F4A"/>
    <w:rsid w:val="00CC016F"/>
    <w:rsid w:val="00CC0468"/>
    <w:rsid w:val="00CC0D7F"/>
    <w:rsid w:val="00CC0F87"/>
    <w:rsid w:val="00CC1563"/>
    <w:rsid w:val="00CC18B0"/>
    <w:rsid w:val="00CC18E1"/>
    <w:rsid w:val="00CC1B0C"/>
    <w:rsid w:val="00CC26D9"/>
    <w:rsid w:val="00CC30E8"/>
    <w:rsid w:val="00CC333D"/>
    <w:rsid w:val="00CC3CF5"/>
    <w:rsid w:val="00CC41C2"/>
    <w:rsid w:val="00CC4698"/>
    <w:rsid w:val="00CC4966"/>
    <w:rsid w:val="00CC4FF2"/>
    <w:rsid w:val="00CC55D7"/>
    <w:rsid w:val="00CC57D1"/>
    <w:rsid w:val="00CC5DC7"/>
    <w:rsid w:val="00CC609C"/>
    <w:rsid w:val="00CC6111"/>
    <w:rsid w:val="00CC6313"/>
    <w:rsid w:val="00CC6648"/>
    <w:rsid w:val="00CC67FD"/>
    <w:rsid w:val="00CC6987"/>
    <w:rsid w:val="00CC797A"/>
    <w:rsid w:val="00CC7A79"/>
    <w:rsid w:val="00CD08E8"/>
    <w:rsid w:val="00CD0CAD"/>
    <w:rsid w:val="00CD1283"/>
    <w:rsid w:val="00CD178F"/>
    <w:rsid w:val="00CD2F7E"/>
    <w:rsid w:val="00CD3332"/>
    <w:rsid w:val="00CD366B"/>
    <w:rsid w:val="00CD3F96"/>
    <w:rsid w:val="00CD505C"/>
    <w:rsid w:val="00CD5635"/>
    <w:rsid w:val="00CD564C"/>
    <w:rsid w:val="00CD570D"/>
    <w:rsid w:val="00CD5789"/>
    <w:rsid w:val="00CD61C3"/>
    <w:rsid w:val="00CD6260"/>
    <w:rsid w:val="00CD6AF5"/>
    <w:rsid w:val="00CD7158"/>
    <w:rsid w:val="00CD755D"/>
    <w:rsid w:val="00CD762D"/>
    <w:rsid w:val="00CD7C8F"/>
    <w:rsid w:val="00CE0878"/>
    <w:rsid w:val="00CE09D3"/>
    <w:rsid w:val="00CE0DD8"/>
    <w:rsid w:val="00CE139A"/>
    <w:rsid w:val="00CE1D5D"/>
    <w:rsid w:val="00CE25F3"/>
    <w:rsid w:val="00CE26FE"/>
    <w:rsid w:val="00CE2B66"/>
    <w:rsid w:val="00CE485D"/>
    <w:rsid w:val="00CE48EC"/>
    <w:rsid w:val="00CE49B2"/>
    <w:rsid w:val="00CE4A41"/>
    <w:rsid w:val="00CE51BB"/>
    <w:rsid w:val="00CE7277"/>
    <w:rsid w:val="00CE7525"/>
    <w:rsid w:val="00CE76A3"/>
    <w:rsid w:val="00CE7AD4"/>
    <w:rsid w:val="00CE7C8A"/>
    <w:rsid w:val="00CE7D9A"/>
    <w:rsid w:val="00CF0096"/>
    <w:rsid w:val="00CF0A8E"/>
    <w:rsid w:val="00CF114C"/>
    <w:rsid w:val="00CF17B5"/>
    <w:rsid w:val="00CF1FD8"/>
    <w:rsid w:val="00CF29B6"/>
    <w:rsid w:val="00CF2D92"/>
    <w:rsid w:val="00CF2F39"/>
    <w:rsid w:val="00CF3A85"/>
    <w:rsid w:val="00CF3DBD"/>
    <w:rsid w:val="00CF3E9F"/>
    <w:rsid w:val="00CF4233"/>
    <w:rsid w:val="00CF4EE4"/>
    <w:rsid w:val="00CF56B4"/>
    <w:rsid w:val="00CF5F72"/>
    <w:rsid w:val="00CF6655"/>
    <w:rsid w:val="00CF6A91"/>
    <w:rsid w:val="00CF7124"/>
    <w:rsid w:val="00CF740B"/>
    <w:rsid w:val="00CF75DB"/>
    <w:rsid w:val="00CF7A8C"/>
    <w:rsid w:val="00CF7FEE"/>
    <w:rsid w:val="00D0021A"/>
    <w:rsid w:val="00D00B13"/>
    <w:rsid w:val="00D00DBC"/>
    <w:rsid w:val="00D015FE"/>
    <w:rsid w:val="00D02363"/>
    <w:rsid w:val="00D02790"/>
    <w:rsid w:val="00D02CF9"/>
    <w:rsid w:val="00D031EE"/>
    <w:rsid w:val="00D0324F"/>
    <w:rsid w:val="00D03D49"/>
    <w:rsid w:val="00D04041"/>
    <w:rsid w:val="00D045F2"/>
    <w:rsid w:val="00D0489B"/>
    <w:rsid w:val="00D06249"/>
    <w:rsid w:val="00D06408"/>
    <w:rsid w:val="00D07806"/>
    <w:rsid w:val="00D07B09"/>
    <w:rsid w:val="00D07B5A"/>
    <w:rsid w:val="00D07CAA"/>
    <w:rsid w:val="00D07EF4"/>
    <w:rsid w:val="00D1168F"/>
    <w:rsid w:val="00D119ED"/>
    <w:rsid w:val="00D11BE1"/>
    <w:rsid w:val="00D11BFC"/>
    <w:rsid w:val="00D11E16"/>
    <w:rsid w:val="00D125D9"/>
    <w:rsid w:val="00D138E9"/>
    <w:rsid w:val="00D13FC9"/>
    <w:rsid w:val="00D1488F"/>
    <w:rsid w:val="00D14C0B"/>
    <w:rsid w:val="00D14C40"/>
    <w:rsid w:val="00D14C4A"/>
    <w:rsid w:val="00D15F6D"/>
    <w:rsid w:val="00D16063"/>
    <w:rsid w:val="00D169EC"/>
    <w:rsid w:val="00D169ED"/>
    <w:rsid w:val="00D16DCE"/>
    <w:rsid w:val="00D171FE"/>
    <w:rsid w:val="00D17578"/>
    <w:rsid w:val="00D17BCE"/>
    <w:rsid w:val="00D17DCB"/>
    <w:rsid w:val="00D201E1"/>
    <w:rsid w:val="00D2035B"/>
    <w:rsid w:val="00D2051C"/>
    <w:rsid w:val="00D20960"/>
    <w:rsid w:val="00D212CC"/>
    <w:rsid w:val="00D21613"/>
    <w:rsid w:val="00D21628"/>
    <w:rsid w:val="00D21A3A"/>
    <w:rsid w:val="00D21EBD"/>
    <w:rsid w:val="00D22937"/>
    <w:rsid w:val="00D22AF4"/>
    <w:rsid w:val="00D23004"/>
    <w:rsid w:val="00D236D9"/>
    <w:rsid w:val="00D238E5"/>
    <w:rsid w:val="00D238E9"/>
    <w:rsid w:val="00D241DA"/>
    <w:rsid w:val="00D253CA"/>
    <w:rsid w:val="00D25ED4"/>
    <w:rsid w:val="00D264E4"/>
    <w:rsid w:val="00D267E3"/>
    <w:rsid w:val="00D26D27"/>
    <w:rsid w:val="00D278AE"/>
    <w:rsid w:val="00D27AF3"/>
    <w:rsid w:val="00D301E0"/>
    <w:rsid w:val="00D3052D"/>
    <w:rsid w:val="00D306CF"/>
    <w:rsid w:val="00D30954"/>
    <w:rsid w:val="00D3179F"/>
    <w:rsid w:val="00D32262"/>
    <w:rsid w:val="00D3230F"/>
    <w:rsid w:val="00D32972"/>
    <w:rsid w:val="00D3331E"/>
    <w:rsid w:val="00D335AF"/>
    <w:rsid w:val="00D345CA"/>
    <w:rsid w:val="00D349BF"/>
    <w:rsid w:val="00D349DF"/>
    <w:rsid w:val="00D34B94"/>
    <w:rsid w:val="00D34EAD"/>
    <w:rsid w:val="00D358AE"/>
    <w:rsid w:val="00D35B72"/>
    <w:rsid w:val="00D35BF5"/>
    <w:rsid w:val="00D36C30"/>
    <w:rsid w:val="00D371D3"/>
    <w:rsid w:val="00D3732B"/>
    <w:rsid w:val="00D3753B"/>
    <w:rsid w:val="00D3754F"/>
    <w:rsid w:val="00D37FE4"/>
    <w:rsid w:val="00D4000E"/>
    <w:rsid w:val="00D40320"/>
    <w:rsid w:val="00D404C0"/>
    <w:rsid w:val="00D40577"/>
    <w:rsid w:val="00D409C2"/>
    <w:rsid w:val="00D409D1"/>
    <w:rsid w:val="00D41478"/>
    <w:rsid w:val="00D41480"/>
    <w:rsid w:val="00D417A3"/>
    <w:rsid w:val="00D417DC"/>
    <w:rsid w:val="00D41CBA"/>
    <w:rsid w:val="00D41E53"/>
    <w:rsid w:val="00D4214A"/>
    <w:rsid w:val="00D42AD8"/>
    <w:rsid w:val="00D43282"/>
    <w:rsid w:val="00D43373"/>
    <w:rsid w:val="00D441C3"/>
    <w:rsid w:val="00D44270"/>
    <w:rsid w:val="00D44CEC"/>
    <w:rsid w:val="00D45A54"/>
    <w:rsid w:val="00D45B0C"/>
    <w:rsid w:val="00D45B5D"/>
    <w:rsid w:val="00D460A7"/>
    <w:rsid w:val="00D462C0"/>
    <w:rsid w:val="00D46B81"/>
    <w:rsid w:val="00D46F90"/>
    <w:rsid w:val="00D473E8"/>
    <w:rsid w:val="00D47B02"/>
    <w:rsid w:val="00D50A35"/>
    <w:rsid w:val="00D51A2F"/>
    <w:rsid w:val="00D51A50"/>
    <w:rsid w:val="00D51BCA"/>
    <w:rsid w:val="00D51DB2"/>
    <w:rsid w:val="00D520A3"/>
    <w:rsid w:val="00D527C9"/>
    <w:rsid w:val="00D53810"/>
    <w:rsid w:val="00D544A5"/>
    <w:rsid w:val="00D546DD"/>
    <w:rsid w:val="00D55011"/>
    <w:rsid w:val="00D55314"/>
    <w:rsid w:val="00D5557C"/>
    <w:rsid w:val="00D55C7D"/>
    <w:rsid w:val="00D56364"/>
    <w:rsid w:val="00D56E50"/>
    <w:rsid w:val="00D56FA3"/>
    <w:rsid w:val="00D5711C"/>
    <w:rsid w:val="00D57958"/>
    <w:rsid w:val="00D57AEC"/>
    <w:rsid w:val="00D57CCD"/>
    <w:rsid w:val="00D605F0"/>
    <w:rsid w:val="00D6070E"/>
    <w:rsid w:val="00D60796"/>
    <w:rsid w:val="00D611A0"/>
    <w:rsid w:val="00D61441"/>
    <w:rsid w:val="00D616AA"/>
    <w:rsid w:val="00D61BB6"/>
    <w:rsid w:val="00D61E88"/>
    <w:rsid w:val="00D6214C"/>
    <w:rsid w:val="00D623D4"/>
    <w:rsid w:val="00D62663"/>
    <w:rsid w:val="00D629ED"/>
    <w:rsid w:val="00D62CE2"/>
    <w:rsid w:val="00D62FEE"/>
    <w:rsid w:val="00D63024"/>
    <w:rsid w:val="00D631F4"/>
    <w:rsid w:val="00D63A23"/>
    <w:rsid w:val="00D63E23"/>
    <w:rsid w:val="00D6413B"/>
    <w:rsid w:val="00D64298"/>
    <w:rsid w:val="00D646F1"/>
    <w:rsid w:val="00D652C2"/>
    <w:rsid w:val="00D654ED"/>
    <w:rsid w:val="00D65DF5"/>
    <w:rsid w:val="00D66042"/>
    <w:rsid w:val="00D667D1"/>
    <w:rsid w:val="00D66BB3"/>
    <w:rsid w:val="00D66C05"/>
    <w:rsid w:val="00D67523"/>
    <w:rsid w:val="00D67569"/>
    <w:rsid w:val="00D67685"/>
    <w:rsid w:val="00D67BBA"/>
    <w:rsid w:val="00D67D19"/>
    <w:rsid w:val="00D70BB2"/>
    <w:rsid w:val="00D70BF2"/>
    <w:rsid w:val="00D70C27"/>
    <w:rsid w:val="00D70FA5"/>
    <w:rsid w:val="00D7145B"/>
    <w:rsid w:val="00D7192C"/>
    <w:rsid w:val="00D71A82"/>
    <w:rsid w:val="00D71C3E"/>
    <w:rsid w:val="00D71D4A"/>
    <w:rsid w:val="00D71E99"/>
    <w:rsid w:val="00D724B3"/>
    <w:rsid w:val="00D73E1C"/>
    <w:rsid w:val="00D7651F"/>
    <w:rsid w:val="00D76626"/>
    <w:rsid w:val="00D76A82"/>
    <w:rsid w:val="00D76D0B"/>
    <w:rsid w:val="00D77796"/>
    <w:rsid w:val="00D77C5A"/>
    <w:rsid w:val="00D8072A"/>
    <w:rsid w:val="00D80857"/>
    <w:rsid w:val="00D8108F"/>
    <w:rsid w:val="00D8117E"/>
    <w:rsid w:val="00D8168C"/>
    <w:rsid w:val="00D81A4D"/>
    <w:rsid w:val="00D82F1E"/>
    <w:rsid w:val="00D83467"/>
    <w:rsid w:val="00D83715"/>
    <w:rsid w:val="00D8388F"/>
    <w:rsid w:val="00D83ED8"/>
    <w:rsid w:val="00D847D9"/>
    <w:rsid w:val="00D86BBB"/>
    <w:rsid w:val="00D87160"/>
    <w:rsid w:val="00D908D5"/>
    <w:rsid w:val="00D9134A"/>
    <w:rsid w:val="00D919DF"/>
    <w:rsid w:val="00D91AA5"/>
    <w:rsid w:val="00D91D40"/>
    <w:rsid w:val="00D92247"/>
    <w:rsid w:val="00D92307"/>
    <w:rsid w:val="00D926AF"/>
    <w:rsid w:val="00D92D7A"/>
    <w:rsid w:val="00D934DB"/>
    <w:rsid w:val="00D93728"/>
    <w:rsid w:val="00D938CA"/>
    <w:rsid w:val="00D93BBF"/>
    <w:rsid w:val="00D94483"/>
    <w:rsid w:val="00D95328"/>
    <w:rsid w:val="00D95BF7"/>
    <w:rsid w:val="00D9611E"/>
    <w:rsid w:val="00D96AEF"/>
    <w:rsid w:val="00D9708D"/>
    <w:rsid w:val="00D972D5"/>
    <w:rsid w:val="00D9740F"/>
    <w:rsid w:val="00D976A1"/>
    <w:rsid w:val="00D976B1"/>
    <w:rsid w:val="00D97CFA"/>
    <w:rsid w:val="00DA0238"/>
    <w:rsid w:val="00DA0384"/>
    <w:rsid w:val="00DA041D"/>
    <w:rsid w:val="00DA06E1"/>
    <w:rsid w:val="00DA09CC"/>
    <w:rsid w:val="00DA1CE4"/>
    <w:rsid w:val="00DA23ED"/>
    <w:rsid w:val="00DA25A9"/>
    <w:rsid w:val="00DA2D17"/>
    <w:rsid w:val="00DA2D7C"/>
    <w:rsid w:val="00DA3B48"/>
    <w:rsid w:val="00DA3FB9"/>
    <w:rsid w:val="00DA5F6E"/>
    <w:rsid w:val="00DA608F"/>
    <w:rsid w:val="00DA6278"/>
    <w:rsid w:val="00DA63C2"/>
    <w:rsid w:val="00DA6DE4"/>
    <w:rsid w:val="00DA7C69"/>
    <w:rsid w:val="00DB0394"/>
    <w:rsid w:val="00DB07DC"/>
    <w:rsid w:val="00DB0EA4"/>
    <w:rsid w:val="00DB0EF0"/>
    <w:rsid w:val="00DB0F12"/>
    <w:rsid w:val="00DB251F"/>
    <w:rsid w:val="00DB2FAB"/>
    <w:rsid w:val="00DB360B"/>
    <w:rsid w:val="00DB3B97"/>
    <w:rsid w:val="00DB3F59"/>
    <w:rsid w:val="00DB4244"/>
    <w:rsid w:val="00DB42B6"/>
    <w:rsid w:val="00DB42F9"/>
    <w:rsid w:val="00DB51F0"/>
    <w:rsid w:val="00DB549E"/>
    <w:rsid w:val="00DB5F7E"/>
    <w:rsid w:val="00DB5FC9"/>
    <w:rsid w:val="00DB612E"/>
    <w:rsid w:val="00DB6306"/>
    <w:rsid w:val="00DB63C4"/>
    <w:rsid w:val="00DB63E0"/>
    <w:rsid w:val="00DB689A"/>
    <w:rsid w:val="00DB697C"/>
    <w:rsid w:val="00DB6EBE"/>
    <w:rsid w:val="00DB76BF"/>
    <w:rsid w:val="00DB7F49"/>
    <w:rsid w:val="00DC05D9"/>
    <w:rsid w:val="00DC0B72"/>
    <w:rsid w:val="00DC0BC4"/>
    <w:rsid w:val="00DC14FD"/>
    <w:rsid w:val="00DC1521"/>
    <w:rsid w:val="00DC195C"/>
    <w:rsid w:val="00DC1E22"/>
    <w:rsid w:val="00DC20DC"/>
    <w:rsid w:val="00DC2E75"/>
    <w:rsid w:val="00DC2F8A"/>
    <w:rsid w:val="00DC3268"/>
    <w:rsid w:val="00DC4A98"/>
    <w:rsid w:val="00DC4F96"/>
    <w:rsid w:val="00DC558F"/>
    <w:rsid w:val="00DC5CB5"/>
    <w:rsid w:val="00DC5D33"/>
    <w:rsid w:val="00DC5D3B"/>
    <w:rsid w:val="00DC5DF9"/>
    <w:rsid w:val="00DC5E8C"/>
    <w:rsid w:val="00DC6098"/>
    <w:rsid w:val="00DC7501"/>
    <w:rsid w:val="00DC753A"/>
    <w:rsid w:val="00DC75BD"/>
    <w:rsid w:val="00DC7D40"/>
    <w:rsid w:val="00DC7DD5"/>
    <w:rsid w:val="00DD005C"/>
    <w:rsid w:val="00DD02DB"/>
    <w:rsid w:val="00DD0678"/>
    <w:rsid w:val="00DD1D72"/>
    <w:rsid w:val="00DD1DFA"/>
    <w:rsid w:val="00DD1F4D"/>
    <w:rsid w:val="00DD2C2B"/>
    <w:rsid w:val="00DD4241"/>
    <w:rsid w:val="00DD438E"/>
    <w:rsid w:val="00DD4453"/>
    <w:rsid w:val="00DD4A62"/>
    <w:rsid w:val="00DD4F8B"/>
    <w:rsid w:val="00DD5044"/>
    <w:rsid w:val="00DD5235"/>
    <w:rsid w:val="00DD5387"/>
    <w:rsid w:val="00DD5849"/>
    <w:rsid w:val="00DD69B2"/>
    <w:rsid w:val="00DD69F3"/>
    <w:rsid w:val="00DD7356"/>
    <w:rsid w:val="00DD7681"/>
    <w:rsid w:val="00DD7915"/>
    <w:rsid w:val="00DD7DF4"/>
    <w:rsid w:val="00DD7FD0"/>
    <w:rsid w:val="00DE00DC"/>
    <w:rsid w:val="00DE060F"/>
    <w:rsid w:val="00DE19D0"/>
    <w:rsid w:val="00DE1D59"/>
    <w:rsid w:val="00DE1E58"/>
    <w:rsid w:val="00DE36A3"/>
    <w:rsid w:val="00DE3BDA"/>
    <w:rsid w:val="00DE3CEC"/>
    <w:rsid w:val="00DE40A4"/>
    <w:rsid w:val="00DE429E"/>
    <w:rsid w:val="00DE45D5"/>
    <w:rsid w:val="00DE478D"/>
    <w:rsid w:val="00DE4AF8"/>
    <w:rsid w:val="00DE543B"/>
    <w:rsid w:val="00DE5F21"/>
    <w:rsid w:val="00DE6BBB"/>
    <w:rsid w:val="00DE77B5"/>
    <w:rsid w:val="00DE7853"/>
    <w:rsid w:val="00DE7ADC"/>
    <w:rsid w:val="00DF0006"/>
    <w:rsid w:val="00DF0160"/>
    <w:rsid w:val="00DF01A4"/>
    <w:rsid w:val="00DF022B"/>
    <w:rsid w:val="00DF0889"/>
    <w:rsid w:val="00DF09CD"/>
    <w:rsid w:val="00DF0F8B"/>
    <w:rsid w:val="00DF143C"/>
    <w:rsid w:val="00DF4977"/>
    <w:rsid w:val="00DF4EC5"/>
    <w:rsid w:val="00DF53A5"/>
    <w:rsid w:val="00DF54E5"/>
    <w:rsid w:val="00DF591D"/>
    <w:rsid w:val="00DF5A30"/>
    <w:rsid w:val="00DF5B7C"/>
    <w:rsid w:val="00DF5C9F"/>
    <w:rsid w:val="00DF5EC1"/>
    <w:rsid w:val="00DF6294"/>
    <w:rsid w:val="00DF7290"/>
    <w:rsid w:val="00DF75D1"/>
    <w:rsid w:val="00DF792B"/>
    <w:rsid w:val="00E003FA"/>
    <w:rsid w:val="00E0064B"/>
    <w:rsid w:val="00E008B7"/>
    <w:rsid w:val="00E009F1"/>
    <w:rsid w:val="00E00BEF"/>
    <w:rsid w:val="00E00CA0"/>
    <w:rsid w:val="00E01B38"/>
    <w:rsid w:val="00E01DEC"/>
    <w:rsid w:val="00E02021"/>
    <w:rsid w:val="00E02F9B"/>
    <w:rsid w:val="00E039B5"/>
    <w:rsid w:val="00E03C90"/>
    <w:rsid w:val="00E04257"/>
    <w:rsid w:val="00E04718"/>
    <w:rsid w:val="00E04746"/>
    <w:rsid w:val="00E04890"/>
    <w:rsid w:val="00E04B6F"/>
    <w:rsid w:val="00E04CDD"/>
    <w:rsid w:val="00E04DE1"/>
    <w:rsid w:val="00E058D0"/>
    <w:rsid w:val="00E058DB"/>
    <w:rsid w:val="00E063EC"/>
    <w:rsid w:val="00E06440"/>
    <w:rsid w:val="00E0669C"/>
    <w:rsid w:val="00E06852"/>
    <w:rsid w:val="00E06A52"/>
    <w:rsid w:val="00E07839"/>
    <w:rsid w:val="00E07FB1"/>
    <w:rsid w:val="00E102A2"/>
    <w:rsid w:val="00E103E1"/>
    <w:rsid w:val="00E104E0"/>
    <w:rsid w:val="00E10842"/>
    <w:rsid w:val="00E1093E"/>
    <w:rsid w:val="00E10EB7"/>
    <w:rsid w:val="00E110F3"/>
    <w:rsid w:val="00E11253"/>
    <w:rsid w:val="00E11A3E"/>
    <w:rsid w:val="00E11D78"/>
    <w:rsid w:val="00E12214"/>
    <w:rsid w:val="00E1279D"/>
    <w:rsid w:val="00E12873"/>
    <w:rsid w:val="00E129AC"/>
    <w:rsid w:val="00E12C70"/>
    <w:rsid w:val="00E12FE2"/>
    <w:rsid w:val="00E135CD"/>
    <w:rsid w:val="00E13AFB"/>
    <w:rsid w:val="00E13B69"/>
    <w:rsid w:val="00E13F3E"/>
    <w:rsid w:val="00E1433E"/>
    <w:rsid w:val="00E1456A"/>
    <w:rsid w:val="00E147F9"/>
    <w:rsid w:val="00E14EC8"/>
    <w:rsid w:val="00E1599C"/>
    <w:rsid w:val="00E15D70"/>
    <w:rsid w:val="00E16640"/>
    <w:rsid w:val="00E1725D"/>
    <w:rsid w:val="00E17624"/>
    <w:rsid w:val="00E17ECB"/>
    <w:rsid w:val="00E20146"/>
    <w:rsid w:val="00E20694"/>
    <w:rsid w:val="00E20828"/>
    <w:rsid w:val="00E20BF0"/>
    <w:rsid w:val="00E20F60"/>
    <w:rsid w:val="00E21D38"/>
    <w:rsid w:val="00E220A1"/>
    <w:rsid w:val="00E2214E"/>
    <w:rsid w:val="00E2242C"/>
    <w:rsid w:val="00E2270C"/>
    <w:rsid w:val="00E22823"/>
    <w:rsid w:val="00E2296C"/>
    <w:rsid w:val="00E2300D"/>
    <w:rsid w:val="00E23B62"/>
    <w:rsid w:val="00E24332"/>
    <w:rsid w:val="00E244B9"/>
    <w:rsid w:val="00E2511C"/>
    <w:rsid w:val="00E25447"/>
    <w:rsid w:val="00E25DCC"/>
    <w:rsid w:val="00E25F5D"/>
    <w:rsid w:val="00E26182"/>
    <w:rsid w:val="00E26250"/>
    <w:rsid w:val="00E2660B"/>
    <w:rsid w:val="00E267A4"/>
    <w:rsid w:val="00E26B0A"/>
    <w:rsid w:val="00E26FD8"/>
    <w:rsid w:val="00E27208"/>
    <w:rsid w:val="00E275F1"/>
    <w:rsid w:val="00E27E11"/>
    <w:rsid w:val="00E30208"/>
    <w:rsid w:val="00E30369"/>
    <w:rsid w:val="00E30396"/>
    <w:rsid w:val="00E304C0"/>
    <w:rsid w:val="00E30B0C"/>
    <w:rsid w:val="00E310EB"/>
    <w:rsid w:val="00E33039"/>
    <w:rsid w:val="00E33131"/>
    <w:rsid w:val="00E331E7"/>
    <w:rsid w:val="00E33328"/>
    <w:rsid w:val="00E33DD7"/>
    <w:rsid w:val="00E342F4"/>
    <w:rsid w:val="00E347D0"/>
    <w:rsid w:val="00E3488F"/>
    <w:rsid w:val="00E34A3A"/>
    <w:rsid w:val="00E35AC2"/>
    <w:rsid w:val="00E360DF"/>
    <w:rsid w:val="00E36775"/>
    <w:rsid w:val="00E36AFF"/>
    <w:rsid w:val="00E36E3B"/>
    <w:rsid w:val="00E36F65"/>
    <w:rsid w:val="00E37342"/>
    <w:rsid w:val="00E3749C"/>
    <w:rsid w:val="00E37AD4"/>
    <w:rsid w:val="00E37EA5"/>
    <w:rsid w:val="00E4021B"/>
    <w:rsid w:val="00E40636"/>
    <w:rsid w:val="00E408AE"/>
    <w:rsid w:val="00E40AF1"/>
    <w:rsid w:val="00E415D5"/>
    <w:rsid w:val="00E4171C"/>
    <w:rsid w:val="00E4195B"/>
    <w:rsid w:val="00E426D2"/>
    <w:rsid w:val="00E42C7B"/>
    <w:rsid w:val="00E4337F"/>
    <w:rsid w:val="00E43CD0"/>
    <w:rsid w:val="00E44E59"/>
    <w:rsid w:val="00E4506C"/>
    <w:rsid w:val="00E450C1"/>
    <w:rsid w:val="00E455E0"/>
    <w:rsid w:val="00E45E49"/>
    <w:rsid w:val="00E4605E"/>
    <w:rsid w:val="00E4621D"/>
    <w:rsid w:val="00E466E8"/>
    <w:rsid w:val="00E46871"/>
    <w:rsid w:val="00E46926"/>
    <w:rsid w:val="00E46999"/>
    <w:rsid w:val="00E47774"/>
    <w:rsid w:val="00E47E61"/>
    <w:rsid w:val="00E5087C"/>
    <w:rsid w:val="00E50B9D"/>
    <w:rsid w:val="00E51273"/>
    <w:rsid w:val="00E51883"/>
    <w:rsid w:val="00E519BC"/>
    <w:rsid w:val="00E51E24"/>
    <w:rsid w:val="00E51FB6"/>
    <w:rsid w:val="00E528D5"/>
    <w:rsid w:val="00E52A72"/>
    <w:rsid w:val="00E52B9C"/>
    <w:rsid w:val="00E5323D"/>
    <w:rsid w:val="00E536A6"/>
    <w:rsid w:val="00E53803"/>
    <w:rsid w:val="00E53CDB"/>
    <w:rsid w:val="00E53D73"/>
    <w:rsid w:val="00E55693"/>
    <w:rsid w:val="00E5584B"/>
    <w:rsid w:val="00E55B8C"/>
    <w:rsid w:val="00E5625E"/>
    <w:rsid w:val="00E570AF"/>
    <w:rsid w:val="00E57476"/>
    <w:rsid w:val="00E57BC7"/>
    <w:rsid w:val="00E57ED3"/>
    <w:rsid w:val="00E60852"/>
    <w:rsid w:val="00E60BF8"/>
    <w:rsid w:val="00E60E36"/>
    <w:rsid w:val="00E613DA"/>
    <w:rsid w:val="00E6162E"/>
    <w:rsid w:val="00E61B78"/>
    <w:rsid w:val="00E62694"/>
    <w:rsid w:val="00E627A3"/>
    <w:rsid w:val="00E62EFF"/>
    <w:rsid w:val="00E636BD"/>
    <w:rsid w:val="00E638FD"/>
    <w:rsid w:val="00E64271"/>
    <w:rsid w:val="00E64C62"/>
    <w:rsid w:val="00E65047"/>
    <w:rsid w:val="00E653AB"/>
    <w:rsid w:val="00E66164"/>
    <w:rsid w:val="00E662EC"/>
    <w:rsid w:val="00E66928"/>
    <w:rsid w:val="00E66AA5"/>
    <w:rsid w:val="00E66CCA"/>
    <w:rsid w:val="00E67047"/>
    <w:rsid w:val="00E6774C"/>
    <w:rsid w:val="00E67BE0"/>
    <w:rsid w:val="00E67E67"/>
    <w:rsid w:val="00E704B6"/>
    <w:rsid w:val="00E7171E"/>
    <w:rsid w:val="00E717FD"/>
    <w:rsid w:val="00E72E21"/>
    <w:rsid w:val="00E730A0"/>
    <w:rsid w:val="00E73D11"/>
    <w:rsid w:val="00E7411B"/>
    <w:rsid w:val="00E74645"/>
    <w:rsid w:val="00E74865"/>
    <w:rsid w:val="00E74E6C"/>
    <w:rsid w:val="00E762C9"/>
    <w:rsid w:val="00E76684"/>
    <w:rsid w:val="00E7687B"/>
    <w:rsid w:val="00E76923"/>
    <w:rsid w:val="00E76D00"/>
    <w:rsid w:val="00E77A0D"/>
    <w:rsid w:val="00E77B00"/>
    <w:rsid w:val="00E77D8A"/>
    <w:rsid w:val="00E77E29"/>
    <w:rsid w:val="00E80528"/>
    <w:rsid w:val="00E80720"/>
    <w:rsid w:val="00E807AE"/>
    <w:rsid w:val="00E81359"/>
    <w:rsid w:val="00E815BE"/>
    <w:rsid w:val="00E815E7"/>
    <w:rsid w:val="00E81AFB"/>
    <w:rsid w:val="00E827E4"/>
    <w:rsid w:val="00E82CFA"/>
    <w:rsid w:val="00E83394"/>
    <w:rsid w:val="00E83415"/>
    <w:rsid w:val="00E835E6"/>
    <w:rsid w:val="00E84157"/>
    <w:rsid w:val="00E84868"/>
    <w:rsid w:val="00E84A45"/>
    <w:rsid w:val="00E8501B"/>
    <w:rsid w:val="00E8597D"/>
    <w:rsid w:val="00E866A5"/>
    <w:rsid w:val="00E869D6"/>
    <w:rsid w:val="00E86F5A"/>
    <w:rsid w:val="00E8702B"/>
    <w:rsid w:val="00E8776D"/>
    <w:rsid w:val="00E878E2"/>
    <w:rsid w:val="00E87D50"/>
    <w:rsid w:val="00E87DE1"/>
    <w:rsid w:val="00E900BE"/>
    <w:rsid w:val="00E902D5"/>
    <w:rsid w:val="00E90400"/>
    <w:rsid w:val="00E9099D"/>
    <w:rsid w:val="00E90BC1"/>
    <w:rsid w:val="00E90C9C"/>
    <w:rsid w:val="00E91506"/>
    <w:rsid w:val="00E915FF"/>
    <w:rsid w:val="00E91963"/>
    <w:rsid w:val="00E91A7C"/>
    <w:rsid w:val="00E932D9"/>
    <w:rsid w:val="00E93345"/>
    <w:rsid w:val="00E93934"/>
    <w:rsid w:val="00E9530C"/>
    <w:rsid w:val="00E95B1C"/>
    <w:rsid w:val="00E96581"/>
    <w:rsid w:val="00E96DE0"/>
    <w:rsid w:val="00E97278"/>
    <w:rsid w:val="00E97647"/>
    <w:rsid w:val="00E97C1D"/>
    <w:rsid w:val="00EA02A3"/>
    <w:rsid w:val="00EA077D"/>
    <w:rsid w:val="00EA0918"/>
    <w:rsid w:val="00EA0E3F"/>
    <w:rsid w:val="00EA10FA"/>
    <w:rsid w:val="00EA30BA"/>
    <w:rsid w:val="00EA3163"/>
    <w:rsid w:val="00EA35F5"/>
    <w:rsid w:val="00EA45BC"/>
    <w:rsid w:val="00EA4750"/>
    <w:rsid w:val="00EA47DB"/>
    <w:rsid w:val="00EA526C"/>
    <w:rsid w:val="00EA6034"/>
    <w:rsid w:val="00EA62FC"/>
    <w:rsid w:val="00EA645E"/>
    <w:rsid w:val="00EA6488"/>
    <w:rsid w:val="00EA6564"/>
    <w:rsid w:val="00EA6DDE"/>
    <w:rsid w:val="00EA7B5D"/>
    <w:rsid w:val="00EB19F4"/>
    <w:rsid w:val="00EB1D30"/>
    <w:rsid w:val="00EB23C5"/>
    <w:rsid w:val="00EB2A43"/>
    <w:rsid w:val="00EB2CB1"/>
    <w:rsid w:val="00EB2D6D"/>
    <w:rsid w:val="00EB34FC"/>
    <w:rsid w:val="00EB3F93"/>
    <w:rsid w:val="00EB44A5"/>
    <w:rsid w:val="00EB451A"/>
    <w:rsid w:val="00EB5041"/>
    <w:rsid w:val="00EB5DD3"/>
    <w:rsid w:val="00EB5DF6"/>
    <w:rsid w:val="00EB5DF9"/>
    <w:rsid w:val="00EB67B3"/>
    <w:rsid w:val="00EB69E1"/>
    <w:rsid w:val="00EB6B88"/>
    <w:rsid w:val="00EB7727"/>
    <w:rsid w:val="00EB78B3"/>
    <w:rsid w:val="00EB7A9E"/>
    <w:rsid w:val="00EB7D69"/>
    <w:rsid w:val="00EC0649"/>
    <w:rsid w:val="00EC0BDA"/>
    <w:rsid w:val="00EC118C"/>
    <w:rsid w:val="00EC1B69"/>
    <w:rsid w:val="00EC2A14"/>
    <w:rsid w:val="00EC31A2"/>
    <w:rsid w:val="00EC33B0"/>
    <w:rsid w:val="00EC345F"/>
    <w:rsid w:val="00EC3598"/>
    <w:rsid w:val="00EC3797"/>
    <w:rsid w:val="00EC3AB6"/>
    <w:rsid w:val="00EC3EAC"/>
    <w:rsid w:val="00EC3FDF"/>
    <w:rsid w:val="00EC52D9"/>
    <w:rsid w:val="00EC54A8"/>
    <w:rsid w:val="00EC5CC2"/>
    <w:rsid w:val="00EC5CFB"/>
    <w:rsid w:val="00EC5FA2"/>
    <w:rsid w:val="00EC68C1"/>
    <w:rsid w:val="00EC6F13"/>
    <w:rsid w:val="00ED00E4"/>
    <w:rsid w:val="00ED07D7"/>
    <w:rsid w:val="00ED0952"/>
    <w:rsid w:val="00ED1108"/>
    <w:rsid w:val="00ED18F0"/>
    <w:rsid w:val="00ED2779"/>
    <w:rsid w:val="00ED35D0"/>
    <w:rsid w:val="00ED3A87"/>
    <w:rsid w:val="00ED3B44"/>
    <w:rsid w:val="00ED3CAC"/>
    <w:rsid w:val="00ED40D9"/>
    <w:rsid w:val="00ED54B4"/>
    <w:rsid w:val="00ED5864"/>
    <w:rsid w:val="00ED5E2C"/>
    <w:rsid w:val="00ED63F6"/>
    <w:rsid w:val="00ED6A59"/>
    <w:rsid w:val="00ED6C4B"/>
    <w:rsid w:val="00ED70F4"/>
    <w:rsid w:val="00ED71FE"/>
    <w:rsid w:val="00ED73F8"/>
    <w:rsid w:val="00ED7E79"/>
    <w:rsid w:val="00EE079F"/>
    <w:rsid w:val="00EE0D9C"/>
    <w:rsid w:val="00EE1465"/>
    <w:rsid w:val="00EE2227"/>
    <w:rsid w:val="00EE2361"/>
    <w:rsid w:val="00EE249F"/>
    <w:rsid w:val="00EE3272"/>
    <w:rsid w:val="00EE35F9"/>
    <w:rsid w:val="00EE39C0"/>
    <w:rsid w:val="00EE39F5"/>
    <w:rsid w:val="00EE3FA5"/>
    <w:rsid w:val="00EE3FBE"/>
    <w:rsid w:val="00EE4A18"/>
    <w:rsid w:val="00EE5253"/>
    <w:rsid w:val="00EE53A8"/>
    <w:rsid w:val="00EE593F"/>
    <w:rsid w:val="00EE5D7C"/>
    <w:rsid w:val="00EE6834"/>
    <w:rsid w:val="00EE6F9C"/>
    <w:rsid w:val="00EE700E"/>
    <w:rsid w:val="00EE783B"/>
    <w:rsid w:val="00EE7C40"/>
    <w:rsid w:val="00EE7D5D"/>
    <w:rsid w:val="00EF0DDC"/>
    <w:rsid w:val="00EF113F"/>
    <w:rsid w:val="00EF170A"/>
    <w:rsid w:val="00EF27F2"/>
    <w:rsid w:val="00EF2DF6"/>
    <w:rsid w:val="00EF318A"/>
    <w:rsid w:val="00EF3359"/>
    <w:rsid w:val="00EF3E4D"/>
    <w:rsid w:val="00EF3EC6"/>
    <w:rsid w:val="00EF3F9C"/>
    <w:rsid w:val="00EF4630"/>
    <w:rsid w:val="00EF4826"/>
    <w:rsid w:val="00EF52F8"/>
    <w:rsid w:val="00EF54CB"/>
    <w:rsid w:val="00EF5D14"/>
    <w:rsid w:val="00EF5E79"/>
    <w:rsid w:val="00EF6021"/>
    <w:rsid w:val="00EF625F"/>
    <w:rsid w:val="00EF6A9A"/>
    <w:rsid w:val="00F018FD"/>
    <w:rsid w:val="00F023D9"/>
    <w:rsid w:val="00F02432"/>
    <w:rsid w:val="00F0328A"/>
    <w:rsid w:val="00F032C9"/>
    <w:rsid w:val="00F034D0"/>
    <w:rsid w:val="00F03942"/>
    <w:rsid w:val="00F03F0E"/>
    <w:rsid w:val="00F04351"/>
    <w:rsid w:val="00F043F5"/>
    <w:rsid w:val="00F044D1"/>
    <w:rsid w:val="00F04AF7"/>
    <w:rsid w:val="00F04F38"/>
    <w:rsid w:val="00F05A34"/>
    <w:rsid w:val="00F05B00"/>
    <w:rsid w:val="00F05DDA"/>
    <w:rsid w:val="00F06816"/>
    <w:rsid w:val="00F06957"/>
    <w:rsid w:val="00F06A8D"/>
    <w:rsid w:val="00F0784A"/>
    <w:rsid w:val="00F07854"/>
    <w:rsid w:val="00F07F47"/>
    <w:rsid w:val="00F11878"/>
    <w:rsid w:val="00F118DC"/>
    <w:rsid w:val="00F11EAA"/>
    <w:rsid w:val="00F120D5"/>
    <w:rsid w:val="00F127E6"/>
    <w:rsid w:val="00F130B1"/>
    <w:rsid w:val="00F131FD"/>
    <w:rsid w:val="00F134E3"/>
    <w:rsid w:val="00F13C51"/>
    <w:rsid w:val="00F13F51"/>
    <w:rsid w:val="00F13FD5"/>
    <w:rsid w:val="00F14ADE"/>
    <w:rsid w:val="00F14B29"/>
    <w:rsid w:val="00F1509A"/>
    <w:rsid w:val="00F15D9A"/>
    <w:rsid w:val="00F15DC7"/>
    <w:rsid w:val="00F15DE0"/>
    <w:rsid w:val="00F16E7F"/>
    <w:rsid w:val="00F16EED"/>
    <w:rsid w:val="00F16F7D"/>
    <w:rsid w:val="00F17925"/>
    <w:rsid w:val="00F17C03"/>
    <w:rsid w:val="00F17C08"/>
    <w:rsid w:val="00F17D29"/>
    <w:rsid w:val="00F20212"/>
    <w:rsid w:val="00F20ED3"/>
    <w:rsid w:val="00F21FFF"/>
    <w:rsid w:val="00F22232"/>
    <w:rsid w:val="00F22464"/>
    <w:rsid w:val="00F225A3"/>
    <w:rsid w:val="00F22DA5"/>
    <w:rsid w:val="00F2372A"/>
    <w:rsid w:val="00F238DE"/>
    <w:rsid w:val="00F23922"/>
    <w:rsid w:val="00F244A6"/>
    <w:rsid w:val="00F24CC7"/>
    <w:rsid w:val="00F2525A"/>
    <w:rsid w:val="00F2574A"/>
    <w:rsid w:val="00F25814"/>
    <w:rsid w:val="00F25E8F"/>
    <w:rsid w:val="00F26ECB"/>
    <w:rsid w:val="00F27CCA"/>
    <w:rsid w:val="00F302C4"/>
    <w:rsid w:val="00F30B7F"/>
    <w:rsid w:val="00F30C51"/>
    <w:rsid w:val="00F30EE3"/>
    <w:rsid w:val="00F30F22"/>
    <w:rsid w:val="00F31537"/>
    <w:rsid w:val="00F319DB"/>
    <w:rsid w:val="00F31CFB"/>
    <w:rsid w:val="00F32A17"/>
    <w:rsid w:val="00F334FE"/>
    <w:rsid w:val="00F3404D"/>
    <w:rsid w:val="00F34A0B"/>
    <w:rsid w:val="00F35144"/>
    <w:rsid w:val="00F3530D"/>
    <w:rsid w:val="00F35E0F"/>
    <w:rsid w:val="00F36C5C"/>
    <w:rsid w:val="00F377D9"/>
    <w:rsid w:val="00F40ADF"/>
    <w:rsid w:val="00F40AFB"/>
    <w:rsid w:val="00F415DE"/>
    <w:rsid w:val="00F41AAC"/>
    <w:rsid w:val="00F41D8F"/>
    <w:rsid w:val="00F42274"/>
    <w:rsid w:val="00F42B3E"/>
    <w:rsid w:val="00F42C8E"/>
    <w:rsid w:val="00F42FA0"/>
    <w:rsid w:val="00F4312D"/>
    <w:rsid w:val="00F43384"/>
    <w:rsid w:val="00F4348A"/>
    <w:rsid w:val="00F43FDD"/>
    <w:rsid w:val="00F441F7"/>
    <w:rsid w:val="00F442B0"/>
    <w:rsid w:val="00F44AE1"/>
    <w:rsid w:val="00F4580D"/>
    <w:rsid w:val="00F458E4"/>
    <w:rsid w:val="00F45F8B"/>
    <w:rsid w:val="00F46681"/>
    <w:rsid w:val="00F467F0"/>
    <w:rsid w:val="00F46A01"/>
    <w:rsid w:val="00F46A53"/>
    <w:rsid w:val="00F47677"/>
    <w:rsid w:val="00F47D20"/>
    <w:rsid w:val="00F47D56"/>
    <w:rsid w:val="00F47E77"/>
    <w:rsid w:val="00F5063D"/>
    <w:rsid w:val="00F51178"/>
    <w:rsid w:val="00F518E8"/>
    <w:rsid w:val="00F51D95"/>
    <w:rsid w:val="00F52042"/>
    <w:rsid w:val="00F5225F"/>
    <w:rsid w:val="00F5246D"/>
    <w:rsid w:val="00F5322F"/>
    <w:rsid w:val="00F534F5"/>
    <w:rsid w:val="00F539D9"/>
    <w:rsid w:val="00F53A48"/>
    <w:rsid w:val="00F544DB"/>
    <w:rsid w:val="00F54DCC"/>
    <w:rsid w:val="00F54EA7"/>
    <w:rsid w:val="00F55100"/>
    <w:rsid w:val="00F55524"/>
    <w:rsid w:val="00F55EDB"/>
    <w:rsid w:val="00F561B0"/>
    <w:rsid w:val="00F56B68"/>
    <w:rsid w:val="00F56B72"/>
    <w:rsid w:val="00F57112"/>
    <w:rsid w:val="00F60951"/>
    <w:rsid w:val="00F60E87"/>
    <w:rsid w:val="00F61933"/>
    <w:rsid w:val="00F61ADD"/>
    <w:rsid w:val="00F627BF"/>
    <w:rsid w:val="00F632D5"/>
    <w:rsid w:val="00F634B3"/>
    <w:rsid w:val="00F63751"/>
    <w:rsid w:val="00F63950"/>
    <w:rsid w:val="00F647D3"/>
    <w:rsid w:val="00F64AAA"/>
    <w:rsid w:val="00F64B30"/>
    <w:rsid w:val="00F64B38"/>
    <w:rsid w:val="00F64EB5"/>
    <w:rsid w:val="00F65102"/>
    <w:rsid w:val="00F65634"/>
    <w:rsid w:val="00F656A6"/>
    <w:rsid w:val="00F65A6E"/>
    <w:rsid w:val="00F660C2"/>
    <w:rsid w:val="00F661F3"/>
    <w:rsid w:val="00F662F5"/>
    <w:rsid w:val="00F66E61"/>
    <w:rsid w:val="00F672F6"/>
    <w:rsid w:val="00F67861"/>
    <w:rsid w:val="00F6787F"/>
    <w:rsid w:val="00F67EAD"/>
    <w:rsid w:val="00F70440"/>
    <w:rsid w:val="00F7045E"/>
    <w:rsid w:val="00F704FA"/>
    <w:rsid w:val="00F71D5E"/>
    <w:rsid w:val="00F72507"/>
    <w:rsid w:val="00F737C2"/>
    <w:rsid w:val="00F737CC"/>
    <w:rsid w:val="00F73B75"/>
    <w:rsid w:val="00F74037"/>
    <w:rsid w:val="00F7469A"/>
    <w:rsid w:val="00F74934"/>
    <w:rsid w:val="00F750F5"/>
    <w:rsid w:val="00F75141"/>
    <w:rsid w:val="00F751A0"/>
    <w:rsid w:val="00F751F1"/>
    <w:rsid w:val="00F757CD"/>
    <w:rsid w:val="00F7637C"/>
    <w:rsid w:val="00F76630"/>
    <w:rsid w:val="00F7675B"/>
    <w:rsid w:val="00F76908"/>
    <w:rsid w:val="00F76A48"/>
    <w:rsid w:val="00F76C8F"/>
    <w:rsid w:val="00F77455"/>
    <w:rsid w:val="00F7765B"/>
    <w:rsid w:val="00F7782F"/>
    <w:rsid w:val="00F77AFE"/>
    <w:rsid w:val="00F77B91"/>
    <w:rsid w:val="00F77F67"/>
    <w:rsid w:val="00F80675"/>
    <w:rsid w:val="00F80826"/>
    <w:rsid w:val="00F81116"/>
    <w:rsid w:val="00F81232"/>
    <w:rsid w:val="00F818DE"/>
    <w:rsid w:val="00F81F15"/>
    <w:rsid w:val="00F821B3"/>
    <w:rsid w:val="00F824DA"/>
    <w:rsid w:val="00F82ADF"/>
    <w:rsid w:val="00F82BBB"/>
    <w:rsid w:val="00F83987"/>
    <w:rsid w:val="00F83E9F"/>
    <w:rsid w:val="00F8457D"/>
    <w:rsid w:val="00F84B2F"/>
    <w:rsid w:val="00F84B86"/>
    <w:rsid w:val="00F851F2"/>
    <w:rsid w:val="00F85597"/>
    <w:rsid w:val="00F85C4D"/>
    <w:rsid w:val="00F85D68"/>
    <w:rsid w:val="00F86795"/>
    <w:rsid w:val="00F86AAE"/>
    <w:rsid w:val="00F87616"/>
    <w:rsid w:val="00F87A98"/>
    <w:rsid w:val="00F90225"/>
    <w:rsid w:val="00F90394"/>
    <w:rsid w:val="00F908B7"/>
    <w:rsid w:val="00F911E4"/>
    <w:rsid w:val="00F91A57"/>
    <w:rsid w:val="00F91B2F"/>
    <w:rsid w:val="00F91ED8"/>
    <w:rsid w:val="00F928B8"/>
    <w:rsid w:val="00F92A4A"/>
    <w:rsid w:val="00F93141"/>
    <w:rsid w:val="00F938F7"/>
    <w:rsid w:val="00F93FB3"/>
    <w:rsid w:val="00F9470A"/>
    <w:rsid w:val="00F9480D"/>
    <w:rsid w:val="00F950CB"/>
    <w:rsid w:val="00F95124"/>
    <w:rsid w:val="00F955F0"/>
    <w:rsid w:val="00F9562D"/>
    <w:rsid w:val="00F96286"/>
    <w:rsid w:val="00F963C5"/>
    <w:rsid w:val="00F9792E"/>
    <w:rsid w:val="00F97D90"/>
    <w:rsid w:val="00FA0134"/>
    <w:rsid w:val="00FA0499"/>
    <w:rsid w:val="00FA0BAB"/>
    <w:rsid w:val="00FA1252"/>
    <w:rsid w:val="00FA1DD4"/>
    <w:rsid w:val="00FA2CB4"/>
    <w:rsid w:val="00FA2F23"/>
    <w:rsid w:val="00FA3C2B"/>
    <w:rsid w:val="00FA3FFF"/>
    <w:rsid w:val="00FA448C"/>
    <w:rsid w:val="00FA45DD"/>
    <w:rsid w:val="00FA506A"/>
    <w:rsid w:val="00FA5E6F"/>
    <w:rsid w:val="00FA5EFE"/>
    <w:rsid w:val="00FA6631"/>
    <w:rsid w:val="00FA66E1"/>
    <w:rsid w:val="00FA692F"/>
    <w:rsid w:val="00FA6B80"/>
    <w:rsid w:val="00FA6C44"/>
    <w:rsid w:val="00FA7451"/>
    <w:rsid w:val="00FB024A"/>
    <w:rsid w:val="00FB061A"/>
    <w:rsid w:val="00FB0B0A"/>
    <w:rsid w:val="00FB0FFA"/>
    <w:rsid w:val="00FB14E0"/>
    <w:rsid w:val="00FB165C"/>
    <w:rsid w:val="00FB1E58"/>
    <w:rsid w:val="00FB2C56"/>
    <w:rsid w:val="00FB35C1"/>
    <w:rsid w:val="00FB3D87"/>
    <w:rsid w:val="00FB3DA5"/>
    <w:rsid w:val="00FB44D0"/>
    <w:rsid w:val="00FB491B"/>
    <w:rsid w:val="00FB4B35"/>
    <w:rsid w:val="00FB4F4F"/>
    <w:rsid w:val="00FB59AE"/>
    <w:rsid w:val="00FB66FF"/>
    <w:rsid w:val="00FB77F7"/>
    <w:rsid w:val="00FB77FE"/>
    <w:rsid w:val="00FC0001"/>
    <w:rsid w:val="00FC0152"/>
    <w:rsid w:val="00FC08EE"/>
    <w:rsid w:val="00FC1D28"/>
    <w:rsid w:val="00FC230C"/>
    <w:rsid w:val="00FC395F"/>
    <w:rsid w:val="00FC3EC5"/>
    <w:rsid w:val="00FC3FCF"/>
    <w:rsid w:val="00FC4266"/>
    <w:rsid w:val="00FC529F"/>
    <w:rsid w:val="00FC54EF"/>
    <w:rsid w:val="00FC6533"/>
    <w:rsid w:val="00FC6A43"/>
    <w:rsid w:val="00FC6AFB"/>
    <w:rsid w:val="00FC7B05"/>
    <w:rsid w:val="00FC7D09"/>
    <w:rsid w:val="00FC7E52"/>
    <w:rsid w:val="00FD055A"/>
    <w:rsid w:val="00FD076A"/>
    <w:rsid w:val="00FD0A4B"/>
    <w:rsid w:val="00FD1A22"/>
    <w:rsid w:val="00FD20CD"/>
    <w:rsid w:val="00FD2322"/>
    <w:rsid w:val="00FD280F"/>
    <w:rsid w:val="00FD2A06"/>
    <w:rsid w:val="00FD2C9A"/>
    <w:rsid w:val="00FD37C5"/>
    <w:rsid w:val="00FD414D"/>
    <w:rsid w:val="00FD41E0"/>
    <w:rsid w:val="00FD4AAD"/>
    <w:rsid w:val="00FD4FEC"/>
    <w:rsid w:val="00FD562D"/>
    <w:rsid w:val="00FD56A1"/>
    <w:rsid w:val="00FD588F"/>
    <w:rsid w:val="00FD5A10"/>
    <w:rsid w:val="00FD69E0"/>
    <w:rsid w:val="00FD6DAE"/>
    <w:rsid w:val="00FD7EC1"/>
    <w:rsid w:val="00FE0065"/>
    <w:rsid w:val="00FE06E7"/>
    <w:rsid w:val="00FE0B7B"/>
    <w:rsid w:val="00FE0C1D"/>
    <w:rsid w:val="00FE166C"/>
    <w:rsid w:val="00FE1CC3"/>
    <w:rsid w:val="00FE1EA5"/>
    <w:rsid w:val="00FE27B8"/>
    <w:rsid w:val="00FE27F4"/>
    <w:rsid w:val="00FE3686"/>
    <w:rsid w:val="00FE3693"/>
    <w:rsid w:val="00FE3972"/>
    <w:rsid w:val="00FE39D9"/>
    <w:rsid w:val="00FE4059"/>
    <w:rsid w:val="00FE463A"/>
    <w:rsid w:val="00FE4979"/>
    <w:rsid w:val="00FE51F1"/>
    <w:rsid w:val="00FE5AD4"/>
    <w:rsid w:val="00FE62C7"/>
    <w:rsid w:val="00FE6357"/>
    <w:rsid w:val="00FE68A8"/>
    <w:rsid w:val="00FE6BA5"/>
    <w:rsid w:val="00FE7682"/>
    <w:rsid w:val="00FE7D4D"/>
    <w:rsid w:val="00FE7DB2"/>
    <w:rsid w:val="00FF072E"/>
    <w:rsid w:val="00FF0BAD"/>
    <w:rsid w:val="00FF15C7"/>
    <w:rsid w:val="00FF20C1"/>
    <w:rsid w:val="00FF286B"/>
    <w:rsid w:val="00FF2B9F"/>
    <w:rsid w:val="00FF2E5E"/>
    <w:rsid w:val="00FF35D2"/>
    <w:rsid w:val="00FF3713"/>
    <w:rsid w:val="00FF38C4"/>
    <w:rsid w:val="00FF3A67"/>
    <w:rsid w:val="00FF485E"/>
    <w:rsid w:val="00FF48AD"/>
    <w:rsid w:val="00FF528A"/>
    <w:rsid w:val="00FF55F3"/>
    <w:rsid w:val="00FF61B4"/>
    <w:rsid w:val="00FF64ED"/>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2336E"/>
  <w15:docId w15:val="{FE2861D0-51F4-4F92-A899-9A2C6D6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semiHidden/>
    <w:rPr>
      <w:vertAlign w:val="superscript"/>
    </w:rPr>
  </w:style>
  <w:style w:type="paragraph" w:styleId="FootnoteText">
    <w:name w:val="footnote text"/>
    <w:basedOn w:val="Normal"/>
    <w:semiHidden/>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BodyText">
    <w:name w:val="Body Text"/>
    <w:basedOn w:val="Normal"/>
    <w:link w:val="BodyTextChar"/>
    <w:uiPriority w:val="1"/>
    <w:qFormat/>
    <w:rsid w:val="00E72E21"/>
    <w:pPr>
      <w:autoSpaceDE w:val="0"/>
      <w:autoSpaceDN w:val="0"/>
      <w:spacing w:before="1"/>
      <w:ind w:firstLine="0"/>
    </w:pPr>
    <w:rPr>
      <w:rFonts w:ascii="Times New Roman" w:hAnsi="Times New Roman"/>
      <w:szCs w:val="24"/>
    </w:rPr>
  </w:style>
  <w:style w:type="character" w:customStyle="1" w:styleId="BodyTextChar">
    <w:name w:val="Body Text Char"/>
    <w:basedOn w:val="DefaultParagraphFont"/>
    <w:link w:val="BodyText"/>
    <w:uiPriority w:val="1"/>
    <w:rsid w:val="00E72E21"/>
    <w:rPr>
      <w:sz w:val="24"/>
      <w:szCs w:val="24"/>
    </w:rPr>
  </w:style>
  <w:style w:type="paragraph" w:styleId="Title">
    <w:name w:val="Title"/>
    <w:basedOn w:val="Normal"/>
    <w:link w:val="TitleChar"/>
    <w:uiPriority w:val="10"/>
    <w:qFormat/>
    <w:rsid w:val="00E72E21"/>
    <w:pPr>
      <w:autoSpaceDE w:val="0"/>
      <w:autoSpaceDN w:val="0"/>
      <w:ind w:left="148" w:firstLine="0"/>
      <w:jc w:val="left"/>
    </w:pPr>
    <w:rPr>
      <w:rFonts w:ascii="Times New Roman" w:hAnsi="Times New Roman"/>
      <w:b/>
      <w:bCs/>
      <w:sz w:val="28"/>
      <w:szCs w:val="28"/>
    </w:rPr>
  </w:style>
  <w:style w:type="character" w:customStyle="1" w:styleId="TitleChar">
    <w:name w:val="Title Char"/>
    <w:basedOn w:val="DefaultParagraphFont"/>
    <w:link w:val="Title"/>
    <w:uiPriority w:val="10"/>
    <w:rsid w:val="00E72E21"/>
    <w:rPr>
      <w:b/>
      <w:bCs/>
      <w:sz w:val="28"/>
      <w:szCs w:val="28"/>
    </w:rPr>
  </w:style>
  <w:style w:type="paragraph" w:styleId="ListParagraph">
    <w:name w:val="List Paragraph"/>
    <w:basedOn w:val="Normal"/>
    <w:uiPriority w:val="1"/>
    <w:qFormat/>
    <w:rsid w:val="00E72E21"/>
    <w:pPr>
      <w:autoSpaceDE w:val="0"/>
      <w:autoSpaceDN w:val="0"/>
      <w:ind w:left="2061" w:hanging="718"/>
      <w:jc w:val="left"/>
    </w:pPr>
    <w:rPr>
      <w:rFonts w:ascii="Times New Roman" w:hAnsi="Times New Roman"/>
      <w:sz w:val="22"/>
      <w:szCs w:val="22"/>
    </w:rPr>
  </w:style>
  <w:style w:type="paragraph" w:customStyle="1" w:styleId="TableParagraph">
    <w:name w:val="Table Paragraph"/>
    <w:basedOn w:val="Normal"/>
    <w:uiPriority w:val="1"/>
    <w:qFormat/>
    <w:rsid w:val="00E72E21"/>
    <w:pPr>
      <w:autoSpaceDE w:val="0"/>
      <w:autoSpaceDN w:val="0"/>
      <w:spacing w:line="264" w:lineRule="exact"/>
      <w:ind w:firstLine="0"/>
      <w:jc w:val="right"/>
    </w:pPr>
    <w:rPr>
      <w:rFonts w:ascii="Times New Roman" w:hAnsi="Times New Roman"/>
      <w:sz w:val="22"/>
      <w:szCs w:val="22"/>
    </w:rPr>
  </w:style>
  <w:style w:type="character" w:customStyle="1" w:styleId="HeaderChar">
    <w:name w:val="Header Char"/>
    <w:basedOn w:val="DefaultParagraphFont"/>
    <w:link w:val="Header"/>
    <w:uiPriority w:val="99"/>
    <w:rsid w:val="00E72E21"/>
    <w:rPr>
      <w:rFonts w:ascii="CG Times" w:hAnsi="CG Times"/>
      <w:sz w:val="24"/>
    </w:rPr>
  </w:style>
  <w:style w:type="character" w:customStyle="1" w:styleId="FooterChar">
    <w:name w:val="Footer Char"/>
    <w:basedOn w:val="DefaultParagraphFont"/>
    <w:link w:val="Footer"/>
    <w:uiPriority w:val="99"/>
    <w:rsid w:val="00E72E21"/>
    <w:rPr>
      <w:rFonts w:ascii="CG Times" w:hAnsi="CG Times"/>
      <w:sz w:val="24"/>
    </w:rPr>
  </w:style>
  <w:style w:type="character" w:styleId="UnresolvedMention">
    <w:name w:val="Unresolved Mention"/>
    <w:basedOn w:val="DefaultParagraphFont"/>
    <w:uiPriority w:val="99"/>
    <w:semiHidden/>
    <w:unhideWhenUsed/>
    <w:rsid w:val="00DD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144">
      <w:bodyDiv w:val="1"/>
      <w:marLeft w:val="0"/>
      <w:marRight w:val="0"/>
      <w:marTop w:val="0"/>
      <w:marBottom w:val="0"/>
      <w:divBdr>
        <w:top w:val="none" w:sz="0" w:space="0" w:color="auto"/>
        <w:left w:val="none" w:sz="0" w:space="0" w:color="auto"/>
        <w:bottom w:val="none" w:sz="0" w:space="0" w:color="auto"/>
        <w:right w:val="none" w:sz="0" w:space="0" w:color="auto"/>
      </w:divBdr>
    </w:div>
    <w:div w:id="417168527">
      <w:bodyDiv w:val="1"/>
      <w:marLeft w:val="0"/>
      <w:marRight w:val="0"/>
      <w:marTop w:val="0"/>
      <w:marBottom w:val="0"/>
      <w:divBdr>
        <w:top w:val="none" w:sz="0" w:space="0" w:color="auto"/>
        <w:left w:val="none" w:sz="0" w:space="0" w:color="auto"/>
        <w:bottom w:val="none" w:sz="0" w:space="0" w:color="auto"/>
        <w:right w:val="none" w:sz="0" w:space="0" w:color="auto"/>
      </w:divBdr>
    </w:div>
    <w:div w:id="1203591708">
      <w:bodyDiv w:val="1"/>
      <w:marLeft w:val="0"/>
      <w:marRight w:val="0"/>
      <w:marTop w:val="0"/>
      <w:marBottom w:val="0"/>
      <w:divBdr>
        <w:top w:val="none" w:sz="0" w:space="0" w:color="auto"/>
        <w:left w:val="none" w:sz="0" w:space="0" w:color="auto"/>
        <w:bottom w:val="none" w:sz="0" w:space="0" w:color="auto"/>
        <w:right w:val="none" w:sz="0" w:space="0" w:color="auto"/>
      </w:divBdr>
    </w:div>
    <w:div w:id="1584223795">
      <w:bodyDiv w:val="1"/>
      <w:marLeft w:val="0"/>
      <w:marRight w:val="0"/>
      <w:marTop w:val="0"/>
      <w:marBottom w:val="0"/>
      <w:divBdr>
        <w:top w:val="none" w:sz="0" w:space="0" w:color="auto"/>
        <w:left w:val="none" w:sz="0" w:space="0" w:color="auto"/>
        <w:bottom w:val="none" w:sz="0" w:space="0" w:color="auto"/>
        <w:right w:val="none" w:sz="0" w:space="0" w:color="auto"/>
      </w:divBdr>
    </w:div>
    <w:div w:id="1587766342">
      <w:bodyDiv w:val="1"/>
      <w:marLeft w:val="0"/>
      <w:marRight w:val="0"/>
      <w:marTop w:val="0"/>
      <w:marBottom w:val="0"/>
      <w:divBdr>
        <w:top w:val="none" w:sz="0" w:space="0" w:color="auto"/>
        <w:left w:val="none" w:sz="0" w:space="0" w:color="auto"/>
        <w:bottom w:val="none" w:sz="0" w:space="0" w:color="auto"/>
        <w:right w:val="none" w:sz="0" w:space="0" w:color="auto"/>
      </w:divBdr>
    </w:div>
    <w:div w:id="1734622105">
      <w:bodyDiv w:val="1"/>
      <w:marLeft w:val="0"/>
      <w:marRight w:val="0"/>
      <w:marTop w:val="0"/>
      <w:marBottom w:val="0"/>
      <w:divBdr>
        <w:top w:val="none" w:sz="0" w:space="0" w:color="auto"/>
        <w:left w:val="none" w:sz="0" w:space="0" w:color="auto"/>
        <w:bottom w:val="none" w:sz="0" w:space="0" w:color="auto"/>
        <w:right w:val="none" w:sz="0" w:space="0" w:color="auto"/>
      </w:divBdr>
    </w:div>
    <w:div w:id="1748846771">
      <w:bodyDiv w:val="1"/>
      <w:marLeft w:val="0"/>
      <w:marRight w:val="0"/>
      <w:marTop w:val="0"/>
      <w:marBottom w:val="0"/>
      <w:divBdr>
        <w:top w:val="none" w:sz="0" w:space="0" w:color="auto"/>
        <w:left w:val="none" w:sz="0" w:space="0" w:color="auto"/>
        <w:bottom w:val="none" w:sz="0" w:space="0" w:color="auto"/>
        <w:right w:val="none" w:sz="0" w:space="0" w:color="auto"/>
      </w:divBdr>
    </w:div>
    <w:div w:id="20121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22/08/19/opinion/liberals-constitu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lane\AppData\Local\Temp\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CE8F-29B6-429C-AAF9-26781E7312DF}">
  <ds:schemaRefs>
    <ds:schemaRef ds:uri="http://schemas.openxmlformats.org/officeDocument/2006/bibliography"/>
  </ds:schemaRefs>
</ds:datastoreItem>
</file>

<file path=docMetadata/LabelInfo.xml><?xml version="1.0" encoding="utf-8"?>
<clbl:labelList xmlns:clbl="http://schemas.microsoft.com/office/2020/mipLabelMetadata">
  <clbl:label id="{2ff60116-7431-425d-b5af-077d7791bda4}" enabled="0" method="" siteId="{2ff60116-7431-425d-b5af-077d7791bda4}" removed="1"/>
</clbl:labelList>
</file>

<file path=docProps/app.xml><?xml version="1.0" encoding="utf-8"?>
<Properties xmlns="http://schemas.openxmlformats.org/officeDocument/2006/extended-properties" xmlns:vt="http://schemas.openxmlformats.org/officeDocument/2006/docPropsVTypes">
  <Template>article</Template>
  <TotalTime>26</TotalTime>
  <Pages>68</Pages>
  <Words>20669</Words>
  <Characters>112613</Characters>
  <Application>Microsoft Office Word</Application>
  <DocSecurity>0</DocSecurity>
  <Lines>938</Lines>
  <Paragraphs>266</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133016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Lane Scheppele</dc:creator>
  <cp:lastModifiedBy>Samuel M Simon</cp:lastModifiedBy>
  <cp:revision>39</cp:revision>
  <cp:lastPrinted>2024-12-31T13:37:00Z</cp:lastPrinted>
  <dcterms:created xsi:type="dcterms:W3CDTF">2024-12-31T13:29:00Z</dcterms:created>
  <dcterms:modified xsi:type="dcterms:W3CDTF">2025-01-09T21:11:00Z</dcterms:modified>
</cp:coreProperties>
</file>