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8D5" w14:textId="77777777" w:rsidR="001F50D0" w:rsidRDefault="001F50D0" w:rsidP="000E4419">
      <w:pPr>
        <w:rPr>
          <w:rFonts w:ascii="Times New Roman" w:hAnsi="Times New Roman" w:cs="Times New Roman"/>
          <w:sz w:val="24"/>
          <w:szCs w:val="24"/>
        </w:rPr>
      </w:pPr>
    </w:p>
    <w:p w14:paraId="31D8216B" w14:textId="4B527330" w:rsidR="001F50D0" w:rsidRPr="001F50D0" w:rsidRDefault="001F50D0" w:rsidP="001F5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0D0">
        <w:rPr>
          <w:rFonts w:ascii="Times New Roman" w:hAnsi="Times New Roman" w:cs="Times New Roman"/>
          <w:b/>
          <w:bCs/>
          <w:sz w:val="24"/>
          <w:szCs w:val="24"/>
        </w:rPr>
        <w:t>M E M O R A N D U M</w:t>
      </w:r>
    </w:p>
    <w:p w14:paraId="0AAE00D9" w14:textId="77777777" w:rsidR="001F50D0" w:rsidRDefault="001F50D0" w:rsidP="000E4419">
      <w:pPr>
        <w:rPr>
          <w:rFonts w:ascii="Times New Roman" w:hAnsi="Times New Roman" w:cs="Times New Roman"/>
          <w:sz w:val="24"/>
          <w:szCs w:val="24"/>
        </w:rPr>
      </w:pPr>
    </w:p>
    <w:p w14:paraId="111A972F" w14:textId="1EC52AC0" w:rsidR="000975F2" w:rsidRDefault="00FA531C" w:rsidP="0009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D37AB6">
        <w:rPr>
          <w:rFonts w:ascii="Times New Roman" w:hAnsi="Times New Roman" w:cs="Times New Roman"/>
          <w:sz w:val="24"/>
          <w:szCs w:val="24"/>
        </w:rPr>
        <w:t>[Administration]</w:t>
      </w:r>
    </w:p>
    <w:p w14:paraId="3CFDE7B0" w14:textId="77777777" w:rsidR="00D37AB6" w:rsidRDefault="00D37AB6" w:rsidP="0009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52917" w14:textId="73D8E6D6" w:rsidR="00FA531C" w:rsidRDefault="00FA531C" w:rsidP="000E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D37AB6">
        <w:rPr>
          <w:rFonts w:ascii="Times New Roman" w:hAnsi="Times New Roman" w:cs="Times New Roman"/>
          <w:sz w:val="24"/>
          <w:szCs w:val="24"/>
        </w:rPr>
        <w:t>[Experiential Sabbatical Applicant]</w:t>
      </w:r>
    </w:p>
    <w:p w14:paraId="0D13D237" w14:textId="6E10B66F" w:rsidR="00FA531C" w:rsidRDefault="00FA531C" w:rsidP="000E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D37AB6">
        <w:rPr>
          <w:rFonts w:ascii="Times New Roman" w:hAnsi="Times New Roman" w:cs="Times New Roman"/>
          <w:sz w:val="24"/>
          <w:szCs w:val="24"/>
        </w:rPr>
        <w:t>[]</w:t>
      </w:r>
    </w:p>
    <w:p w14:paraId="78E5385E" w14:textId="10490905" w:rsidR="00FA531C" w:rsidRPr="00C91668" w:rsidRDefault="00FA531C" w:rsidP="000E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 xml:space="preserve">Proposal for </w:t>
      </w:r>
      <w:r w:rsidR="00D37AB6">
        <w:rPr>
          <w:rFonts w:ascii="Times New Roman" w:hAnsi="Times New Roman" w:cs="Times New Roman"/>
          <w:sz w:val="24"/>
          <w:szCs w:val="24"/>
        </w:rPr>
        <w:t>Experiential Sabbatical</w:t>
      </w:r>
    </w:p>
    <w:p w14:paraId="7F9B340E" w14:textId="3FA476AB" w:rsidR="00FA531C" w:rsidRPr="00FA531C" w:rsidRDefault="00F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3DDAF" w14:textId="26CB49F3" w:rsidR="0045755F" w:rsidRPr="00A2085E" w:rsidRDefault="00FA531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595427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3AFD" w:rsidRPr="002366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1668">
        <w:rPr>
          <w:rFonts w:ascii="Times New Roman" w:hAnsi="Times New Roman" w:cs="Times New Roman"/>
          <w:b/>
          <w:bCs/>
          <w:sz w:val="24"/>
          <w:szCs w:val="24"/>
        </w:rPr>
        <w:t xml:space="preserve">The Premise:  Preparing Students for Practice </w:t>
      </w:r>
    </w:p>
    <w:bookmarkEnd w:id="0"/>
    <w:p w14:paraId="417AA971" w14:textId="60490CF3" w:rsidR="00C91668" w:rsidRDefault="0023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668">
        <w:rPr>
          <w:rFonts w:ascii="Times New Roman" w:hAnsi="Times New Roman" w:cs="Times New Roman"/>
          <w:sz w:val="24"/>
          <w:szCs w:val="24"/>
        </w:rPr>
        <w:t>The American Bar Association, the practicing bar, and commentators urge law schools to prepare students more thoroughly for practice. Law schools should—and do—require experiential learning as part of their programs</w:t>
      </w:r>
      <w:r w:rsidR="000975F2">
        <w:rPr>
          <w:rFonts w:ascii="Times New Roman" w:hAnsi="Times New Roman" w:cs="Times New Roman"/>
          <w:sz w:val="24"/>
          <w:szCs w:val="24"/>
        </w:rPr>
        <w:t>, usua</w:t>
      </w:r>
      <w:r w:rsidR="00215811">
        <w:rPr>
          <w:rFonts w:ascii="Times New Roman" w:hAnsi="Times New Roman" w:cs="Times New Roman"/>
          <w:sz w:val="24"/>
          <w:szCs w:val="24"/>
        </w:rPr>
        <w:t>lly in the second or third year</w:t>
      </w:r>
      <w:r w:rsidR="000975F2">
        <w:rPr>
          <w:rFonts w:ascii="Times New Roman" w:hAnsi="Times New Roman" w:cs="Times New Roman"/>
          <w:sz w:val="24"/>
          <w:szCs w:val="24"/>
        </w:rPr>
        <w:t xml:space="preserve"> of law school</w:t>
      </w:r>
      <w:r w:rsidR="00C91668">
        <w:rPr>
          <w:rFonts w:ascii="Times New Roman" w:hAnsi="Times New Roman" w:cs="Times New Roman"/>
          <w:sz w:val="24"/>
          <w:szCs w:val="24"/>
        </w:rPr>
        <w:t xml:space="preserve">. Yet first-year law professors too have a role to play, ideally infusing their courses with </w:t>
      </w:r>
      <w:r w:rsidR="00A651A3">
        <w:rPr>
          <w:rFonts w:ascii="Times New Roman" w:hAnsi="Times New Roman" w:cs="Times New Roman"/>
          <w:sz w:val="24"/>
          <w:szCs w:val="24"/>
        </w:rPr>
        <w:t>insights on</w:t>
      </w:r>
      <w:r w:rsidR="00C91668">
        <w:rPr>
          <w:rFonts w:ascii="Times New Roman" w:hAnsi="Times New Roman" w:cs="Times New Roman"/>
          <w:sz w:val="24"/>
          <w:szCs w:val="24"/>
        </w:rPr>
        <w:t xml:space="preserve"> how students should practice law. Both law teaching and legal practice are time-consuming endeavors, however, and law students expect and deserve (and the ABA requires) that full-time law professors give students their complete attention. Thus, the goal of preparing students </w:t>
      </w:r>
      <w:r w:rsidR="00A64740">
        <w:rPr>
          <w:rFonts w:ascii="Times New Roman" w:hAnsi="Times New Roman" w:cs="Times New Roman"/>
          <w:sz w:val="24"/>
          <w:szCs w:val="24"/>
        </w:rPr>
        <w:t xml:space="preserve">for the workplace is </w:t>
      </w:r>
      <w:r w:rsidR="00215811">
        <w:rPr>
          <w:rFonts w:ascii="Times New Roman" w:hAnsi="Times New Roman" w:cs="Times New Roman"/>
          <w:sz w:val="24"/>
          <w:szCs w:val="24"/>
        </w:rPr>
        <w:t xml:space="preserve">often </w:t>
      </w:r>
      <w:r w:rsidR="00A64740">
        <w:rPr>
          <w:rFonts w:ascii="Times New Roman" w:hAnsi="Times New Roman" w:cs="Times New Roman"/>
          <w:sz w:val="24"/>
          <w:szCs w:val="24"/>
        </w:rPr>
        <w:t>in tension with</w:t>
      </w:r>
      <w:r w:rsidR="00C91668">
        <w:rPr>
          <w:rFonts w:ascii="Times New Roman" w:hAnsi="Times New Roman" w:cs="Times New Roman"/>
          <w:sz w:val="24"/>
          <w:szCs w:val="24"/>
        </w:rPr>
        <w:t xml:space="preserve"> professors’ own distance from law practice. </w:t>
      </w:r>
      <w:r w:rsidR="00A939BD">
        <w:rPr>
          <w:rFonts w:ascii="Times New Roman" w:hAnsi="Times New Roman" w:cs="Times New Roman"/>
          <w:sz w:val="24"/>
          <w:szCs w:val="24"/>
        </w:rPr>
        <w:t xml:space="preserve">While </w:t>
      </w:r>
      <w:r w:rsidR="005C4167">
        <w:rPr>
          <w:rFonts w:ascii="Times New Roman" w:hAnsi="Times New Roman" w:cs="Times New Roman"/>
          <w:sz w:val="24"/>
          <w:szCs w:val="24"/>
        </w:rPr>
        <w:t>m</w:t>
      </w:r>
      <w:r w:rsidR="00F73CAE">
        <w:rPr>
          <w:rFonts w:ascii="Times New Roman" w:hAnsi="Times New Roman" w:cs="Times New Roman"/>
          <w:sz w:val="24"/>
          <w:szCs w:val="24"/>
        </w:rPr>
        <w:t>any</w:t>
      </w:r>
      <w:r w:rsidR="005C4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167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="005C4167">
        <w:rPr>
          <w:rFonts w:ascii="Times New Roman" w:hAnsi="Times New Roman" w:cs="Times New Roman"/>
          <w:sz w:val="24"/>
          <w:szCs w:val="24"/>
        </w:rPr>
        <w:t xml:space="preserve"> professors have </w:t>
      </w:r>
      <w:r w:rsidR="00A64740">
        <w:rPr>
          <w:rFonts w:ascii="Times New Roman" w:hAnsi="Times New Roman" w:cs="Times New Roman"/>
          <w:sz w:val="24"/>
          <w:szCs w:val="24"/>
        </w:rPr>
        <w:t>worked in law firms</w:t>
      </w:r>
      <w:r w:rsidR="005C4167">
        <w:rPr>
          <w:rFonts w:ascii="Times New Roman" w:hAnsi="Times New Roman" w:cs="Times New Roman"/>
          <w:sz w:val="24"/>
          <w:szCs w:val="24"/>
        </w:rPr>
        <w:t xml:space="preserve"> and either interned or clerked with a court, those experiences can be updated and sharpened</w:t>
      </w:r>
      <w:r w:rsidR="00857765">
        <w:rPr>
          <w:rFonts w:ascii="Times New Roman" w:hAnsi="Times New Roman" w:cs="Times New Roman"/>
          <w:sz w:val="24"/>
          <w:szCs w:val="24"/>
        </w:rPr>
        <w:t xml:space="preserve"> through an experiential sabbatical</w:t>
      </w:r>
      <w:r w:rsidR="005C4167">
        <w:rPr>
          <w:rFonts w:ascii="Times New Roman" w:hAnsi="Times New Roman" w:cs="Times New Roman"/>
          <w:sz w:val="24"/>
          <w:szCs w:val="24"/>
        </w:rPr>
        <w:t>.</w:t>
      </w:r>
      <w:r w:rsidR="00A651A3">
        <w:rPr>
          <w:rFonts w:ascii="Times New Roman" w:hAnsi="Times New Roman" w:cs="Times New Roman"/>
          <w:sz w:val="24"/>
          <w:szCs w:val="24"/>
        </w:rPr>
        <w:t xml:space="preserve"> </w:t>
      </w:r>
      <w:r w:rsidR="00D72ABD">
        <w:rPr>
          <w:rFonts w:ascii="Times New Roman" w:hAnsi="Times New Roman" w:cs="Times New Roman"/>
          <w:sz w:val="24"/>
          <w:szCs w:val="24"/>
        </w:rPr>
        <w:t>This kind of sabbatica</w:t>
      </w:r>
      <w:r w:rsidR="00A64740">
        <w:rPr>
          <w:rFonts w:ascii="Times New Roman" w:hAnsi="Times New Roman" w:cs="Times New Roman"/>
          <w:sz w:val="24"/>
          <w:szCs w:val="24"/>
        </w:rPr>
        <w:t>l</w:t>
      </w:r>
      <w:r w:rsidR="00D72ABD">
        <w:rPr>
          <w:rFonts w:ascii="Times New Roman" w:hAnsi="Times New Roman" w:cs="Times New Roman"/>
          <w:sz w:val="24"/>
          <w:szCs w:val="24"/>
        </w:rPr>
        <w:t xml:space="preserve"> is uncommon, but </w:t>
      </w:r>
      <w:r w:rsidR="00A64740">
        <w:rPr>
          <w:rFonts w:ascii="Times New Roman" w:hAnsi="Times New Roman" w:cs="Times New Roman"/>
          <w:sz w:val="24"/>
          <w:szCs w:val="24"/>
        </w:rPr>
        <w:t>those who have taken one report that the experience has transformed their</w:t>
      </w:r>
      <w:r w:rsidR="00377CCB">
        <w:rPr>
          <w:rFonts w:ascii="Times New Roman" w:hAnsi="Times New Roman" w:cs="Times New Roman"/>
          <w:sz w:val="24"/>
          <w:szCs w:val="24"/>
        </w:rPr>
        <w:t xml:space="preserve"> teaching</w:t>
      </w:r>
      <w:r w:rsidR="00D72ABD">
        <w:rPr>
          <w:rFonts w:ascii="Times New Roman" w:hAnsi="Times New Roman" w:cs="Times New Roman"/>
          <w:sz w:val="24"/>
          <w:szCs w:val="24"/>
        </w:rPr>
        <w:t>.</w:t>
      </w:r>
      <w:r w:rsidR="00D72AB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BD3475D" w14:textId="513DC70B" w:rsidR="00C91668" w:rsidRDefault="003625A7" w:rsidP="00C916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[Include subject-specific material here.] </w:t>
      </w:r>
      <w:r w:rsidR="00C91668">
        <w:rPr>
          <w:rFonts w:ascii="Times New Roman" w:hAnsi="Times New Roman" w:cs="Times New Roman"/>
          <w:sz w:val="24"/>
          <w:szCs w:val="24"/>
        </w:rPr>
        <w:t xml:space="preserve">Legal writing is the most practical first-year course, teaching a skill that many students </w:t>
      </w:r>
      <w:r w:rsidR="00A651A3">
        <w:rPr>
          <w:rFonts w:ascii="Times New Roman" w:hAnsi="Times New Roman" w:cs="Times New Roman"/>
          <w:sz w:val="24"/>
          <w:szCs w:val="24"/>
        </w:rPr>
        <w:t xml:space="preserve">deploy </w:t>
      </w:r>
      <w:r w:rsidR="00C91668">
        <w:rPr>
          <w:rFonts w:ascii="Times New Roman" w:hAnsi="Times New Roman" w:cs="Times New Roman"/>
          <w:sz w:val="24"/>
          <w:szCs w:val="24"/>
        </w:rPr>
        <w:t>in the</w:t>
      </w:r>
      <w:r w:rsidR="005C4167">
        <w:rPr>
          <w:rFonts w:ascii="Times New Roman" w:hAnsi="Times New Roman" w:cs="Times New Roman"/>
          <w:sz w:val="24"/>
          <w:szCs w:val="24"/>
        </w:rPr>
        <w:t>ir</w:t>
      </w:r>
      <w:r w:rsidR="00C91668">
        <w:rPr>
          <w:rFonts w:ascii="Times New Roman" w:hAnsi="Times New Roman" w:cs="Times New Roman"/>
          <w:sz w:val="24"/>
          <w:szCs w:val="24"/>
        </w:rPr>
        <w:t xml:space="preserve"> summer work, </w:t>
      </w:r>
      <w:r w:rsidR="00A651A3">
        <w:rPr>
          <w:rFonts w:ascii="Times New Roman" w:hAnsi="Times New Roman" w:cs="Times New Roman"/>
          <w:sz w:val="24"/>
          <w:szCs w:val="24"/>
        </w:rPr>
        <w:t>years</w:t>
      </w:r>
      <w:r w:rsidR="00C91668">
        <w:rPr>
          <w:rFonts w:ascii="Times New Roman" w:hAnsi="Times New Roman" w:cs="Times New Roman"/>
          <w:sz w:val="24"/>
          <w:szCs w:val="24"/>
        </w:rPr>
        <w:t xml:space="preserve"> before graduation. Legal writing courses too are subject to complaints that they do not teach </w:t>
      </w:r>
      <w:r w:rsidR="00781108">
        <w:rPr>
          <w:rFonts w:ascii="Times New Roman" w:hAnsi="Times New Roman" w:cs="Times New Roman"/>
          <w:sz w:val="24"/>
          <w:szCs w:val="24"/>
        </w:rPr>
        <w:t>real-life</w:t>
      </w:r>
      <w:r w:rsidR="00C91668">
        <w:rPr>
          <w:rFonts w:ascii="Times New Roman" w:hAnsi="Times New Roman" w:cs="Times New Roman"/>
          <w:sz w:val="24"/>
          <w:szCs w:val="24"/>
        </w:rPr>
        <w:t xml:space="preserve"> legal writing skills. Of course, a first semester law student must learn the foundational skill of </w:t>
      </w:r>
      <w:r w:rsidR="0095509A">
        <w:rPr>
          <w:rFonts w:ascii="Times New Roman" w:hAnsi="Times New Roman" w:cs="Times New Roman"/>
          <w:sz w:val="24"/>
          <w:szCs w:val="24"/>
        </w:rPr>
        <w:t xml:space="preserve">expressing </w:t>
      </w:r>
      <w:r w:rsidR="00C91668">
        <w:rPr>
          <w:rFonts w:ascii="Times New Roman" w:hAnsi="Times New Roman" w:cs="Times New Roman"/>
          <w:sz w:val="24"/>
          <w:szCs w:val="24"/>
        </w:rPr>
        <w:t xml:space="preserve">legal analysis in writing before </w:t>
      </w:r>
      <w:r w:rsidR="00857765">
        <w:rPr>
          <w:rFonts w:ascii="Times New Roman" w:hAnsi="Times New Roman" w:cs="Times New Roman"/>
          <w:sz w:val="24"/>
          <w:szCs w:val="24"/>
        </w:rPr>
        <w:t xml:space="preserve">exploring </w:t>
      </w:r>
      <w:r w:rsidR="00C91668">
        <w:rPr>
          <w:rFonts w:ascii="Times New Roman" w:hAnsi="Times New Roman" w:cs="Times New Roman"/>
          <w:sz w:val="24"/>
          <w:szCs w:val="24"/>
        </w:rPr>
        <w:t xml:space="preserve">the nuances of </w:t>
      </w:r>
      <w:proofErr w:type="gramStart"/>
      <w:r w:rsidR="00C91668">
        <w:rPr>
          <w:rFonts w:ascii="Times New Roman" w:hAnsi="Times New Roman" w:cs="Times New Roman"/>
          <w:sz w:val="24"/>
          <w:szCs w:val="24"/>
        </w:rPr>
        <w:t>particular genres</w:t>
      </w:r>
      <w:proofErr w:type="gramEnd"/>
      <w:r w:rsidR="00C91668">
        <w:rPr>
          <w:rFonts w:ascii="Times New Roman" w:hAnsi="Times New Roman" w:cs="Times New Roman"/>
          <w:sz w:val="24"/>
          <w:szCs w:val="24"/>
        </w:rPr>
        <w:t>. In the second semester,</w:t>
      </w:r>
      <w:r w:rsidR="00F73CAE">
        <w:rPr>
          <w:rFonts w:ascii="Times New Roman" w:hAnsi="Times New Roman" w:cs="Times New Roman"/>
          <w:sz w:val="24"/>
          <w:szCs w:val="24"/>
        </w:rPr>
        <w:t xml:space="preserve"> however,</w:t>
      </w:r>
      <w:r w:rsidR="00C91668">
        <w:rPr>
          <w:rFonts w:ascii="Times New Roman" w:hAnsi="Times New Roman" w:cs="Times New Roman"/>
          <w:sz w:val="24"/>
          <w:szCs w:val="24"/>
        </w:rPr>
        <w:t xml:space="preserve"> </w:t>
      </w:r>
      <w:r w:rsidR="00857765">
        <w:rPr>
          <w:rFonts w:ascii="Times New Roman" w:hAnsi="Times New Roman" w:cs="Times New Roman"/>
          <w:sz w:val="24"/>
          <w:szCs w:val="24"/>
        </w:rPr>
        <w:t xml:space="preserve">legal writing classes at </w:t>
      </w:r>
      <w:r w:rsidR="00C91668">
        <w:rPr>
          <w:rFonts w:ascii="Times New Roman" w:hAnsi="Times New Roman" w:cs="Times New Roman"/>
          <w:sz w:val="24"/>
          <w:szCs w:val="24"/>
        </w:rPr>
        <w:t>South Texas College of Law Houston</w:t>
      </w:r>
      <w:r w:rsidR="00857765">
        <w:rPr>
          <w:rFonts w:ascii="Times New Roman" w:hAnsi="Times New Roman" w:cs="Times New Roman"/>
          <w:sz w:val="24"/>
          <w:szCs w:val="24"/>
        </w:rPr>
        <w:t xml:space="preserve"> </w:t>
      </w:r>
      <w:r w:rsidR="00C91668">
        <w:rPr>
          <w:rFonts w:ascii="Times New Roman" w:hAnsi="Times New Roman" w:cs="Times New Roman"/>
          <w:sz w:val="24"/>
          <w:szCs w:val="24"/>
        </w:rPr>
        <w:t xml:space="preserve">turn to persuasive writing. Persuasive writing serves a particular purpose, with a particular audience: the court. Ideally, therefore, professors would have a complete and up-to-date understanding of exactly how best to craft a document to serve </w:t>
      </w:r>
      <w:r w:rsidR="007C024D">
        <w:rPr>
          <w:rFonts w:ascii="Times New Roman" w:hAnsi="Times New Roman" w:cs="Times New Roman"/>
          <w:sz w:val="24"/>
          <w:szCs w:val="24"/>
        </w:rPr>
        <w:t xml:space="preserve">today’s judicial </w:t>
      </w:r>
      <w:r w:rsidR="00C91668">
        <w:rPr>
          <w:rFonts w:ascii="Times New Roman" w:hAnsi="Times New Roman" w:cs="Times New Roman"/>
          <w:sz w:val="24"/>
          <w:szCs w:val="24"/>
        </w:rPr>
        <w:t>audience</w:t>
      </w:r>
      <w:r w:rsidR="00781108">
        <w:rPr>
          <w:rFonts w:ascii="Times New Roman" w:hAnsi="Times New Roman" w:cs="Times New Roman"/>
          <w:sz w:val="24"/>
          <w:szCs w:val="24"/>
        </w:rPr>
        <w:t>.</w:t>
      </w:r>
    </w:p>
    <w:p w14:paraId="67ABE53B" w14:textId="3136B99B" w:rsidR="00C91668" w:rsidRDefault="00215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5A7">
        <w:rPr>
          <w:rFonts w:ascii="Times New Roman" w:hAnsi="Times New Roman" w:cs="Times New Roman"/>
          <w:sz w:val="24"/>
          <w:szCs w:val="24"/>
        </w:rPr>
        <w:t xml:space="preserve">[Include goal of sabbatical here.]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sabbatical internship is</w:t>
      </w:r>
      <w:r w:rsid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intended</w:t>
      </w:r>
      <w:r w:rsidR="00C91668">
        <w:rPr>
          <w:rFonts w:ascii="Times New Roman" w:hAnsi="Times New Roman" w:cs="Times New Roman"/>
          <w:sz w:val="24"/>
          <w:szCs w:val="24"/>
        </w:rPr>
        <w:t xml:space="preserve"> to infuse this professor’s legal writing classroom with </w:t>
      </w:r>
      <w:r w:rsidR="005C4167">
        <w:rPr>
          <w:rFonts w:ascii="Times New Roman" w:hAnsi="Times New Roman" w:cs="Times New Roman"/>
          <w:sz w:val="24"/>
          <w:szCs w:val="24"/>
        </w:rPr>
        <w:t>fresh</w:t>
      </w:r>
      <w:r w:rsidR="00C91668">
        <w:rPr>
          <w:rFonts w:ascii="Times New Roman" w:hAnsi="Times New Roman" w:cs="Times New Roman"/>
          <w:sz w:val="24"/>
          <w:szCs w:val="24"/>
        </w:rPr>
        <w:t xml:space="preserve"> information and guidance for students’ </w:t>
      </w:r>
      <w:r w:rsidR="00C91668">
        <w:rPr>
          <w:rFonts w:ascii="Times New Roman" w:hAnsi="Times New Roman" w:cs="Times New Roman"/>
          <w:sz w:val="24"/>
          <w:szCs w:val="24"/>
        </w:rPr>
        <w:lastRenderedPageBreak/>
        <w:t xml:space="preserve">persuasive writing. The goal is for these early lessons to become intrinsic to students’ writing, so students become more </w:t>
      </w:r>
      <w:r w:rsidR="00781108">
        <w:rPr>
          <w:rFonts w:ascii="Times New Roman" w:hAnsi="Times New Roman" w:cs="Times New Roman"/>
          <w:sz w:val="24"/>
          <w:szCs w:val="24"/>
        </w:rPr>
        <w:t>effective</w:t>
      </w:r>
      <w:r w:rsidR="00C91668">
        <w:rPr>
          <w:rFonts w:ascii="Times New Roman" w:hAnsi="Times New Roman" w:cs="Times New Roman"/>
          <w:sz w:val="24"/>
          <w:szCs w:val="24"/>
        </w:rPr>
        <w:t xml:space="preserve"> writers </w:t>
      </w:r>
      <w:r w:rsidR="005C4167">
        <w:rPr>
          <w:rFonts w:ascii="Times New Roman" w:hAnsi="Times New Roman" w:cs="Times New Roman"/>
          <w:sz w:val="24"/>
          <w:szCs w:val="24"/>
        </w:rPr>
        <w:t>immediately</w:t>
      </w:r>
      <w:r w:rsidR="00377CCB">
        <w:rPr>
          <w:rFonts w:ascii="Times New Roman" w:hAnsi="Times New Roman" w:cs="Times New Roman"/>
          <w:sz w:val="24"/>
          <w:szCs w:val="24"/>
        </w:rPr>
        <w:t xml:space="preserve"> and permanently</w:t>
      </w:r>
      <w:r w:rsidR="00C91668">
        <w:rPr>
          <w:rFonts w:ascii="Times New Roman" w:hAnsi="Times New Roman" w:cs="Times New Roman"/>
          <w:sz w:val="24"/>
          <w:szCs w:val="24"/>
        </w:rPr>
        <w:t xml:space="preserve">. Students can then apply these skills in their </w:t>
      </w:r>
      <w:r w:rsidR="005C4167">
        <w:rPr>
          <w:rFonts w:ascii="Times New Roman" w:hAnsi="Times New Roman" w:cs="Times New Roman"/>
          <w:sz w:val="24"/>
          <w:szCs w:val="24"/>
        </w:rPr>
        <w:t xml:space="preserve">earliest </w:t>
      </w:r>
      <w:r w:rsidR="00C91668">
        <w:rPr>
          <w:rFonts w:ascii="Times New Roman" w:hAnsi="Times New Roman" w:cs="Times New Roman"/>
          <w:sz w:val="24"/>
          <w:szCs w:val="24"/>
        </w:rPr>
        <w:t xml:space="preserve">internships, clerkships, and </w:t>
      </w:r>
      <w:r w:rsidR="0095509A">
        <w:rPr>
          <w:rFonts w:ascii="Times New Roman" w:hAnsi="Times New Roman" w:cs="Times New Roman"/>
          <w:sz w:val="24"/>
          <w:szCs w:val="24"/>
        </w:rPr>
        <w:t>clinic work, and later</w:t>
      </w:r>
      <w:r w:rsidR="00781108">
        <w:rPr>
          <w:rFonts w:ascii="Times New Roman" w:hAnsi="Times New Roman" w:cs="Times New Roman"/>
          <w:sz w:val="24"/>
          <w:szCs w:val="24"/>
        </w:rPr>
        <w:t>,</w:t>
      </w:r>
      <w:r w:rsidR="0095509A">
        <w:rPr>
          <w:rFonts w:ascii="Times New Roman" w:hAnsi="Times New Roman" w:cs="Times New Roman"/>
          <w:sz w:val="24"/>
          <w:szCs w:val="24"/>
        </w:rPr>
        <w:t xml:space="preserve"> in their </w:t>
      </w:r>
      <w:r w:rsidR="00C91668">
        <w:rPr>
          <w:rFonts w:ascii="Times New Roman" w:hAnsi="Times New Roman" w:cs="Times New Roman"/>
          <w:sz w:val="24"/>
          <w:szCs w:val="24"/>
        </w:rPr>
        <w:t>careers.</w:t>
      </w:r>
      <w:r w:rsidR="000F5F1D">
        <w:rPr>
          <w:rFonts w:ascii="Times New Roman" w:hAnsi="Times New Roman" w:cs="Times New Roman"/>
          <w:sz w:val="24"/>
          <w:szCs w:val="24"/>
        </w:rPr>
        <w:t xml:space="preserve"> This project</w:t>
      </w:r>
      <w:r w:rsidR="00A651A3">
        <w:rPr>
          <w:rFonts w:ascii="Times New Roman" w:hAnsi="Times New Roman" w:cs="Times New Roman"/>
          <w:sz w:val="24"/>
          <w:szCs w:val="24"/>
        </w:rPr>
        <w:t xml:space="preserve"> </w:t>
      </w:r>
      <w:r w:rsidR="000975F2">
        <w:rPr>
          <w:rFonts w:ascii="Times New Roman" w:hAnsi="Times New Roman" w:cs="Times New Roman"/>
          <w:sz w:val="24"/>
          <w:szCs w:val="24"/>
        </w:rPr>
        <w:t>aims</w:t>
      </w:r>
      <w:r w:rsidR="000F5F1D">
        <w:rPr>
          <w:rFonts w:ascii="Times New Roman" w:hAnsi="Times New Roman" w:cs="Times New Roman"/>
          <w:sz w:val="24"/>
          <w:szCs w:val="24"/>
        </w:rPr>
        <w:t xml:space="preserve"> to improve the quality of students’ writing</w:t>
      </w:r>
      <w:r w:rsidR="009274BA">
        <w:rPr>
          <w:rFonts w:ascii="Times New Roman" w:hAnsi="Times New Roman" w:cs="Times New Roman"/>
          <w:sz w:val="24"/>
          <w:szCs w:val="24"/>
        </w:rPr>
        <w:t>, and eventually, that of new attorneys</w:t>
      </w:r>
      <w:r w:rsidR="000F5F1D">
        <w:rPr>
          <w:rFonts w:ascii="Times New Roman" w:hAnsi="Times New Roman" w:cs="Times New Roman"/>
          <w:sz w:val="24"/>
          <w:szCs w:val="24"/>
        </w:rPr>
        <w:t>.</w:t>
      </w:r>
    </w:p>
    <w:p w14:paraId="123713D8" w14:textId="69805DFA" w:rsidR="00C91668" w:rsidRPr="00A2085E" w:rsidRDefault="00C91668" w:rsidP="00C916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6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Proposal:  </w:t>
      </w:r>
      <w:r w:rsidR="007C024D">
        <w:rPr>
          <w:rFonts w:ascii="Times New Roman" w:hAnsi="Times New Roman" w:cs="Times New Roman"/>
          <w:b/>
          <w:bCs/>
          <w:sz w:val="24"/>
          <w:szCs w:val="24"/>
        </w:rPr>
        <w:t xml:space="preserve">Three Sessions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Weeks </w:t>
      </w:r>
      <w:r w:rsidR="007C024D">
        <w:rPr>
          <w:rFonts w:ascii="Times New Roman" w:hAnsi="Times New Roman" w:cs="Times New Roman"/>
          <w:b/>
          <w:bCs/>
          <w:sz w:val="24"/>
          <w:szCs w:val="24"/>
        </w:rPr>
        <w:t xml:space="preserve">Each, </w:t>
      </w:r>
      <w:r>
        <w:rPr>
          <w:rFonts w:ascii="Times New Roman" w:hAnsi="Times New Roman" w:cs="Times New Roman"/>
          <w:b/>
          <w:bCs/>
          <w:sz w:val="24"/>
          <w:szCs w:val="24"/>
        </w:rPr>
        <w:t>for Learning and Service</w:t>
      </w:r>
    </w:p>
    <w:p w14:paraId="058230ED" w14:textId="450DAA58" w:rsidR="003625A7" w:rsidRDefault="003625A7" w:rsidP="003625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goals and specific outcomes here.]</w:t>
      </w:r>
    </w:p>
    <w:p w14:paraId="2F556A46" w14:textId="054D6757" w:rsidR="00EE5EC7" w:rsidRDefault="00EE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interning with a state trial court, a federal trial court, and a federal court of appeals, each for four weeks</w:t>
      </w:r>
      <w:r w:rsidR="00781108">
        <w:rPr>
          <w:rFonts w:ascii="Times New Roman" w:hAnsi="Times New Roman" w:cs="Times New Roman"/>
          <w:sz w:val="24"/>
          <w:szCs w:val="24"/>
        </w:rPr>
        <w:t xml:space="preserve"> during </w:t>
      </w:r>
      <w:r w:rsidR="00377CCB">
        <w:rPr>
          <w:rFonts w:ascii="Times New Roman" w:hAnsi="Times New Roman" w:cs="Times New Roman"/>
          <w:sz w:val="24"/>
          <w:szCs w:val="24"/>
        </w:rPr>
        <w:t>a</w:t>
      </w:r>
      <w:r w:rsidR="00781108">
        <w:rPr>
          <w:rFonts w:ascii="Times New Roman" w:hAnsi="Times New Roman" w:cs="Times New Roman"/>
          <w:sz w:val="24"/>
          <w:szCs w:val="24"/>
        </w:rPr>
        <w:t xml:space="preserve"> sabbatical semester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1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hope to gain a deeper understanding of how legal writing students can best write for courts. </w:t>
      </w:r>
    </w:p>
    <w:p w14:paraId="5993A059" w14:textId="374F5EBB" w:rsidR="00C91668" w:rsidRDefault="00EE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flexible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 and duties, and I expect to pitch in and help with any research, writing, editing, or other project that would assist the Court. </w:t>
      </w:r>
      <w:r w:rsidR="00781108">
        <w:rPr>
          <w:rFonts w:ascii="Times New Roman" w:hAnsi="Times New Roman" w:cs="Times New Roman"/>
          <w:sz w:val="24"/>
          <w:szCs w:val="24"/>
        </w:rPr>
        <w:t>I hope to observe oral arguments and learn what is effective and ineffective in making arguments to the Court.</w:t>
      </w:r>
      <w:r w:rsidR="00857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2A20" w14:textId="45558B40" w:rsidR="002C658F" w:rsidRPr="004F427E" w:rsidRDefault="008C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 out below are some of the points that I hope to learn more about, through observation and participation.</w:t>
      </w:r>
    </w:p>
    <w:tbl>
      <w:tblPr>
        <w:tblStyle w:val="PlainTable1"/>
        <w:tblW w:w="10080" w:type="dxa"/>
        <w:tblInd w:w="-275" w:type="dxa"/>
        <w:tblLook w:val="04A0" w:firstRow="1" w:lastRow="0" w:firstColumn="1" w:lastColumn="0" w:noHBand="0" w:noVBand="1"/>
      </w:tblPr>
      <w:tblGrid>
        <w:gridCol w:w="540"/>
        <w:gridCol w:w="6210"/>
        <w:gridCol w:w="3330"/>
      </w:tblGrid>
      <w:tr w:rsidR="00FD1236" w14:paraId="2C4EC4A3" w14:textId="77777777" w:rsidTr="0009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2A45975" w14:textId="3F369D73" w:rsidR="00FD1236" w:rsidRPr="00073C03" w:rsidRDefault="00FD1236" w:rsidP="00C916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10" w:type="dxa"/>
          </w:tcPr>
          <w:p w14:paraId="0608ADFB" w14:textId="5182C4F7" w:rsidR="00FD1236" w:rsidRPr="00073C03" w:rsidRDefault="00C91668" w:rsidP="00C91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Issue</w:t>
            </w:r>
            <w:r w:rsidR="007F1AEF">
              <w:rPr>
                <w:sz w:val="23"/>
                <w:szCs w:val="23"/>
              </w:rPr>
              <w:t>s</w:t>
            </w:r>
          </w:p>
        </w:tc>
        <w:tc>
          <w:tcPr>
            <w:tcW w:w="3330" w:type="dxa"/>
          </w:tcPr>
          <w:p w14:paraId="16072CCF" w14:textId="271A1FB6" w:rsidR="00FD1236" w:rsidRPr="00073C03" w:rsidRDefault="00C91668" w:rsidP="00C91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the Intern Can Learn</w:t>
            </w:r>
          </w:p>
        </w:tc>
      </w:tr>
      <w:tr w:rsidR="00FD1236" w14:paraId="1F3A9C89" w14:textId="77777777" w:rsidTr="0009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4DA66F9" w14:textId="50634E30" w:rsidR="00FD1236" w:rsidRPr="00073C03" w:rsidRDefault="00FD1236" w:rsidP="00EE5A84">
            <w:pPr>
              <w:rPr>
                <w:sz w:val="23"/>
                <w:szCs w:val="23"/>
              </w:rPr>
            </w:pPr>
            <w:r w:rsidRPr="00073C03">
              <w:rPr>
                <w:sz w:val="23"/>
                <w:szCs w:val="23"/>
              </w:rPr>
              <w:t>1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4ED485C1" w14:textId="53C2A4D2" w:rsidR="00C91668" w:rsidRDefault="00C91668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The flow of the </w:t>
            </w:r>
            <w:r w:rsidR="007C024D">
              <w:rPr>
                <w:rFonts w:eastAsia="Times New Roman" w:cs="Times New Roman"/>
                <w:color w:val="000000"/>
                <w:sz w:val="23"/>
                <w:szCs w:val="23"/>
              </w:rPr>
              <w:t>C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ourt—what are the time</w:t>
            </w:r>
            <w:r w:rsidR="008C4FCD">
              <w:rPr>
                <w:rFonts w:eastAsia="Times New Roman" w:cs="Times New Roman"/>
                <w:color w:val="000000"/>
                <w:sz w:val="23"/>
                <w:szCs w:val="23"/>
              </w:rPr>
              <w:t>-related and other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pressures that the </w:t>
            </w:r>
            <w:r w:rsidR="000975F2">
              <w:rPr>
                <w:rFonts w:eastAsia="Times New Roman" w:cs="Times New Roman"/>
                <w:color w:val="000000"/>
                <w:sz w:val="23"/>
                <w:szCs w:val="23"/>
              </w:rPr>
              <w:t>C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ourt is under? </w:t>
            </w:r>
          </w:p>
          <w:p w14:paraId="30D7B544" w14:textId="77777777" w:rsidR="00C91668" w:rsidRDefault="00C91668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14:paraId="1A54FB5B" w14:textId="5FAC159C" w:rsidR="00FD1236" w:rsidRDefault="00C91668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91668"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  <w:t>Writing is above all an act of empath</w:t>
            </w:r>
            <w:r w:rsidR="00215811"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  <w:t>y, and law students must learn</w:t>
            </w:r>
            <w:r w:rsidRPr="00C91668"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  <w:t xml:space="preserve"> to put themselves in the shoes of the reader.</w:t>
            </w:r>
            <w:r w:rsidR="008C4FCD"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  <w:t xml:space="preserve"> Students’ writing must be fit for the intended purpose and audience.</w:t>
            </w:r>
          </w:p>
          <w:p w14:paraId="29AD3C6B" w14:textId="659EDB6E" w:rsidR="008C4FCD" w:rsidRPr="00C91668" w:rsidRDefault="008C4FCD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330" w:type="dxa"/>
          </w:tcPr>
          <w:p w14:paraId="75F3A62A" w14:textId="735487D4" w:rsidR="00FD1236" w:rsidRPr="00073C03" w:rsidRDefault="00C91668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intern will, through observation and participation, learn how the </w:t>
            </w:r>
            <w:r w:rsidR="007C024D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 operates and in turn, how a lawyer’s writing should take those</w:t>
            </w:r>
            <w:r w:rsidR="00781108">
              <w:rPr>
                <w:sz w:val="23"/>
                <w:szCs w:val="23"/>
              </w:rPr>
              <w:t xml:space="preserve"> circumstances and</w:t>
            </w:r>
            <w:r>
              <w:rPr>
                <w:sz w:val="23"/>
                <w:szCs w:val="23"/>
              </w:rPr>
              <w:t xml:space="preserve"> pressures into account.</w:t>
            </w:r>
          </w:p>
        </w:tc>
      </w:tr>
      <w:tr w:rsidR="00FD1236" w14:paraId="3C6C902A" w14:textId="77777777" w:rsidTr="0009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693F03D" w14:textId="0CBB5A9D" w:rsidR="00FD1236" w:rsidRPr="00073C03" w:rsidRDefault="00FD1236" w:rsidP="00EE5A84">
            <w:pPr>
              <w:rPr>
                <w:sz w:val="23"/>
                <w:szCs w:val="23"/>
              </w:rPr>
            </w:pPr>
            <w:r w:rsidRPr="00073C03">
              <w:rPr>
                <w:sz w:val="23"/>
                <w:szCs w:val="23"/>
              </w:rPr>
              <w:t>2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00EE8F22" w14:textId="640171D8" w:rsidR="00FD1236" w:rsidRDefault="00C91668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document’s journey—how does a document flow through the </w:t>
            </w:r>
            <w:r w:rsidR="000975F2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 to a decision upon it?</w:t>
            </w:r>
            <w:r w:rsidR="006F667F">
              <w:rPr>
                <w:sz w:val="23"/>
                <w:szCs w:val="23"/>
              </w:rPr>
              <w:t xml:space="preserve"> How can attorneys ensure their writing is suitable for all potential readers?</w:t>
            </w:r>
          </w:p>
          <w:p w14:paraId="21EB6E14" w14:textId="77777777" w:rsidR="00C91668" w:rsidRDefault="00C91668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7CA8CCD3" w14:textId="77777777" w:rsidR="00C91668" w:rsidRDefault="00C91668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Beginning law students (and perhaps even some lawyers) </w:t>
            </w:r>
            <w:r w:rsidR="00377CCB">
              <w:rPr>
                <w:i/>
                <w:iCs/>
                <w:sz w:val="23"/>
                <w:szCs w:val="23"/>
              </w:rPr>
              <w:t xml:space="preserve">may </w:t>
            </w:r>
            <w:r>
              <w:rPr>
                <w:i/>
                <w:iCs/>
                <w:sz w:val="23"/>
                <w:szCs w:val="23"/>
              </w:rPr>
              <w:t xml:space="preserve">focus on their writing in isolation, aiming to show their prowess rather than to serve a purpose. Understanding how a document </w:t>
            </w:r>
            <w:r w:rsidR="000F5F1D">
              <w:rPr>
                <w:i/>
                <w:iCs/>
                <w:sz w:val="23"/>
                <w:szCs w:val="23"/>
              </w:rPr>
              <w:t xml:space="preserve">moves through the </w:t>
            </w:r>
            <w:r w:rsidR="007C024D">
              <w:rPr>
                <w:i/>
                <w:iCs/>
                <w:sz w:val="23"/>
                <w:szCs w:val="23"/>
              </w:rPr>
              <w:t>C</w:t>
            </w:r>
            <w:r w:rsidR="000F5F1D">
              <w:rPr>
                <w:i/>
                <w:iCs/>
                <w:sz w:val="23"/>
                <w:szCs w:val="23"/>
              </w:rPr>
              <w:t>ourt’s process will help students see their writing within the larger context.</w:t>
            </w:r>
          </w:p>
          <w:p w14:paraId="14741E0B" w14:textId="1DF28A1A" w:rsidR="000975F2" w:rsidRPr="00C91668" w:rsidRDefault="000975F2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45B14338" w14:textId="2CA66EC6" w:rsidR="00FD1236" w:rsidRPr="00073C03" w:rsidRDefault="000F5F1D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intern can observe processes and speak with colleagues and the </w:t>
            </w:r>
            <w:r w:rsidR="008C4FCD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ourt.</w:t>
            </w:r>
          </w:p>
        </w:tc>
      </w:tr>
      <w:tr w:rsidR="006F667F" w14:paraId="1A77BC28" w14:textId="77777777" w:rsidTr="0009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98E6A6F" w14:textId="0A8FDDFA" w:rsidR="006F667F" w:rsidRPr="00073C03" w:rsidRDefault="006F667F" w:rsidP="00EE5A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738A73DE" w14:textId="395C9DF4" w:rsidR="006F667F" w:rsidRDefault="006F667F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Parts of the document—which parts most aid the reader?  How can an introduction</w:t>
            </w:r>
            <w:r w:rsidR="00F73CAE">
              <w:rPr>
                <w:sz w:val="23"/>
                <w:szCs w:val="23"/>
              </w:rPr>
              <w:t>, for example,</w:t>
            </w:r>
            <w:r>
              <w:rPr>
                <w:sz w:val="23"/>
                <w:szCs w:val="23"/>
              </w:rPr>
              <w:t xml:space="preserve"> be most helpful?</w:t>
            </w:r>
          </w:p>
          <w:p w14:paraId="139E6828" w14:textId="77777777" w:rsidR="006F667F" w:rsidRDefault="006F667F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4E20681D" w14:textId="77777777" w:rsidR="006F667F" w:rsidRDefault="00F73CAE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 applicable rules dictate the necessary parts of a persuasive document. But how should students shape these parts to best reach the </w:t>
            </w:r>
            <w:r w:rsidR="007C024D">
              <w:rPr>
                <w:i/>
                <w:iCs/>
                <w:sz w:val="23"/>
                <w:szCs w:val="23"/>
              </w:rPr>
              <w:t>C</w:t>
            </w:r>
            <w:r>
              <w:rPr>
                <w:i/>
                <w:iCs/>
                <w:sz w:val="23"/>
                <w:szCs w:val="23"/>
              </w:rPr>
              <w:t>ourt?</w:t>
            </w:r>
          </w:p>
          <w:p w14:paraId="0795EEE2" w14:textId="72C6C27F" w:rsidR="000975F2" w:rsidRPr="00F73CAE" w:rsidRDefault="000975F2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1DF9FD51" w14:textId="4F80FA78" w:rsidR="006F667F" w:rsidRDefault="00F73CAE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can listen, observe, and learn which parts are most helpful</w:t>
            </w:r>
          </w:p>
        </w:tc>
      </w:tr>
      <w:tr w:rsidR="00FD1236" w14:paraId="0E47A559" w14:textId="77777777" w:rsidTr="0009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BE3666A" w14:textId="4C43885A" w:rsidR="00FD1236" w:rsidRPr="00073C03" w:rsidRDefault="006F667F" w:rsidP="00EE5A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6678B52D" w14:textId="77777777" w:rsidR="00FD1236" w:rsidRDefault="008C4FCD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Comparative persuasion—</w:t>
            </w:r>
            <w:r w:rsidR="007F1AEF">
              <w:rPr>
                <w:sz w:val="23"/>
                <w:szCs w:val="23"/>
              </w:rPr>
              <w:t xml:space="preserve">when two sides address an issue, what are the characteristics of the more persuasive motion or brief? </w:t>
            </w:r>
          </w:p>
          <w:p w14:paraId="79B5DAC0" w14:textId="77777777" w:rsidR="007F1AEF" w:rsidRDefault="007F1AEF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03AB3432" w14:textId="77777777" w:rsidR="007F1AEF" w:rsidRDefault="007F1AEF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Students sometimes forget that if their own writing is opaque or unclear, the other side’s voice </w:t>
            </w:r>
            <w:r w:rsidR="007C024D">
              <w:rPr>
                <w:i/>
                <w:iCs/>
                <w:sz w:val="23"/>
                <w:szCs w:val="23"/>
              </w:rPr>
              <w:t>could</w:t>
            </w:r>
            <w:r>
              <w:rPr>
                <w:i/>
                <w:iCs/>
                <w:sz w:val="23"/>
                <w:szCs w:val="23"/>
              </w:rPr>
              <w:t xml:space="preserve"> be amplified by default.</w:t>
            </w:r>
          </w:p>
          <w:p w14:paraId="4DDCAB1A" w14:textId="3BE963EC" w:rsidR="007C024D" w:rsidRPr="007F1AEF" w:rsidRDefault="007C024D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259CDFEF" w14:textId="52C0DF70" w:rsidR="00FD1236" w:rsidRPr="00073C03" w:rsidRDefault="007F1AEF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looks forward to reading both sides’ persuasion and seeing which prevails, and why</w:t>
            </w:r>
            <w:r w:rsidR="00377CCB">
              <w:rPr>
                <w:sz w:val="23"/>
                <w:szCs w:val="23"/>
              </w:rPr>
              <w:t>.</w:t>
            </w:r>
          </w:p>
        </w:tc>
      </w:tr>
      <w:tr w:rsidR="00FD1236" w14:paraId="6F00BED1" w14:textId="77777777" w:rsidTr="0009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FE4E839" w14:textId="55D2B7F1" w:rsidR="00FD1236" w:rsidRPr="00073C03" w:rsidRDefault="006F667F" w:rsidP="00EE5A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57D78E86" w14:textId="5D239FBF" w:rsidR="00FD1236" w:rsidRDefault="00003DD9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Brevity and complete</w:t>
            </w:r>
            <w:r w:rsidR="00215811">
              <w:rPr>
                <w:sz w:val="23"/>
                <w:szCs w:val="23"/>
              </w:rPr>
              <w:t>ness—when should writers engage</w:t>
            </w:r>
            <w:r>
              <w:rPr>
                <w:sz w:val="23"/>
                <w:szCs w:val="23"/>
              </w:rPr>
              <w:t xml:space="preserve"> i</w:t>
            </w:r>
            <w:r w:rsidR="008C4FCD">
              <w:rPr>
                <w:sz w:val="23"/>
                <w:szCs w:val="23"/>
              </w:rPr>
              <w:t xml:space="preserve">n a </w:t>
            </w:r>
            <w:r>
              <w:rPr>
                <w:sz w:val="23"/>
                <w:szCs w:val="23"/>
              </w:rPr>
              <w:t>lengt</w:t>
            </w:r>
            <w:r w:rsidR="008C4FCD">
              <w:rPr>
                <w:sz w:val="23"/>
                <w:szCs w:val="23"/>
              </w:rPr>
              <w:t>hier</w:t>
            </w:r>
            <w:r>
              <w:rPr>
                <w:sz w:val="23"/>
                <w:szCs w:val="23"/>
              </w:rPr>
              <w:t xml:space="preserve"> discussion, and when should a couple of pages suffice? Are points getting lost in lengthy briefs and motions?</w:t>
            </w:r>
          </w:p>
          <w:p w14:paraId="6BB5A37D" w14:textId="77777777" w:rsidR="00003DD9" w:rsidRDefault="00003DD9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47DE72DD" w14:textId="77777777" w:rsidR="00003DD9" w:rsidRDefault="00003DD9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Students sometimes have trouble trimming down their thoughts, choosing instead to engage in lengthy discussions of </w:t>
            </w:r>
            <w:r w:rsidR="00377CCB">
              <w:rPr>
                <w:i/>
                <w:iCs/>
                <w:sz w:val="23"/>
                <w:szCs w:val="23"/>
              </w:rPr>
              <w:t>less relevant point</w:t>
            </w:r>
            <w:r>
              <w:rPr>
                <w:i/>
                <w:iCs/>
                <w:sz w:val="23"/>
                <w:szCs w:val="23"/>
              </w:rPr>
              <w:t xml:space="preserve">. Learning the risks of verbosity will </w:t>
            </w:r>
            <w:r w:rsidR="008C4FCD">
              <w:rPr>
                <w:i/>
                <w:iCs/>
                <w:sz w:val="23"/>
                <w:szCs w:val="23"/>
              </w:rPr>
              <w:t>help students write more effectively.</w:t>
            </w:r>
          </w:p>
          <w:p w14:paraId="7BADA5B9" w14:textId="0AC1CCE7" w:rsidR="007C024D" w:rsidRPr="00003DD9" w:rsidRDefault="007C024D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4FBBB44D" w14:textId="62F8911B" w:rsidR="00FD1236" w:rsidRPr="00073C03" w:rsidRDefault="00377CCB" w:rsidP="00EE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can observe the documents before the Court and learn which is more effective.</w:t>
            </w:r>
          </w:p>
        </w:tc>
      </w:tr>
      <w:tr w:rsidR="00FD1236" w14:paraId="3383FF03" w14:textId="77777777" w:rsidTr="0009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AA557C2" w14:textId="0FE76AD3" w:rsidR="00FD1236" w:rsidRPr="00073C03" w:rsidRDefault="006F667F" w:rsidP="00EE5A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0A3017ED" w14:textId="77777777" w:rsidR="00FD1236" w:rsidRDefault="00857765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Oral argument</w:t>
            </w:r>
            <w:r w:rsidR="004177FF">
              <w:rPr>
                <w:sz w:val="23"/>
                <w:szCs w:val="23"/>
              </w:rPr>
              <w:t>—how persuasive is oral argument as compared with written argument? How does oral argument relate to the contents of a brief or motion, and how does that affect the decision-making process?</w:t>
            </w:r>
          </w:p>
          <w:p w14:paraId="4E87F7D3" w14:textId="77777777" w:rsidR="004177FF" w:rsidRDefault="004177FF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05ECAB18" w14:textId="77777777" w:rsidR="004177FF" w:rsidRDefault="008C4FCD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Students sometimes overrate the importance of oral argument and devalue written advocacy. </w:t>
            </w:r>
          </w:p>
          <w:p w14:paraId="04245C76" w14:textId="59FE2560" w:rsidR="007C024D" w:rsidRPr="008C4FCD" w:rsidRDefault="007C024D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01FBCA13" w14:textId="6127754F" w:rsidR="00FD1236" w:rsidRPr="00073C03" w:rsidRDefault="00377CCB" w:rsidP="00EE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hopes to observe oral argument</w:t>
            </w:r>
            <w:r w:rsidR="00215811">
              <w:rPr>
                <w:sz w:val="23"/>
                <w:szCs w:val="23"/>
              </w:rPr>
              <w:t xml:space="preserve"> and learn from pre- and post-argument discussions.</w:t>
            </w:r>
          </w:p>
        </w:tc>
      </w:tr>
      <w:tr w:rsidR="006F667F" w14:paraId="2D90C5AC" w14:textId="77777777" w:rsidTr="0009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39297B2" w14:textId="3BF9E510" w:rsidR="006F667F" w:rsidRDefault="006F667F" w:rsidP="007F1A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1178198F" w14:textId="26795AE4" w:rsidR="006F667F" w:rsidRDefault="006F667F" w:rsidP="007F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and the </w:t>
            </w:r>
            <w:r w:rsidR="007C024D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ourt—how have advances in technology affected judges’ interaction</w:t>
            </w:r>
            <w:r w:rsidR="007C024D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with persuasive documents? How can attorneys best suit their writing to judges’ current modes of reading?</w:t>
            </w:r>
          </w:p>
          <w:p w14:paraId="18A09421" w14:textId="635F6B69" w:rsidR="000975F2" w:rsidRDefault="000975F2" w:rsidP="007F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5EA8888A" w14:textId="5D594208" w:rsidR="000975F2" w:rsidRPr="000975F2" w:rsidRDefault="000975F2" w:rsidP="007F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What should legal writing professors be teaching students about document design, </w:t>
            </w:r>
            <w:proofErr w:type="gramStart"/>
            <w:r>
              <w:rPr>
                <w:i/>
                <w:iCs/>
                <w:sz w:val="23"/>
                <w:szCs w:val="23"/>
              </w:rPr>
              <w:t>taking into account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digital reading?</w:t>
            </w:r>
          </w:p>
          <w:p w14:paraId="29D23A18" w14:textId="47794BEE" w:rsidR="006F667F" w:rsidRDefault="006F667F" w:rsidP="007F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14:paraId="010B6791" w14:textId="302BBF1C" w:rsidR="006F667F" w:rsidRPr="00073C03" w:rsidRDefault="006F667F" w:rsidP="007F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can speak with judges and briefing attorneys to learn what best suits them.</w:t>
            </w:r>
          </w:p>
        </w:tc>
      </w:tr>
      <w:tr w:rsidR="007F1AEF" w14:paraId="567EB33D" w14:textId="77777777" w:rsidTr="0009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DAF433" w14:textId="7CD56A6E" w:rsidR="007F1AEF" w:rsidRPr="00073C03" w:rsidRDefault="006F667F" w:rsidP="007F1A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F50D0">
              <w:rPr>
                <w:sz w:val="23"/>
                <w:szCs w:val="23"/>
              </w:rPr>
              <w:t>.</w:t>
            </w:r>
          </w:p>
        </w:tc>
        <w:tc>
          <w:tcPr>
            <w:tcW w:w="6210" w:type="dxa"/>
          </w:tcPr>
          <w:p w14:paraId="78E91095" w14:textId="4751591D" w:rsidR="007F1AEF" w:rsidRDefault="007F1AEF" w:rsidP="007F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Candor to the </w:t>
            </w:r>
            <w:r w:rsidR="007C024D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ourt—how does the </w:t>
            </w:r>
            <w:r w:rsidR="007C024D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 respond to over-reaching and mischaracterization of cases?</w:t>
            </w:r>
          </w:p>
          <w:p w14:paraId="202E13ED" w14:textId="77777777" w:rsidR="007F1AEF" w:rsidRDefault="007F1AEF" w:rsidP="007F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0FD73EC4" w14:textId="7054D6D3" w:rsidR="007F1AEF" w:rsidRPr="00073C03" w:rsidRDefault="007F1AEF" w:rsidP="007F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Even during class assignments (in which there is no advantage to “winning”) students may be tempted to over-reach and cherry-pick statements from cases. If these circumstances arise at the </w:t>
            </w:r>
            <w:r w:rsidR="007C024D">
              <w:rPr>
                <w:i/>
                <w:iCs/>
                <w:sz w:val="23"/>
                <w:szCs w:val="23"/>
              </w:rPr>
              <w:t>C</w:t>
            </w:r>
            <w:r>
              <w:rPr>
                <w:i/>
                <w:iCs/>
                <w:sz w:val="23"/>
                <w:szCs w:val="23"/>
              </w:rPr>
              <w:t>ourt, what is the result? What can students learn from this?</w:t>
            </w:r>
          </w:p>
        </w:tc>
        <w:tc>
          <w:tcPr>
            <w:tcW w:w="3330" w:type="dxa"/>
          </w:tcPr>
          <w:p w14:paraId="4F8FB0CE" w14:textId="2B8697CE" w:rsidR="007F1AEF" w:rsidRPr="00073C03" w:rsidRDefault="006F667F" w:rsidP="007F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intern will observe and learn</w:t>
            </w:r>
            <w:r w:rsidR="000975F2">
              <w:rPr>
                <w:sz w:val="23"/>
                <w:szCs w:val="23"/>
              </w:rPr>
              <w:t xml:space="preserve">, through reading and listening to advocacy </w:t>
            </w:r>
            <w:r w:rsidR="00177F6C">
              <w:rPr>
                <w:sz w:val="23"/>
                <w:szCs w:val="23"/>
              </w:rPr>
              <w:t>and participating in discussions.</w:t>
            </w:r>
          </w:p>
        </w:tc>
      </w:tr>
    </w:tbl>
    <w:p w14:paraId="6767F959" w14:textId="7CC0784D" w:rsidR="00967F42" w:rsidRDefault="00967F42">
      <w:pPr>
        <w:rPr>
          <w:rFonts w:ascii="Times New Roman" w:hAnsi="Times New Roman" w:cs="Times New Roman"/>
          <w:sz w:val="24"/>
          <w:szCs w:val="24"/>
        </w:rPr>
      </w:pPr>
    </w:p>
    <w:p w14:paraId="2C962CFC" w14:textId="22DFCD3D" w:rsidR="00C8506A" w:rsidRDefault="0037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4771" w:rsidRPr="005A2F3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Next Steps</w:t>
      </w:r>
    </w:p>
    <w:p w14:paraId="45C4E17E" w14:textId="769B0EC0" w:rsidR="00C8506A" w:rsidRDefault="007C024D" w:rsidP="007E6816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 am submitting this proposal for</w:t>
      </w:r>
      <w:r w:rsidR="003625A7">
        <w:rPr>
          <w:rFonts w:ascii="Times New Roman" w:hAnsi="Times New Roman" w:cs="Times New Roman"/>
          <w:sz w:val="24"/>
          <w:szCs w:val="24"/>
        </w:rPr>
        <w:t xml:space="preserve"> [add your decision-makers here]</w:t>
      </w:r>
      <w:r>
        <w:rPr>
          <w:rFonts w:ascii="Times New Roman" w:hAnsi="Times New Roman" w:cs="Times New Roman"/>
          <w:sz w:val="24"/>
          <w:szCs w:val="24"/>
        </w:rPr>
        <w:t xml:space="preserve"> consideration, to ensure that the project would contribute to </w:t>
      </w:r>
      <w:r w:rsidR="003625A7">
        <w:rPr>
          <w:rFonts w:ascii="Times New Roman" w:hAnsi="Times New Roman" w:cs="Times New Roman"/>
          <w:sz w:val="24"/>
          <w:szCs w:val="24"/>
        </w:rPr>
        <w:t>[your law school]</w:t>
      </w:r>
      <w:r>
        <w:rPr>
          <w:rFonts w:ascii="Times New Roman" w:hAnsi="Times New Roman" w:cs="Times New Roman"/>
          <w:sz w:val="24"/>
          <w:szCs w:val="24"/>
        </w:rPr>
        <w:t xml:space="preserve"> and to the legal community.</w:t>
      </w:r>
    </w:p>
    <w:p w14:paraId="256E32E4" w14:textId="6422D04C" w:rsidR="007C024D" w:rsidRDefault="007C024D" w:rsidP="007E6816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If I secure approval, I will then forward the proposal to three different courts. I will then follow up to determine whether the courts would find this </w:t>
      </w:r>
      <w:r w:rsidR="009274BA">
        <w:rPr>
          <w:rFonts w:ascii="Times New Roman" w:hAnsi="Times New Roman" w:cs="Times New Roman"/>
          <w:sz w:val="24"/>
          <w:szCs w:val="24"/>
        </w:rPr>
        <w:t>internship proposal appropriate and useful, in service to the Court and the legal community.</w:t>
      </w:r>
    </w:p>
    <w:p w14:paraId="269DCF40" w14:textId="38A5A5A6" w:rsidR="009274BA" w:rsidRDefault="009274BA" w:rsidP="007E6816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If the courts approve, I will then coordinate with court staff to determine the exact particulars of the internship, the hours, and how I can fit in with the court’s operations.</w:t>
      </w:r>
    </w:p>
    <w:p w14:paraId="43690E74" w14:textId="483FDF19" w:rsidR="001F50D0" w:rsidRDefault="009274BA" w:rsidP="00177F6C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considering this proposal.</w:t>
      </w:r>
    </w:p>
    <w:p w14:paraId="705C3673" w14:textId="3DE46FF8" w:rsidR="009274BA" w:rsidRDefault="003625A7" w:rsidP="000E441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[Applicant’s name and title]</w:t>
      </w:r>
    </w:p>
    <w:p w14:paraId="30039AA3" w14:textId="448E1E30" w:rsidR="009274BA" w:rsidRPr="00A05669" w:rsidRDefault="009274BA" w:rsidP="0036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4BA" w:rsidRPr="00A05669" w:rsidSect="001F50D0">
      <w:headerReference w:type="default" r:id="rId8"/>
      <w:footerReference w:type="even" r:id="rId9"/>
      <w:footerReference w:type="default" r:id="rId10"/>
      <w:pgSz w:w="12240" w:h="15840"/>
      <w:pgMar w:top="432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5857" w14:textId="77777777" w:rsidR="003A03C3" w:rsidRDefault="003A03C3" w:rsidP="00A92801">
      <w:pPr>
        <w:spacing w:after="0" w:line="240" w:lineRule="auto"/>
      </w:pPr>
      <w:r>
        <w:separator/>
      </w:r>
    </w:p>
  </w:endnote>
  <w:endnote w:type="continuationSeparator" w:id="0">
    <w:p w14:paraId="4DAA423E" w14:textId="77777777" w:rsidR="003A03C3" w:rsidRDefault="003A03C3" w:rsidP="00A9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1715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2F5DD" w14:textId="08B5C39D" w:rsidR="00FD1236" w:rsidRDefault="00FD1236" w:rsidP="007220B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B7772F" w14:textId="77777777" w:rsidR="00FD1236" w:rsidRDefault="00FD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908110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D353B" w14:textId="2E7758DE" w:rsidR="00FD1236" w:rsidRPr="00FD1236" w:rsidRDefault="00FD1236" w:rsidP="007220B1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FD123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FD123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D123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215811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  <w:r w:rsidRPr="00FD123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2AF65" w14:textId="77777777" w:rsidR="00FD1236" w:rsidRDefault="00FD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4A24" w14:textId="77777777" w:rsidR="003A03C3" w:rsidRDefault="003A03C3" w:rsidP="00A92801">
      <w:pPr>
        <w:spacing w:after="0" w:line="240" w:lineRule="auto"/>
      </w:pPr>
      <w:r>
        <w:separator/>
      </w:r>
    </w:p>
  </w:footnote>
  <w:footnote w:type="continuationSeparator" w:id="0">
    <w:p w14:paraId="50069597" w14:textId="77777777" w:rsidR="003A03C3" w:rsidRDefault="003A03C3" w:rsidP="00A92801">
      <w:pPr>
        <w:spacing w:after="0" w:line="240" w:lineRule="auto"/>
      </w:pPr>
      <w:r>
        <w:continuationSeparator/>
      </w:r>
    </w:p>
  </w:footnote>
  <w:footnote w:id="1">
    <w:p w14:paraId="79BF1E34" w14:textId="06D4F23D" w:rsidR="0050705D" w:rsidRPr="00A64740" w:rsidRDefault="00D72ABD" w:rsidP="00A647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2ABD">
        <w:rPr>
          <w:rStyle w:val="FootnoteReference"/>
          <w:rFonts w:ascii="Times New Roman" w:hAnsi="Times New Roman" w:cs="Times New Roman"/>
        </w:rPr>
        <w:footnoteRef/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See, e.g.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bookmarkStart w:id="1" w:name="_Hlk155167642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</w:rPr>
        <w:t>Martin H. Pritikin,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Experiential Sabbatical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</w:rPr>
        <w:t>, 64 J</w:t>
      </w:r>
      <w:r w:rsidR="0050705D" w:rsidRPr="006F667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. Legal Educ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</w:rPr>
        <w:t>. 33, 64 (2014)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(describing the author’s sabbatical in the district attorney’s office</w:t>
      </w:r>
      <w:r w:rsidR="006F667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Suzanne </w:t>
      </w:r>
      <w:proofErr w:type="spellStart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Rabé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&amp; Stephen A. Rosenbaum,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A “Sending Down” Sabbatical: The Benefits of Lawyering In The Legal Services Trenches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60 J. </w:t>
      </w:r>
      <w:r w:rsidR="0050705D" w:rsidRPr="006F667F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Legal Educ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296 (2010)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(describing a sabbatical spent with a legal aid organization)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Bobby </w:t>
      </w:r>
      <w:proofErr w:type="spellStart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Marzine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Harges,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Law Professor's Sabbatical in District Attorney's Office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17 </w:t>
      </w:r>
      <w:r w:rsidR="0050705D" w:rsidRPr="0050705D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Touro L. Rev</w:t>
      </w:r>
      <w:r w:rsid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383 (2001); Michael A. </w:t>
      </w:r>
      <w:proofErr w:type="spellStart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Mogill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Professing Pro Bono: To Walk the Talk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15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64740" w:rsidRPr="00A6474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 xml:space="preserve">Notre Dame J.L. Ethics &amp; Pub. </w:t>
      </w:r>
      <w:proofErr w:type="spellStart"/>
      <w:r w:rsidR="00A64740" w:rsidRPr="00A6474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Pol’y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5, 32 (2001); Stacy </w:t>
      </w:r>
      <w:proofErr w:type="spellStart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Caplow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A Year in Practice: The Journal of a Reflective Clinician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3 </w:t>
      </w:r>
      <w:r w:rsidR="0050705D" w:rsidRPr="00A6474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Clinical L. Rev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1 (1996); Gary S. </w:t>
      </w:r>
      <w:proofErr w:type="spellStart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Gildin</w:t>
      </w:r>
      <w:proofErr w:type="spellEnd"/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="0050705D" w:rsidRPr="005070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Testing Trial Advocacy: A Law Professor's Brief Life as a Public Defender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44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J. </w:t>
      </w:r>
      <w:r w:rsidR="00A64740" w:rsidRPr="00A6474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Legal Educ</w:t>
      </w:r>
      <w:r w:rsidR="00A64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0705D" w:rsidRPr="00507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199 (1994).</w:t>
      </w:r>
    </w:p>
    <w:bookmarkEnd w:id="1"/>
    <w:p w14:paraId="63B9064B" w14:textId="179352E3" w:rsidR="00D72ABD" w:rsidRPr="00D72ABD" w:rsidRDefault="00D72ABD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B7F" w14:textId="28A423B0" w:rsidR="009274BA" w:rsidRPr="009274BA" w:rsidRDefault="009274BA" w:rsidP="009274B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0240"/>
    <w:multiLevelType w:val="hybridMultilevel"/>
    <w:tmpl w:val="ADFE5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61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ITRUS_DOC_GUID" w:val="ebfc9746-46de-4b0d-99e3-ccb47353c170"/>
  </w:docVars>
  <w:rsids>
    <w:rsidRoot w:val="00973AFD"/>
    <w:rsid w:val="00003DD9"/>
    <w:rsid w:val="00025FE9"/>
    <w:rsid w:val="00030CAA"/>
    <w:rsid w:val="00073C03"/>
    <w:rsid w:val="000975F2"/>
    <w:rsid w:val="000E4047"/>
    <w:rsid w:val="000E4419"/>
    <w:rsid w:val="000F5F1D"/>
    <w:rsid w:val="00172A8F"/>
    <w:rsid w:val="00177F6C"/>
    <w:rsid w:val="001F50D0"/>
    <w:rsid w:val="001F59A5"/>
    <w:rsid w:val="00215811"/>
    <w:rsid w:val="002366E5"/>
    <w:rsid w:val="002522B5"/>
    <w:rsid w:val="00273F35"/>
    <w:rsid w:val="002C658F"/>
    <w:rsid w:val="003625A7"/>
    <w:rsid w:val="0036754A"/>
    <w:rsid w:val="00377CCB"/>
    <w:rsid w:val="003A03C3"/>
    <w:rsid w:val="003B17F6"/>
    <w:rsid w:val="003E2599"/>
    <w:rsid w:val="004177FF"/>
    <w:rsid w:val="00423303"/>
    <w:rsid w:val="004400E2"/>
    <w:rsid w:val="0045755F"/>
    <w:rsid w:val="0046419B"/>
    <w:rsid w:val="004A5152"/>
    <w:rsid w:val="004F427E"/>
    <w:rsid w:val="004F5E5D"/>
    <w:rsid w:val="0050705D"/>
    <w:rsid w:val="005A2F30"/>
    <w:rsid w:val="005C4167"/>
    <w:rsid w:val="006B6129"/>
    <w:rsid w:val="006C680B"/>
    <w:rsid w:val="006F6544"/>
    <w:rsid w:val="006F667F"/>
    <w:rsid w:val="00781108"/>
    <w:rsid w:val="007C024D"/>
    <w:rsid w:val="007E6816"/>
    <w:rsid w:val="007F1AEF"/>
    <w:rsid w:val="00832803"/>
    <w:rsid w:val="008356BD"/>
    <w:rsid w:val="00854B78"/>
    <w:rsid w:val="00857765"/>
    <w:rsid w:val="008C4FCD"/>
    <w:rsid w:val="009274BA"/>
    <w:rsid w:val="0095509A"/>
    <w:rsid w:val="00967F42"/>
    <w:rsid w:val="00973AFD"/>
    <w:rsid w:val="00A05669"/>
    <w:rsid w:val="00A2085E"/>
    <w:rsid w:val="00A64740"/>
    <w:rsid w:val="00A651A3"/>
    <w:rsid w:val="00A8653C"/>
    <w:rsid w:val="00A92801"/>
    <w:rsid w:val="00A939BD"/>
    <w:rsid w:val="00B275C8"/>
    <w:rsid w:val="00BA6265"/>
    <w:rsid w:val="00BE5901"/>
    <w:rsid w:val="00C11F98"/>
    <w:rsid w:val="00C31DD2"/>
    <w:rsid w:val="00C60931"/>
    <w:rsid w:val="00C8506A"/>
    <w:rsid w:val="00C91668"/>
    <w:rsid w:val="00D026B7"/>
    <w:rsid w:val="00D365C8"/>
    <w:rsid w:val="00D37AB6"/>
    <w:rsid w:val="00D45372"/>
    <w:rsid w:val="00D72ABD"/>
    <w:rsid w:val="00DB4618"/>
    <w:rsid w:val="00DB4771"/>
    <w:rsid w:val="00E274E6"/>
    <w:rsid w:val="00EE5EC7"/>
    <w:rsid w:val="00F73CAE"/>
    <w:rsid w:val="00FA531C"/>
    <w:rsid w:val="00FC7341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D6BC"/>
  <w15:chartTrackingRefBased/>
  <w15:docId w15:val="{DD83FF03-4B01-4589-B588-3D3587C6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C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8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8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801"/>
    <w:rPr>
      <w:vertAlign w:val="superscript"/>
    </w:rPr>
  </w:style>
  <w:style w:type="table" w:styleId="PlainTable1">
    <w:name w:val="Plain Table 1"/>
    <w:basedOn w:val="TableNormal"/>
    <w:uiPriority w:val="41"/>
    <w:rsid w:val="00FD1236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D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36"/>
  </w:style>
  <w:style w:type="paragraph" w:styleId="Footer">
    <w:name w:val="footer"/>
    <w:basedOn w:val="Normal"/>
    <w:link w:val="FooterChar"/>
    <w:uiPriority w:val="99"/>
    <w:unhideWhenUsed/>
    <w:rsid w:val="00FD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36"/>
  </w:style>
  <w:style w:type="character" w:styleId="PageNumber">
    <w:name w:val="page number"/>
    <w:basedOn w:val="DefaultParagraphFont"/>
    <w:uiPriority w:val="99"/>
    <w:semiHidden/>
    <w:unhideWhenUsed/>
    <w:rsid w:val="00FD1236"/>
  </w:style>
  <w:style w:type="paragraph" w:styleId="Revision">
    <w:name w:val="Revision"/>
    <w:hidden/>
    <w:uiPriority w:val="99"/>
    <w:semiHidden/>
    <w:rsid w:val="00273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6FCA-3C47-43FE-A88E-4DE8D7A9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Vukadin</dc:creator>
  <cp:keywords/>
  <dc:description/>
  <cp:lastModifiedBy>Katherine Vukadin</cp:lastModifiedBy>
  <cp:revision>2</cp:revision>
  <cp:lastPrinted>2022-08-24T19:30:00Z</cp:lastPrinted>
  <dcterms:created xsi:type="dcterms:W3CDTF">2024-01-03T18:09:00Z</dcterms:created>
  <dcterms:modified xsi:type="dcterms:W3CDTF">2024-01-03T18:09:00Z</dcterms:modified>
</cp:coreProperties>
</file>