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DEA0" w14:textId="77777777" w:rsidR="000E53A4" w:rsidRPr="00F90A54" w:rsidRDefault="000E53A4" w:rsidP="000E53A4">
      <w:pPr>
        <w:jc w:val="center"/>
        <w:rPr>
          <w:rFonts w:ascii="Garamond" w:hAnsi="Garamond"/>
          <w:u w:val="single"/>
        </w:rPr>
      </w:pPr>
      <w:r w:rsidRPr="00F90A54">
        <w:rPr>
          <w:rFonts w:ascii="Garamond" w:hAnsi="Garamond"/>
          <w:u w:val="single"/>
        </w:rPr>
        <w:t>Intervention and Universal Remedies</w:t>
      </w:r>
    </w:p>
    <w:p w14:paraId="5216262A" w14:textId="77777777" w:rsidR="000E53A4" w:rsidRPr="00F90A54" w:rsidRDefault="000E53A4" w:rsidP="000E53A4">
      <w:pPr>
        <w:jc w:val="center"/>
        <w:rPr>
          <w:rFonts w:ascii="Garamond" w:hAnsi="Garamond"/>
          <w:u w:val="single"/>
        </w:rPr>
      </w:pPr>
    </w:p>
    <w:p w14:paraId="6C8E8EB3" w14:textId="2A7A56B1" w:rsidR="00F7719D" w:rsidRDefault="00F7719D" w:rsidP="00F7719D">
      <w:pPr>
        <w:jc w:val="center"/>
        <w:rPr>
          <w:rFonts w:ascii="Garamond" w:hAnsi="Garamond"/>
        </w:rPr>
      </w:pPr>
      <w:r>
        <w:rPr>
          <w:rFonts w:ascii="Garamond" w:hAnsi="Garamond"/>
        </w:rPr>
        <w:t>Monica Haymond</w:t>
      </w:r>
      <w:r>
        <w:rPr>
          <w:rStyle w:val="FootnoteReference"/>
          <w:rFonts w:ascii="Garamond" w:hAnsi="Garamond"/>
        </w:rPr>
        <w:footnoteReference w:id="1"/>
      </w:r>
    </w:p>
    <w:p w14:paraId="5A9275AB" w14:textId="77777777" w:rsidR="00BF3F23" w:rsidRDefault="00BF3F23" w:rsidP="00F7719D">
      <w:pPr>
        <w:jc w:val="center"/>
        <w:rPr>
          <w:rFonts w:ascii="Garamond" w:hAnsi="Garamond"/>
        </w:rPr>
      </w:pPr>
    </w:p>
    <w:p w14:paraId="3BFF83EC" w14:textId="0437D835" w:rsidR="00BF3F23" w:rsidRPr="00F7719D" w:rsidRDefault="00BF3F23" w:rsidP="00F7719D">
      <w:pPr>
        <w:jc w:val="center"/>
        <w:rPr>
          <w:rFonts w:ascii="Garamond" w:hAnsi="Garamond"/>
        </w:rPr>
      </w:pPr>
      <w:r>
        <w:rPr>
          <w:rFonts w:ascii="Garamond" w:hAnsi="Garamond"/>
        </w:rPr>
        <w:t>91 U. Chi. L. Rev. __ (2024) (forthcoming)</w:t>
      </w:r>
    </w:p>
    <w:p w14:paraId="4E1BB42F" w14:textId="77777777" w:rsidR="00F7719D" w:rsidRDefault="00F7719D" w:rsidP="009962F3">
      <w:pPr>
        <w:rPr>
          <w:rFonts w:ascii="Garamond" w:hAnsi="Garamond"/>
          <w:i/>
          <w:iCs/>
        </w:rPr>
      </w:pPr>
    </w:p>
    <w:p w14:paraId="0E5F51B5" w14:textId="476236C2" w:rsidR="00A85457" w:rsidRPr="00F90A54" w:rsidRDefault="009C3EEF" w:rsidP="0067230F">
      <w:pPr>
        <w:jc w:val="both"/>
        <w:rPr>
          <w:rFonts w:ascii="Garamond" w:hAnsi="Garamond"/>
          <w:i/>
          <w:iCs/>
        </w:rPr>
      </w:pPr>
      <w:r w:rsidRPr="00F90A54">
        <w:rPr>
          <w:rFonts w:ascii="Garamond" w:hAnsi="Garamond"/>
          <w:i/>
          <w:iCs/>
        </w:rPr>
        <w:t xml:space="preserve">Civil procedure plays a pivotal role in shaping litigation, including some of the most divisive and politically consequential cases heard in federal court—those seeking nationwide injunctions to block federal policies. </w:t>
      </w:r>
      <w:r w:rsidR="00A85457" w:rsidRPr="00F90A54">
        <w:rPr>
          <w:rFonts w:ascii="Garamond" w:hAnsi="Garamond"/>
          <w:i/>
          <w:iCs/>
        </w:rPr>
        <w:t xml:space="preserve">But we know very little about how such cases are </w:t>
      </w:r>
      <w:r w:rsidR="00454FBC" w:rsidRPr="00F90A54">
        <w:rPr>
          <w:rFonts w:ascii="Garamond" w:hAnsi="Garamond"/>
          <w:i/>
          <w:iCs/>
        </w:rPr>
        <w:t xml:space="preserve">actually </w:t>
      </w:r>
      <w:r w:rsidR="005060ED" w:rsidRPr="00F90A54">
        <w:rPr>
          <w:rFonts w:ascii="Garamond" w:hAnsi="Garamond"/>
          <w:i/>
          <w:iCs/>
        </w:rPr>
        <w:t>litigated</w:t>
      </w:r>
      <w:r w:rsidR="00A85457" w:rsidRPr="00F90A54">
        <w:rPr>
          <w:rFonts w:ascii="Garamond" w:hAnsi="Garamond"/>
          <w:i/>
          <w:iCs/>
        </w:rPr>
        <w:t xml:space="preserve">. </w:t>
      </w:r>
      <w:r w:rsidR="00F7719D">
        <w:rPr>
          <w:rFonts w:ascii="Garamond" w:hAnsi="Garamond"/>
          <w:i/>
          <w:iCs/>
        </w:rPr>
        <w:t xml:space="preserve">It is often </w:t>
      </w:r>
      <w:r w:rsidR="00A85457" w:rsidRPr="00F90A54">
        <w:rPr>
          <w:rFonts w:ascii="Garamond" w:hAnsi="Garamond"/>
          <w:i/>
          <w:iCs/>
        </w:rPr>
        <w:t>assume</w:t>
      </w:r>
      <w:r w:rsidR="00F7719D">
        <w:rPr>
          <w:rFonts w:ascii="Garamond" w:hAnsi="Garamond"/>
          <w:i/>
          <w:iCs/>
        </w:rPr>
        <w:t>d</w:t>
      </w:r>
      <w:r w:rsidR="00A85457" w:rsidRPr="00F90A54">
        <w:rPr>
          <w:rFonts w:ascii="Garamond" w:hAnsi="Garamond"/>
          <w:i/>
          <w:iCs/>
        </w:rPr>
        <w:t xml:space="preserve"> that procedural rules</w:t>
      </w:r>
      <w:r w:rsidR="00CD7812" w:rsidRPr="00F90A54">
        <w:rPr>
          <w:rFonts w:ascii="Garamond" w:hAnsi="Garamond"/>
          <w:i/>
          <w:iCs/>
        </w:rPr>
        <w:t>,</w:t>
      </w:r>
      <w:r w:rsidR="00A85457" w:rsidRPr="00F90A54">
        <w:rPr>
          <w:rFonts w:ascii="Garamond" w:hAnsi="Garamond"/>
          <w:i/>
          <w:iCs/>
        </w:rPr>
        <w:t xml:space="preserve"> crafted to apply to </w:t>
      </w:r>
      <w:r w:rsidR="00F7719D">
        <w:rPr>
          <w:rFonts w:ascii="Garamond" w:hAnsi="Garamond"/>
          <w:i/>
          <w:iCs/>
        </w:rPr>
        <w:t xml:space="preserve">many types of </w:t>
      </w:r>
      <w:r w:rsidR="00A85457" w:rsidRPr="00F90A54">
        <w:rPr>
          <w:rFonts w:ascii="Garamond" w:hAnsi="Garamond"/>
          <w:i/>
          <w:iCs/>
        </w:rPr>
        <w:t xml:space="preserve">cases, </w:t>
      </w:r>
      <w:r w:rsidR="00600A05">
        <w:rPr>
          <w:rFonts w:ascii="Garamond" w:hAnsi="Garamond"/>
          <w:i/>
          <w:iCs/>
        </w:rPr>
        <w:t>work equally well</w:t>
      </w:r>
      <w:r w:rsidR="00A85457" w:rsidRPr="00F90A54">
        <w:rPr>
          <w:rFonts w:ascii="Garamond" w:hAnsi="Garamond"/>
          <w:i/>
          <w:iCs/>
        </w:rPr>
        <w:t xml:space="preserve"> in the nationwide-injunction context. This article challenges that </w:t>
      </w:r>
      <w:r w:rsidR="008C1884" w:rsidRPr="00F90A54">
        <w:rPr>
          <w:rFonts w:ascii="Garamond" w:hAnsi="Garamond"/>
          <w:i/>
          <w:iCs/>
        </w:rPr>
        <w:t>view</w:t>
      </w:r>
      <w:r w:rsidR="00A85457" w:rsidRPr="00F90A54">
        <w:rPr>
          <w:rFonts w:ascii="Garamond" w:hAnsi="Garamond"/>
          <w:i/>
          <w:iCs/>
        </w:rPr>
        <w:t xml:space="preserve">. </w:t>
      </w:r>
      <w:r w:rsidR="005060ED" w:rsidRPr="00F90A54">
        <w:rPr>
          <w:rFonts w:ascii="Garamond" w:hAnsi="Garamond"/>
          <w:i/>
          <w:iCs/>
        </w:rPr>
        <w:t>In fact,</w:t>
      </w:r>
      <w:r w:rsidR="00A85457" w:rsidRPr="00F90A54">
        <w:rPr>
          <w:rFonts w:ascii="Garamond" w:hAnsi="Garamond"/>
          <w:i/>
          <w:iCs/>
        </w:rPr>
        <w:t xml:space="preserve"> procedural rules are having a critical substantive effect on the outcomes of these cases</w:t>
      </w:r>
      <w:r w:rsidR="00F7719D">
        <w:rPr>
          <w:rFonts w:ascii="Garamond" w:hAnsi="Garamond"/>
          <w:i/>
          <w:iCs/>
        </w:rPr>
        <w:t>. And they are undermining the very values they were designed to serve.</w:t>
      </w:r>
    </w:p>
    <w:p w14:paraId="78914875" w14:textId="77777777" w:rsidR="00A85457" w:rsidRPr="00F90A54" w:rsidRDefault="00A85457" w:rsidP="0067230F">
      <w:pPr>
        <w:jc w:val="both"/>
        <w:rPr>
          <w:rFonts w:ascii="Garamond" w:hAnsi="Garamond"/>
          <w:i/>
          <w:iCs/>
        </w:rPr>
      </w:pPr>
    </w:p>
    <w:p w14:paraId="07FEE6AF" w14:textId="01BA2DBD" w:rsidR="00F7719D" w:rsidRDefault="00E4589E" w:rsidP="0067230F">
      <w:pPr>
        <w:jc w:val="both"/>
        <w:rPr>
          <w:rFonts w:ascii="Garamond" w:hAnsi="Garamond"/>
          <w:i/>
          <w:iCs/>
        </w:rPr>
      </w:pPr>
      <w:r w:rsidRPr="00F90A54">
        <w:rPr>
          <w:rFonts w:ascii="Garamond" w:hAnsi="Garamond"/>
          <w:i/>
          <w:iCs/>
        </w:rPr>
        <w:t xml:space="preserve">This article </w:t>
      </w:r>
      <w:r w:rsidR="00132D16" w:rsidRPr="00F90A54">
        <w:rPr>
          <w:rFonts w:ascii="Garamond" w:hAnsi="Garamond"/>
          <w:i/>
          <w:iCs/>
        </w:rPr>
        <w:t>examines</w:t>
      </w:r>
      <w:r w:rsidRPr="00F90A54">
        <w:rPr>
          <w:rFonts w:ascii="Garamond" w:hAnsi="Garamond"/>
          <w:i/>
          <w:iCs/>
        </w:rPr>
        <w:t xml:space="preserve"> </w:t>
      </w:r>
      <w:r w:rsidR="00DC1FBA" w:rsidRPr="00F90A54">
        <w:rPr>
          <w:rFonts w:ascii="Garamond" w:hAnsi="Garamond"/>
          <w:i/>
          <w:iCs/>
        </w:rPr>
        <w:t xml:space="preserve">over </w:t>
      </w:r>
      <w:r w:rsidR="007640D0">
        <w:rPr>
          <w:rFonts w:ascii="Garamond" w:hAnsi="Garamond"/>
          <w:i/>
          <w:iCs/>
        </w:rPr>
        <w:t>5</w:t>
      </w:r>
      <w:r w:rsidR="0044131C" w:rsidRPr="00F90A54">
        <w:rPr>
          <w:rFonts w:ascii="Garamond" w:hAnsi="Garamond"/>
          <w:i/>
          <w:iCs/>
        </w:rPr>
        <w:t>00</w:t>
      </w:r>
      <w:r w:rsidR="00DC1FBA" w:rsidRPr="00F90A54">
        <w:rPr>
          <w:rFonts w:ascii="Garamond" w:hAnsi="Garamond"/>
          <w:i/>
          <w:iCs/>
        </w:rPr>
        <w:t xml:space="preserve"> </w:t>
      </w:r>
      <w:r w:rsidRPr="00F90A54">
        <w:rPr>
          <w:rFonts w:ascii="Garamond" w:hAnsi="Garamond"/>
          <w:i/>
          <w:iCs/>
        </w:rPr>
        <w:t xml:space="preserve">nationwide-injunction cases and </w:t>
      </w:r>
      <w:r w:rsidR="009C31C8">
        <w:rPr>
          <w:rFonts w:ascii="Garamond" w:hAnsi="Garamond"/>
          <w:i/>
          <w:iCs/>
        </w:rPr>
        <w:t xml:space="preserve">shows that </w:t>
      </w:r>
      <w:r w:rsidRPr="00F90A54">
        <w:rPr>
          <w:rFonts w:ascii="Garamond" w:hAnsi="Garamond"/>
          <w:i/>
          <w:iCs/>
        </w:rPr>
        <w:t xml:space="preserve">a surprising </w:t>
      </w:r>
      <w:r w:rsidR="005060ED" w:rsidRPr="00F90A54">
        <w:rPr>
          <w:rFonts w:ascii="Garamond" w:hAnsi="Garamond"/>
          <w:i/>
          <w:iCs/>
        </w:rPr>
        <w:t xml:space="preserve">participant is influencing </w:t>
      </w:r>
      <w:r w:rsidR="00A54217" w:rsidRPr="00F90A54">
        <w:rPr>
          <w:rFonts w:ascii="Garamond" w:hAnsi="Garamond"/>
          <w:i/>
          <w:iCs/>
        </w:rPr>
        <w:t xml:space="preserve">the result: an outsider who has joined as an intervenor. </w:t>
      </w:r>
      <w:r w:rsidR="00F7719D" w:rsidRPr="00F90A54">
        <w:rPr>
          <w:rFonts w:ascii="Garamond" w:hAnsi="Garamond"/>
          <w:i/>
          <w:iCs/>
        </w:rPr>
        <w:t>Intervenors can stand on equal footing with the original parties,</w:t>
      </w:r>
      <w:r w:rsidR="00F7719D" w:rsidRPr="00F7719D">
        <w:rPr>
          <w:rFonts w:ascii="Garamond" w:hAnsi="Garamond"/>
          <w:i/>
          <w:iCs/>
        </w:rPr>
        <w:t xml:space="preserve"> </w:t>
      </w:r>
      <w:r w:rsidR="00F7719D" w:rsidRPr="00F90A54">
        <w:rPr>
          <w:rFonts w:ascii="Garamond" w:hAnsi="Garamond"/>
          <w:i/>
          <w:iCs/>
        </w:rPr>
        <w:t>so a decision to grant or deny intervention has real-world stakes for the entire life cycle of the case.</w:t>
      </w:r>
      <w:r w:rsidR="00F7719D">
        <w:rPr>
          <w:rFonts w:ascii="Garamond" w:hAnsi="Garamond"/>
          <w:i/>
          <w:iCs/>
        </w:rPr>
        <w:t xml:space="preserve"> Judges also have an immense amount of discretion to allow </w:t>
      </w:r>
      <w:r w:rsidR="00F7719D" w:rsidRPr="00F90A54">
        <w:rPr>
          <w:rFonts w:ascii="Garamond" w:hAnsi="Garamond"/>
          <w:i/>
          <w:iCs/>
        </w:rPr>
        <w:t>an intervenor to join.</w:t>
      </w:r>
      <w:r w:rsidR="00F7719D">
        <w:rPr>
          <w:rFonts w:ascii="Garamond" w:hAnsi="Garamond"/>
          <w:i/>
          <w:iCs/>
        </w:rPr>
        <w:t xml:space="preserve"> </w:t>
      </w:r>
      <w:r w:rsidR="00A54217" w:rsidRPr="00F90A54">
        <w:rPr>
          <w:rFonts w:ascii="Garamond" w:hAnsi="Garamond"/>
          <w:i/>
          <w:iCs/>
        </w:rPr>
        <w:t>Th</w:t>
      </w:r>
      <w:r w:rsidR="00F7719D">
        <w:rPr>
          <w:rFonts w:ascii="Garamond" w:hAnsi="Garamond"/>
          <w:i/>
          <w:iCs/>
        </w:rPr>
        <w:t>at discretion</w:t>
      </w:r>
      <w:r w:rsidR="00A54217" w:rsidRPr="00F90A54">
        <w:rPr>
          <w:rFonts w:ascii="Garamond" w:hAnsi="Garamond"/>
          <w:i/>
          <w:iCs/>
        </w:rPr>
        <w:t xml:space="preserve"> has led to intervention in nationwide-injunction cases being common, contested, unpredictabl</w:t>
      </w:r>
      <w:r w:rsidR="00F7719D">
        <w:rPr>
          <w:rFonts w:ascii="Garamond" w:hAnsi="Garamond"/>
          <w:i/>
          <w:iCs/>
        </w:rPr>
        <w:t>e—</w:t>
      </w:r>
      <w:r w:rsidR="00A54217" w:rsidRPr="00F90A54">
        <w:rPr>
          <w:rFonts w:ascii="Garamond" w:hAnsi="Garamond"/>
          <w:i/>
          <w:iCs/>
        </w:rPr>
        <w:t xml:space="preserve">and enormously consequential. </w:t>
      </w:r>
    </w:p>
    <w:p w14:paraId="4F689DDF" w14:textId="77777777" w:rsidR="00F7719D" w:rsidRDefault="00F7719D" w:rsidP="0067230F">
      <w:pPr>
        <w:jc w:val="both"/>
        <w:rPr>
          <w:rFonts w:ascii="Garamond" w:hAnsi="Garamond"/>
          <w:i/>
          <w:iCs/>
        </w:rPr>
      </w:pPr>
    </w:p>
    <w:p w14:paraId="566F1F06" w14:textId="1EE7E39D" w:rsidR="00F7719D" w:rsidRDefault="00F7719D" w:rsidP="0067230F">
      <w:pPr>
        <w:jc w:val="both"/>
        <w:rPr>
          <w:rFonts w:ascii="Garamond" w:hAnsi="Garamond"/>
          <w:i/>
          <w:iCs/>
        </w:rPr>
      </w:pPr>
      <w:r>
        <w:rPr>
          <w:rFonts w:ascii="Garamond" w:hAnsi="Garamond"/>
          <w:i/>
          <w:iCs/>
        </w:rPr>
        <w:t xml:space="preserve">Judicial discretion over intervention functionally gives courts control over how nationwide-injunction cases proceed, or whether they proceed at all. </w:t>
      </w:r>
      <w:r w:rsidR="00981A13">
        <w:rPr>
          <w:rFonts w:ascii="Garamond" w:hAnsi="Garamond"/>
          <w:i/>
          <w:iCs/>
        </w:rPr>
        <w:t>With few principles guiding that discretion, p</w:t>
      </w:r>
      <w:r>
        <w:rPr>
          <w:rFonts w:ascii="Garamond" w:hAnsi="Garamond"/>
          <w:i/>
          <w:iCs/>
        </w:rPr>
        <w:t xml:space="preserve">rocedural rulings </w:t>
      </w:r>
      <w:r w:rsidR="00981A13">
        <w:rPr>
          <w:rFonts w:ascii="Garamond" w:hAnsi="Garamond"/>
          <w:i/>
          <w:iCs/>
        </w:rPr>
        <w:t xml:space="preserve">can </w:t>
      </w:r>
      <w:r w:rsidRPr="00F90A54">
        <w:rPr>
          <w:rFonts w:ascii="Garamond" w:hAnsi="Garamond"/>
          <w:i/>
          <w:iCs/>
        </w:rPr>
        <w:t>appear to be influenced by the court’s own political leanings</w:t>
      </w:r>
      <w:r>
        <w:rPr>
          <w:rFonts w:ascii="Garamond" w:hAnsi="Garamond"/>
          <w:i/>
          <w:iCs/>
        </w:rPr>
        <w:t xml:space="preserve">, </w:t>
      </w:r>
      <w:r w:rsidRPr="00F90A54">
        <w:rPr>
          <w:rFonts w:ascii="Garamond" w:hAnsi="Garamond"/>
          <w:i/>
          <w:iCs/>
        </w:rPr>
        <w:t>undermining public confidence in the court’s decision on the merits. What’s more, intervenors can keep cases alive even after government officials have withdrawn, thereby increasing the odds that high-stakes</w:t>
      </w:r>
      <w:r w:rsidR="00DD26EF">
        <w:rPr>
          <w:rFonts w:ascii="Garamond" w:hAnsi="Garamond"/>
          <w:i/>
          <w:iCs/>
        </w:rPr>
        <w:t>,</w:t>
      </w:r>
      <w:r w:rsidRPr="00F90A54">
        <w:rPr>
          <w:rFonts w:ascii="Garamond" w:hAnsi="Garamond"/>
          <w:i/>
          <w:iCs/>
        </w:rPr>
        <w:t xml:space="preserve"> politically salient questions will be resolved by the </w:t>
      </w:r>
      <w:r w:rsidR="00981A13">
        <w:rPr>
          <w:rFonts w:ascii="Garamond" w:hAnsi="Garamond"/>
          <w:i/>
          <w:iCs/>
        </w:rPr>
        <w:t>courts</w:t>
      </w:r>
      <w:r w:rsidRPr="00F90A54">
        <w:rPr>
          <w:rFonts w:ascii="Garamond" w:hAnsi="Garamond"/>
          <w:i/>
          <w:iCs/>
        </w:rPr>
        <w:t xml:space="preserve"> rather than the democratic </w:t>
      </w:r>
      <w:r w:rsidR="0003321D">
        <w:rPr>
          <w:rFonts w:ascii="Garamond" w:hAnsi="Garamond"/>
          <w:i/>
          <w:iCs/>
        </w:rPr>
        <w:t>process</w:t>
      </w:r>
      <w:r w:rsidRPr="00F90A54">
        <w:rPr>
          <w:rFonts w:ascii="Garamond" w:hAnsi="Garamond"/>
          <w:i/>
          <w:iCs/>
        </w:rPr>
        <w:t>.</w:t>
      </w:r>
    </w:p>
    <w:p w14:paraId="035DD518" w14:textId="77777777" w:rsidR="00F7719D" w:rsidRDefault="00F7719D" w:rsidP="0067230F">
      <w:pPr>
        <w:jc w:val="both"/>
        <w:rPr>
          <w:rFonts w:ascii="Garamond" w:hAnsi="Garamond"/>
          <w:i/>
          <w:iCs/>
        </w:rPr>
      </w:pPr>
    </w:p>
    <w:p w14:paraId="1FC59F44" w14:textId="1A5E19B2" w:rsidR="00DE67F8" w:rsidRPr="00F90A54" w:rsidRDefault="00F7719D" w:rsidP="0067230F">
      <w:pPr>
        <w:jc w:val="both"/>
        <w:rPr>
          <w:rFonts w:ascii="Garamond" w:hAnsi="Garamond"/>
          <w:i/>
          <w:iCs/>
        </w:rPr>
      </w:pPr>
      <w:r>
        <w:rPr>
          <w:rFonts w:ascii="Garamond" w:hAnsi="Garamond"/>
          <w:i/>
          <w:iCs/>
        </w:rPr>
        <w:t xml:space="preserve">This article represents the first scholarly examination of </w:t>
      </w:r>
      <w:r w:rsidRPr="00F90A54">
        <w:rPr>
          <w:rFonts w:ascii="Garamond" w:hAnsi="Garamond"/>
          <w:i/>
          <w:iCs/>
        </w:rPr>
        <w:t>the significant role</w:t>
      </w:r>
      <w:r w:rsidR="00DD26EF">
        <w:rPr>
          <w:rFonts w:ascii="Garamond" w:hAnsi="Garamond"/>
          <w:i/>
          <w:iCs/>
        </w:rPr>
        <w:t xml:space="preserve"> that</w:t>
      </w:r>
      <w:r w:rsidRPr="00F90A54">
        <w:rPr>
          <w:rFonts w:ascii="Garamond" w:hAnsi="Garamond"/>
          <w:i/>
          <w:iCs/>
        </w:rPr>
        <w:t xml:space="preserve"> interven</w:t>
      </w:r>
      <w:r>
        <w:rPr>
          <w:rFonts w:ascii="Garamond" w:hAnsi="Garamond"/>
          <w:i/>
          <w:iCs/>
        </w:rPr>
        <w:t>tion</w:t>
      </w:r>
      <w:r w:rsidRPr="00F90A54">
        <w:rPr>
          <w:rFonts w:ascii="Garamond" w:hAnsi="Garamond"/>
          <w:i/>
          <w:iCs/>
        </w:rPr>
        <w:t xml:space="preserve"> play</w:t>
      </w:r>
      <w:r>
        <w:rPr>
          <w:rFonts w:ascii="Garamond" w:hAnsi="Garamond"/>
          <w:i/>
          <w:iCs/>
        </w:rPr>
        <w:t>s</w:t>
      </w:r>
      <w:r w:rsidRPr="00F90A54">
        <w:rPr>
          <w:rFonts w:ascii="Garamond" w:hAnsi="Garamond"/>
          <w:i/>
          <w:iCs/>
        </w:rPr>
        <w:t xml:space="preserve"> in nationwide-injunction suits</w:t>
      </w:r>
      <w:r>
        <w:rPr>
          <w:rFonts w:ascii="Garamond" w:hAnsi="Garamond"/>
          <w:i/>
          <w:iCs/>
        </w:rPr>
        <w:t xml:space="preserve">. More broadly, this article uses intervention to explore the function of procedural rules and the federal courts in a democratic system. And it analyzes how procedural rules influence notions of judicial neutrality and judicial minimalism. Finally, this article offers two reforms that </w:t>
      </w:r>
      <w:r w:rsidR="00DD26EF">
        <w:rPr>
          <w:rFonts w:ascii="Garamond" w:hAnsi="Garamond"/>
          <w:i/>
          <w:iCs/>
        </w:rPr>
        <w:t xml:space="preserve">would </w:t>
      </w:r>
      <w:r>
        <w:rPr>
          <w:rFonts w:ascii="Garamond" w:hAnsi="Garamond"/>
          <w:i/>
          <w:iCs/>
        </w:rPr>
        <w:t xml:space="preserve">promote procedural values and </w:t>
      </w:r>
      <w:r w:rsidR="0067230F">
        <w:rPr>
          <w:rFonts w:ascii="Garamond" w:hAnsi="Garamond"/>
          <w:i/>
          <w:iCs/>
        </w:rPr>
        <w:t xml:space="preserve">cabin </w:t>
      </w:r>
      <w:r w:rsidRPr="00F90A54">
        <w:rPr>
          <w:rFonts w:ascii="Garamond" w:hAnsi="Garamond"/>
          <w:i/>
          <w:iCs/>
        </w:rPr>
        <w:t>the role of the federal courts in ideological litigation.</w:t>
      </w:r>
    </w:p>
    <w:p w14:paraId="56967D6D" w14:textId="77777777" w:rsidR="00E4589E" w:rsidRDefault="00E4589E" w:rsidP="009962F3">
      <w:pPr>
        <w:rPr>
          <w:rFonts w:ascii="Garamond" w:hAnsi="Garamond"/>
          <w:i/>
          <w:iCs/>
        </w:rPr>
      </w:pPr>
    </w:p>
    <w:p w14:paraId="522A8EBF" w14:textId="0F9AE597" w:rsidR="00F7719D" w:rsidRDefault="00F7719D" w:rsidP="00F7719D">
      <w:pPr>
        <w:ind w:left="720"/>
        <w:rPr>
          <w:rFonts w:ascii="Garamond" w:hAnsi="Garamond"/>
          <w:i/>
          <w:iCs/>
        </w:rPr>
        <w:sectPr w:rsidR="00F7719D" w:rsidSect="000D5535">
          <w:headerReference w:type="default" r:id="rId8"/>
          <w:footnotePr>
            <w:numFmt w:val="chicago"/>
          </w:footnotePr>
          <w:pgSz w:w="12240" w:h="15840"/>
          <w:pgMar w:top="2160" w:right="2160" w:bottom="2160" w:left="2160" w:header="720" w:footer="720" w:gutter="0"/>
          <w:cols w:space="720"/>
          <w:docGrid w:linePitch="360"/>
        </w:sectPr>
      </w:pPr>
    </w:p>
    <w:p w14:paraId="6CC654C6" w14:textId="77777777" w:rsidR="0067230F" w:rsidRDefault="0067230F">
      <w:pPr>
        <w:pStyle w:val="TOC1"/>
        <w:rPr>
          <w:u w:val="single"/>
        </w:rPr>
      </w:pPr>
    </w:p>
    <w:p w14:paraId="4BF0BB77" w14:textId="77777777" w:rsidR="0067230F" w:rsidRDefault="0067230F">
      <w:pPr>
        <w:pStyle w:val="TOC1"/>
        <w:rPr>
          <w:u w:val="single"/>
        </w:rPr>
      </w:pPr>
    </w:p>
    <w:p w14:paraId="38CFC480" w14:textId="3E231170" w:rsidR="00294CB6" w:rsidRDefault="0090334A">
      <w:pPr>
        <w:pStyle w:val="TOC1"/>
        <w:rPr>
          <w:rFonts w:asciiTheme="minorHAnsi" w:eastAsiaTheme="minorEastAsia" w:hAnsiTheme="minorHAnsi" w:cstheme="minorBidi"/>
          <w:bCs w:val="0"/>
          <w:iCs w:val="0"/>
          <w:smallCaps w:val="0"/>
          <w:kern w:val="2"/>
          <w14:ligatures w14:val="standardContextual"/>
        </w:rPr>
      </w:pPr>
      <w:r w:rsidRPr="00F90A54">
        <w:rPr>
          <w:u w:val="single"/>
        </w:rPr>
        <w:fldChar w:fldCharType="begin"/>
      </w:r>
      <w:r w:rsidRPr="00F90A54">
        <w:rPr>
          <w:u w:val="single"/>
        </w:rPr>
        <w:instrText xml:space="preserve"> TOC \o "1-3" \h \z \u </w:instrText>
      </w:r>
      <w:r w:rsidRPr="00F90A54">
        <w:rPr>
          <w:u w:val="single"/>
        </w:rPr>
        <w:fldChar w:fldCharType="separate"/>
      </w:r>
      <w:hyperlink w:anchor="_Toc143336544" w:history="1">
        <w:r w:rsidR="00294CB6" w:rsidRPr="009D329C">
          <w:rPr>
            <w:rStyle w:val="Hyperlink"/>
          </w:rPr>
          <w:t>Introduction</w:t>
        </w:r>
        <w:r w:rsidR="00294CB6">
          <w:rPr>
            <w:webHidden/>
          </w:rPr>
          <w:tab/>
        </w:r>
        <w:r w:rsidR="00294CB6">
          <w:rPr>
            <w:webHidden/>
          </w:rPr>
          <w:fldChar w:fldCharType="begin"/>
        </w:r>
        <w:r w:rsidR="00294CB6">
          <w:rPr>
            <w:webHidden/>
          </w:rPr>
          <w:instrText xml:space="preserve"> PAGEREF _Toc143336544 \h </w:instrText>
        </w:r>
        <w:r w:rsidR="00294CB6">
          <w:rPr>
            <w:webHidden/>
          </w:rPr>
        </w:r>
        <w:r w:rsidR="00294CB6">
          <w:rPr>
            <w:webHidden/>
          </w:rPr>
          <w:fldChar w:fldCharType="separate"/>
        </w:r>
        <w:r w:rsidR="0003321D">
          <w:rPr>
            <w:webHidden/>
          </w:rPr>
          <w:t>2</w:t>
        </w:r>
        <w:r w:rsidR="00294CB6">
          <w:rPr>
            <w:webHidden/>
          </w:rPr>
          <w:fldChar w:fldCharType="end"/>
        </w:r>
      </w:hyperlink>
    </w:p>
    <w:p w14:paraId="15B24316" w14:textId="38C6AB8A" w:rsidR="00294CB6" w:rsidRDefault="00000000">
      <w:pPr>
        <w:pStyle w:val="TOC1"/>
        <w:rPr>
          <w:rFonts w:asciiTheme="minorHAnsi" w:eastAsiaTheme="minorEastAsia" w:hAnsiTheme="minorHAnsi" w:cstheme="minorBidi"/>
          <w:bCs w:val="0"/>
          <w:iCs w:val="0"/>
          <w:smallCaps w:val="0"/>
          <w:kern w:val="2"/>
          <w14:ligatures w14:val="standardContextual"/>
        </w:rPr>
      </w:pPr>
      <w:hyperlink w:anchor="_Toc143336545" w:history="1">
        <w:r w:rsidR="00294CB6" w:rsidRPr="009D329C">
          <w:rPr>
            <w:rStyle w:val="Hyperlink"/>
          </w:rPr>
          <w:t>I.</w:t>
        </w:r>
        <w:r w:rsidR="00294CB6">
          <w:rPr>
            <w:rFonts w:asciiTheme="minorHAnsi" w:eastAsiaTheme="minorEastAsia" w:hAnsiTheme="minorHAnsi" w:cstheme="minorBidi"/>
            <w:bCs w:val="0"/>
            <w:iCs w:val="0"/>
            <w:smallCaps w:val="0"/>
            <w:kern w:val="2"/>
            <w14:ligatures w14:val="standardContextual"/>
          </w:rPr>
          <w:tab/>
        </w:r>
        <w:r w:rsidR="00294CB6" w:rsidRPr="009D329C">
          <w:rPr>
            <w:rStyle w:val="Hyperlink"/>
          </w:rPr>
          <w:t>Rule 24 Intervention</w:t>
        </w:r>
        <w:r w:rsidR="00294CB6">
          <w:rPr>
            <w:webHidden/>
          </w:rPr>
          <w:tab/>
        </w:r>
        <w:r w:rsidR="00294CB6">
          <w:rPr>
            <w:webHidden/>
          </w:rPr>
          <w:fldChar w:fldCharType="begin"/>
        </w:r>
        <w:r w:rsidR="00294CB6">
          <w:rPr>
            <w:webHidden/>
          </w:rPr>
          <w:instrText xml:space="preserve"> PAGEREF _Toc143336545 \h </w:instrText>
        </w:r>
        <w:r w:rsidR="00294CB6">
          <w:rPr>
            <w:webHidden/>
          </w:rPr>
        </w:r>
        <w:r w:rsidR="00294CB6">
          <w:rPr>
            <w:webHidden/>
          </w:rPr>
          <w:fldChar w:fldCharType="separate"/>
        </w:r>
        <w:r w:rsidR="0003321D">
          <w:rPr>
            <w:webHidden/>
          </w:rPr>
          <w:t>9</w:t>
        </w:r>
        <w:r w:rsidR="00294CB6">
          <w:rPr>
            <w:webHidden/>
          </w:rPr>
          <w:fldChar w:fldCharType="end"/>
        </w:r>
      </w:hyperlink>
    </w:p>
    <w:p w14:paraId="72C45BA3" w14:textId="46F8A0DE" w:rsidR="00294CB6" w:rsidRDefault="00000000">
      <w:pPr>
        <w:pStyle w:val="TOC2"/>
        <w:rPr>
          <w:rFonts w:asciiTheme="minorHAnsi" w:eastAsiaTheme="minorEastAsia" w:hAnsiTheme="minorHAnsi" w:cstheme="minorBidi"/>
          <w:bCs w:val="0"/>
          <w:noProof/>
          <w:kern w:val="2"/>
          <w:szCs w:val="24"/>
          <w14:ligatures w14:val="standardContextual"/>
        </w:rPr>
      </w:pPr>
      <w:hyperlink w:anchor="_Toc143336546" w:history="1">
        <w:r w:rsidR="00294CB6" w:rsidRPr="009D329C">
          <w:rPr>
            <w:rStyle w:val="Hyperlink"/>
            <w:iCs/>
            <w:noProof/>
          </w:rPr>
          <w:t>A.</w:t>
        </w:r>
        <w:r w:rsidR="00294CB6">
          <w:rPr>
            <w:rFonts w:asciiTheme="minorHAnsi" w:eastAsiaTheme="minorEastAsia" w:hAnsiTheme="minorHAnsi" w:cstheme="minorBidi"/>
            <w:bCs w:val="0"/>
            <w:noProof/>
            <w:kern w:val="2"/>
            <w:szCs w:val="24"/>
            <w14:ligatures w14:val="standardContextual"/>
          </w:rPr>
          <w:tab/>
        </w:r>
        <w:r w:rsidR="00294CB6" w:rsidRPr="009D329C">
          <w:rPr>
            <w:rStyle w:val="Hyperlink"/>
            <w:noProof/>
          </w:rPr>
          <w:t>The Components of Intervention</w:t>
        </w:r>
        <w:r w:rsidR="00294CB6">
          <w:rPr>
            <w:noProof/>
            <w:webHidden/>
          </w:rPr>
          <w:tab/>
        </w:r>
        <w:r w:rsidR="00294CB6">
          <w:rPr>
            <w:noProof/>
            <w:webHidden/>
          </w:rPr>
          <w:fldChar w:fldCharType="begin"/>
        </w:r>
        <w:r w:rsidR="00294CB6">
          <w:rPr>
            <w:noProof/>
            <w:webHidden/>
          </w:rPr>
          <w:instrText xml:space="preserve"> PAGEREF _Toc143336546 \h </w:instrText>
        </w:r>
        <w:r w:rsidR="00294CB6">
          <w:rPr>
            <w:noProof/>
            <w:webHidden/>
          </w:rPr>
        </w:r>
        <w:r w:rsidR="00294CB6">
          <w:rPr>
            <w:noProof/>
            <w:webHidden/>
          </w:rPr>
          <w:fldChar w:fldCharType="separate"/>
        </w:r>
        <w:r w:rsidR="0003321D">
          <w:rPr>
            <w:noProof/>
            <w:webHidden/>
          </w:rPr>
          <w:t>10</w:t>
        </w:r>
        <w:r w:rsidR="00294CB6">
          <w:rPr>
            <w:noProof/>
            <w:webHidden/>
          </w:rPr>
          <w:fldChar w:fldCharType="end"/>
        </w:r>
      </w:hyperlink>
    </w:p>
    <w:p w14:paraId="71FC6257" w14:textId="7C75FE63" w:rsidR="00294CB6" w:rsidRDefault="00000000">
      <w:pPr>
        <w:pStyle w:val="TOC3"/>
        <w:rPr>
          <w:rFonts w:asciiTheme="minorHAnsi" w:eastAsiaTheme="minorEastAsia" w:hAnsiTheme="minorHAnsi" w:cstheme="minorBidi"/>
          <w:noProof/>
          <w:kern w:val="2"/>
          <w:szCs w:val="24"/>
          <w14:ligatures w14:val="standardContextual"/>
        </w:rPr>
      </w:pPr>
      <w:hyperlink w:anchor="_Toc143336547" w:history="1">
        <w:r w:rsidR="00294CB6" w:rsidRPr="009D329C">
          <w:rPr>
            <w:rStyle w:val="Hyperlink"/>
            <w:iCs/>
            <w:noProof/>
          </w:rPr>
          <w:t>1.</w:t>
        </w:r>
        <w:r w:rsidR="00294CB6">
          <w:rPr>
            <w:rFonts w:asciiTheme="minorHAnsi" w:eastAsiaTheme="minorEastAsia" w:hAnsiTheme="minorHAnsi" w:cstheme="minorBidi"/>
            <w:noProof/>
            <w:kern w:val="2"/>
            <w:szCs w:val="24"/>
            <w14:ligatures w14:val="standardContextual"/>
          </w:rPr>
          <w:tab/>
        </w:r>
        <w:r w:rsidR="00294CB6" w:rsidRPr="009D329C">
          <w:rPr>
            <w:rStyle w:val="Hyperlink"/>
            <w:noProof/>
          </w:rPr>
          <w:t>As-of-Right and Permissive Intervention</w:t>
        </w:r>
        <w:r w:rsidR="00294CB6">
          <w:rPr>
            <w:noProof/>
            <w:webHidden/>
          </w:rPr>
          <w:tab/>
        </w:r>
        <w:r w:rsidR="00294CB6">
          <w:rPr>
            <w:noProof/>
            <w:webHidden/>
          </w:rPr>
          <w:fldChar w:fldCharType="begin"/>
        </w:r>
        <w:r w:rsidR="00294CB6">
          <w:rPr>
            <w:noProof/>
            <w:webHidden/>
          </w:rPr>
          <w:instrText xml:space="preserve"> PAGEREF _Toc143336547 \h </w:instrText>
        </w:r>
        <w:r w:rsidR="00294CB6">
          <w:rPr>
            <w:noProof/>
            <w:webHidden/>
          </w:rPr>
        </w:r>
        <w:r w:rsidR="00294CB6">
          <w:rPr>
            <w:noProof/>
            <w:webHidden/>
          </w:rPr>
          <w:fldChar w:fldCharType="separate"/>
        </w:r>
        <w:r w:rsidR="0003321D">
          <w:rPr>
            <w:noProof/>
            <w:webHidden/>
          </w:rPr>
          <w:t>10</w:t>
        </w:r>
        <w:r w:rsidR="00294CB6">
          <w:rPr>
            <w:noProof/>
            <w:webHidden/>
          </w:rPr>
          <w:fldChar w:fldCharType="end"/>
        </w:r>
      </w:hyperlink>
    </w:p>
    <w:p w14:paraId="7A55939F" w14:textId="6BF93C8F" w:rsidR="00294CB6" w:rsidRDefault="00000000">
      <w:pPr>
        <w:pStyle w:val="TOC3"/>
        <w:rPr>
          <w:rFonts w:asciiTheme="minorHAnsi" w:eastAsiaTheme="minorEastAsia" w:hAnsiTheme="minorHAnsi" w:cstheme="minorBidi"/>
          <w:noProof/>
          <w:kern w:val="2"/>
          <w:szCs w:val="24"/>
          <w14:ligatures w14:val="standardContextual"/>
        </w:rPr>
      </w:pPr>
      <w:hyperlink w:anchor="_Toc143336548" w:history="1">
        <w:r w:rsidR="00294CB6" w:rsidRPr="009D329C">
          <w:rPr>
            <w:rStyle w:val="Hyperlink"/>
            <w:iCs/>
            <w:noProof/>
          </w:rPr>
          <w:t>2.</w:t>
        </w:r>
        <w:r w:rsidR="00294CB6">
          <w:rPr>
            <w:rFonts w:asciiTheme="minorHAnsi" w:eastAsiaTheme="minorEastAsia" w:hAnsiTheme="minorHAnsi" w:cstheme="minorBidi"/>
            <w:noProof/>
            <w:kern w:val="2"/>
            <w:szCs w:val="24"/>
            <w14:ligatures w14:val="standardContextual"/>
          </w:rPr>
          <w:tab/>
        </w:r>
        <w:r w:rsidR="00294CB6" w:rsidRPr="009D329C">
          <w:rPr>
            <w:rStyle w:val="Hyperlink"/>
            <w:noProof/>
          </w:rPr>
          <w:t>Interest</w:t>
        </w:r>
        <w:r w:rsidR="00294CB6">
          <w:rPr>
            <w:noProof/>
            <w:webHidden/>
          </w:rPr>
          <w:tab/>
        </w:r>
        <w:r w:rsidR="00294CB6">
          <w:rPr>
            <w:noProof/>
            <w:webHidden/>
          </w:rPr>
          <w:fldChar w:fldCharType="begin"/>
        </w:r>
        <w:r w:rsidR="00294CB6">
          <w:rPr>
            <w:noProof/>
            <w:webHidden/>
          </w:rPr>
          <w:instrText xml:space="preserve"> PAGEREF _Toc143336548 \h </w:instrText>
        </w:r>
        <w:r w:rsidR="00294CB6">
          <w:rPr>
            <w:noProof/>
            <w:webHidden/>
          </w:rPr>
        </w:r>
        <w:r w:rsidR="00294CB6">
          <w:rPr>
            <w:noProof/>
            <w:webHidden/>
          </w:rPr>
          <w:fldChar w:fldCharType="separate"/>
        </w:r>
        <w:r w:rsidR="0003321D">
          <w:rPr>
            <w:noProof/>
            <w:webHidden/>
          </w:rPr>
          <w:t>12</w:t>
        </w:r>
        <w:r w:rsidR="00294CB6">
          <w:rPr>
            <w:noProof/>
            <w:webHidden/>
          </w:rPr>
          <w:fldChar w:fldCharType="end"/>
        </w:r>
      </w:hyperlink>
    </w:p>
    <w:p w14:paraId="400D29E1" w14:textId="19DFD5A7" w:rsidR="00294CB6" w:rsidRDefault="00000000">
      <w:pPr>
        <w:pStyle w:val="TOC3"/>
        <w:rPr>
          <w:rFonts w:asciiTheme="minorHAnsi" w:eastAsiaTheme="minorEastAsia" w:hAnsiTheme="minorHAnsi" w:cstheme="minorBidi"/>
          <w:noProof/>
          <w:kern w:val="2"/>
          <w:szCs w:val="24"/>
          <w14:ligatures w14:val="standardContextual"/>
        </w:rPr>
      </w:pPr>
      <w:hyperlink w:anchor="_Toc143336549" w:history="1">
        <w:r w:rsidR="00294CB6" w:rsidRPr="009D329C">
          <w:rPr>
            <w:rStyle w:val="Hyperlink"/>
            <w:iCs/>
            <w:noProof/>
          </w:rPr>
          <w:t>3.</w:t>
        </w:r>
        <w:r w:rsidR="00294CB6">
          <w:rPr>
            <w:rFonts w:asciiTheme="minorHAnsi" w:eastAsiaTheme="minorEastAsia" w:hAnsiTheme="minorHAnsi" w:cstheme="minorBidi"/>
            <w:noProof/>
            <w:kern w:val="2"/>
            <w:szCs w:val="24"/>
            <w14:ligatures w14:val="standardContextual"/>
          </w:rPr>
          <w:tab/>
        </w:r>
        <w:r w:rsidR="00294CB6" w:rsidRPr="009D329C">
          <w:rPr>
            <w:rStyle w:val="Hyperlink"/>
            <w:noProof/>
          </w:rPr>
          <w:t>Impairment</w:t>
        </w:r>
        <w:r w:rsidR="00294CB6">
          <w:rPr>
            <w:noProof/>
            <w:webHidden/>
          </w:rPr>
          <w:tab/>
        </w:r>
        <w:r w:rsidR="00294CB6">
          <w:rPr>
            <w:noProof/>
            <w:webHidden/>
          </w:rPr>
          <w:fldChar w:fldCharType="begin"/>
        </w:r>
        <w:r w:rsidR="00294CB6">
          <w:rPr>
            <w:noProof/>
            <w:webHidden/>
          </w:rPr>
          <w:instrText xml:space="preserve"> PAGEREF _Toc143336549 \h </w:instrText>
        </w:r>
        <w:r w:rsidR="00294CB6">
          <w:rPr>
            <w:noProof/>
            <w:webHidden/>
          </w:rPr>
        </w:r>
        <w:r w:rsidR="00294CB6">
          <w:rPr>
            <w:noProof/>
            <w:webHidden/>
          </w:rPr>
          <w:fldChar w:fldCharType="separate"/>
        </w:r>
        <w:r w:rsidR="0003321D">
          <w:rPr>
            <w:noProof/>
            <w:webHidden/>
          </w:rPr>
          <w:t>15</w:t>
        </w:r>
        <w:r w:rsidR="00294CB6">
          <w:rPr>
            <w:noProof/>
            <w:webHidden/>
          </w:rPr>
          <w:fldChar w:fldCharType="end"/>
        </w:r>
      </w:hyperlink>
    </w:p>
    <w:p w14:paraId="540C84F6" w14:textId="0D6ACBBB" w:rsidR="00294CB6" w:rsidRDefault="00000000">
      <w:pPr>
        <w:pStyle w:val="TOC3"/>
        <w:rPr>
          <w:rFonts w:asciiTheme="minorHAnsi" w:eastAsiaTheme="minorEastAsia" w:hAnsiTheme="minorHAnsi" w:cstheme="minorBidi"/>
          <w:noProof/>
          <w:kern w:val="2"/>
          <w:szCs w:val="24"/>
          <w14:ligatures w14:val="standardContextual"/>
        </w:rPr>
      </w:pPr>
      <w:hyperlink w:anchor="_Toc143336550" w:history="1">
        <w:r w:rsidR="00294CB6" w:rsidRPr="009D329C">
          <w:rPr>
            <w:rStyle w:val="Hyperlink"/>
            <w:iCs/>
            <w:noProof/>
          </w:rPr>
          <w:t>4.</w:t>
        </w:r>
        <w:r w:rsidR="00294CB6">
          <w:rPr>
            <w:rFonts w:asciiTheme="minorHAnsi" w:eastAsiaTheme="minorEastAsia" w:hAnsiTheme="minorHAnsi" w:cstheme="minorBidi"/>
            <w:noProof/>
            <w:kern w:val="2"/>
            <w:szCs w:val="24"/>
            <w14:ligatures w14:val="standardContextual"/>
          </w:rPr>
          <w:tab/>
        </w:r>
        <w:r w:rsidR="00294CB6" w:rsidRPr="009D329C">
          <w:rPr>
            <w:rStyle w:val="Hyperlink"/>
            <w:noProof/>
          </w:rPr>
          <w:t>Adequate Representation</w:t>
        </w:r>
        <w:r w:rsidR="00294CB6">
          <w:rPr>
            <w:noProof/>
            <w:webHidden/>
          </w:rPr>
          <w:tab/>
        </w:r>
        <w:r w:rsidR="00294CB6">
          <w:rPr>
            <w:noProof/>
            <w:webHidden/>
          </w:rPr>
          <w:fldChar w:fldCharType="begin"/>
        </w:r>
        <w:r w:rsidR="00294CB6">
          <w:rPr>
            <w:noProof/>
            <w:webHidden/>
          </w:rPr>
          <w:instrText xml:space="preserve"> PAGEREF _Toc143336550 \h </w:instrText>
        </w:r>
        <w:r w:rsidR="00294CB6">
          <w:rPr>
            <w:noProof/>
            <w:webHidden/>
          </w:rPr>
        </w:r>
        <w:r w:rsidR="00294CB6">
          <w:rPr>
            <w:noProof/>
            <w:webHidden/>
          </w:rPr>
          <w:fldChar w:fldCharType="separate"/>
        </w:r>
        <w:r w:rsidR="0003321D">
          <w:rPr>
            <w:noProof/>
            <w:webHidden/>
          </w:rPr>
          <w:t>16</w:t>
        </w:r>
        <w:r w:rsidR="00294CB6">
          <w:rPr>
            <w:noProof/>
            <w:webHidden/>
          </w:rPr>
          <w:fldChar w:fldCharType="end"/>
        </w:r>
      </w:hyperlink>
    </w:p>
    <w:p w14:paraId="7F55C49A" w14:textId="582A9BEE" w:rsidR="00294CB6" w:rsidRDefault="00000000">
      <w:pPr>
        <w:pStyle w:val="TOC2"/>
        <w:rPr>
          <w:rFonts w:asciiTheme="minorHAnsi" w:eastAsiaTheme="minorEastAsia" w:hAnsiTheme="minorHAnsi" w:cstheme="minorBidi"/>
          <w:bCs w:val="0"/>
          <w:noProof/>
          <w:kern w:val="2"/>
          <w:szCs w:val="24"/>
          <w14:ligatures w14:val="standardContextual"/>
        </w:rPr>
      </w:pPr>
      <w:hyperlink w:anchor="_Toc143336551" w:history="1">
        <w:r w:rsidR="00294CB6" w:rsidRPr="009D329C">
          <w:rPr>
            <w:rStyle w:val="Hyperlink"/>
            <w:iCs/>
            <w:noProof/>
          </w:rPr>
          <w:t>B.</w:t>
        </w:r>
        <w:r w:rsidR="00294CB6">
          <w:rPr>
            <w:rFonts w:asciiTheme="minorHAnsi" w:eastAsiaTheme="minorEastAsia" w:hAnsiTheme="minorHAnsi" w:cstheme="minorBidi"/>
            <w:bCs w:val="0"/>
            <w:noProof/>
            <w:kern w:val="2"/>
            <w:szCs w:val="24"/>
            <w14:ligatures w14:val="standardContextual"/>
          </w:rPr>
          <w:tab/>
        </w:r>
        <w:r w:rsidR="00294CB6" w:rsidRPr="009D329C">
          <w:rPr>
            <w:rStyle w:val="Hyperlink"/>
            <w:noProof/>
          </w:rPr>
          <w:t>The Values of Intervention</w:t>
        </w:r>
        <w:r w:rsidR="00294CB6">
          <w:rPr>
            <w:noProof/>
            <w:webHidden/>
          </w:rPr>
          <w:tab/>
        </w:r>
        <w:r w:rsidR="00294CB6">
          <w:rPr>
            <w:noProof/>
            <w:webHidden/>
          </w:rPr>
          <w:fldChar w:fldCharType="begin"/>
        </w:r>
        <w:r w:rsidR="00294CB6">
          <w:rPr>
            <w:noProof/>
            <w:webHidden/>
          </w:rPr>
          <w:instrText xml:space="preserve"> PAGEREF _Toc143336551 \h </w:instrText>
        </w:r>
        <w:r w:rsidR="00294CB6">
          <w:rPr>
            <w:noProof/>
            <w:webHidden/>
          </w:rPr>
        </w:r>
        <w:r w:rsidR="00294CB6">
          <w:rPr>
            <w:noProof/>
            <w:webHidden/>
          </w:rPr>
          <w:fldChar w:fldCharType="separate"/>
        </w:r>
        <w:r w:rsidR="0003321D">
          <w:rPr>
            <w:noProof/>
            <w:webHidden/>
          </w:rPr>
          <w:t>20</w:t>
        </w:r>
        <w:r w:rsidR="00294CB6">
          <w:rPr>
            <w:noProof/>
            <w:webHidden/>
          </w:rPr>
          <w:fldChar w:fldCharType="end"/>
        </w:r>
      </w:hyperlink>
    </w:p>
    <w:p w14:paraId="18645616" w14:textId="04410AFB" w:rsidR="00294CB6" w:rsidRDefault="00000000">
      <w:pPr>
        <w:pStyle w:val="TOC2"/>
        <w:rPr>
          <w:rFonts w:asciiTheme="minorHAnsi" w:eastAsiaTheme="minorEastAsia" w:hAnsiTheme="minorHAnsi" w:cstheme="minorBidi"/>
          <w:bCs w:val="0"/>
          <w:noProof/>
          <w:kern w:val="2"/>
          <w:szCs w:val="24"/>
          <w14:ligatures w14:val="standardContextual"/>
        </w:rPr>
      </w:pPr>
      <w:hyperlink w:anchor="_Toc143336552" w:history="1">
        <w:r w:rsidR="00294CB6" w:rsidRPr="009D329C">
          <w:rPr>
            <w:rStyle w:val="Hyperlink"/>
            <w:iCs/>
            <w:noProof/>
          </w:rPr>
          <w:t>C.</w:t>
        </w:r>
        <w:r w:rsidR="00294CB6">
          <w:rPr>
            <w:rFonts w:asciiTheme="minorHAnsi" w:eastAsiaTheme="minorEastAsia" w:hAnsiTheme="minorHAnsi" w:cstheme="minorBidi"/>
            <w:bCs w:val="0"/>
            <w:noProof/>
            <w:kern w:val="2"/>
            <w:szCs w:val="24"/>
            <w14:ligatures w14:val="standardContextual"/>
          </w:rPr>
          <w:tab/>
        </w:r>
        <w:r w:rsidR="00294CB6" w:rsidRPr="009D329C">
          <w:rPr>
            <w:rStyle w:val="Hyperlink"/>
            <w:noProof/>
          </w:rPr>
          <w:t>The Values of Intervention in Private and Public Law Litigation</w:t>
        </w:r>
        <w:r w:rsidR="00294CB6">
          <w:rPr>
            <w:noProof/>
            <w:webHidden/>
          </w:rPr>
          <w:tab/>
        </w:r>
        <w:r w:rsidR="00294CB6">
          <w:rPr>
            <w:noProof/>
            <w:webHidden/>
          </w:rPr>
          <w:fldChar w:fldCharType="begin"/>
        </w:r>
        <w:r w:rsidR="00294CB6">
          <w:rPr>
            <w:noProof/>
            <w:webHidden/>
          </w:rPr>
          <w:instrText xml:space="preserve"> PAGEREF _Toc143336552 \h </w:instrText>
        </w:r>
        <w:r w:rsidR="00294CB6">
          <w:rPr>
            <w:noProof/>
            <w:webHidden/>
          </w:rPr>
        </w:r>
        <w:r w:rsidR="00294CB6">
          <w:rPr>
            <w:noProof/>
            <w:webHidden/>
          </w:rPr>
          <w:fldChar w:fldCharType="separate"/>
        </w:r>
        <w:r w:rsidR="0003321D">
          <w:rPr>
            <w:noProof/>
            <w:webHidden/>
          </w:rPr>
          <w:t>24</w:t>
        </w:r>
        <w:r w:rsidR="00294CB6">
          <w:rPr>
            <w:noProof/>
            <w:webHidden/>
          </w:rPr>
          <w:fldChar w:fldCharType="end"/>
        </w:r>
      </w:hyperlink>
    </w:p>
    <w:p w14:paraId="5C47537F" w14:textId="47A8B915" w:rsidR="00294CB6" w:rsidRDefault="00000000">
      <w:pPr>
        <w:pStyle w:val="TOC3"/>
        <w:rPr>
          <w:rFonts w:asciiTheme="minorHAnsi" w:eastAsiaTheme="minorEastAsia" w:hAnsiTheme="minorHAnsi" w:cstheme="minorBidi"/>
          <w:noProof/>
          <w:kern w:val="2"/>
          <w:szCs w:val="24"/>
          <w14:ligatures w14:val="standardContextual"/>
        </w:rPr>
      </w:pPr>
      <w:hyperlink w:anchor="_Toc143336553" w:history="1">
        <w:r w:rsidR="00294CB6" w:rsidRPr="009D329C">
          <w:rPr>
            <w:rStyle w:val="Hyperlink"/>
            <w:iCs/>
            <w:noProof/>
          </w:rPr>
          <w:t>1.</w:t>
        </w:r>
        <w:r w:rsidR="00294CB6">
          <w:rPr>
            <w:rFonts w:asciiTheme="minorHAnsi" w:eastAsiaTheme="minorEastAsia" w:hAnsiTheme="minorHAnsi" w:cstheme="minorBidi"/>
            <w:noProof/>
            <w:kern w:val="2"/>
            <w:szCs w:val="24"/>
            <w14:ligatures w14:val="standardContextual"/>
          </w:rPr>
          <w:tab/>
        </w:r>
        <w:r w:rsidR="00294CB6" w:rsidRPr="009D329C">
          <w:rPr>
            <w:rStyle w:val="Hyperlink"/>
            <w:noProof/>
          </w:rPr>
          <w:t>Comparing Rule 24’s Operation</w:t>
        </w:r>
        <w:r w:rsidR="00294CB6">
          <w:rPr>
            <w:noProof/>
            <w:webHidden/>
          </w:rPr>
          <w:tab/>
        </w:r>
        <w:r w:rsidR="00294CB6">
          <w:rPr>
            <w:noProof/>
            <w:webHidden/>
          </w:rPr>
          <w:fldChar w:fldCharType="begin"/>
        </w:r>
        <w:r w:rsidR="00294CB6">
          <w:rPr>
            <w:noProof/>
            <w:webHidden/>
          </w:rPr>
          <w:instrText xml:space="preserve"> PAGEREF _Toc143336553 \h </w:instrText>
        </w:r>
        <w:r w:rsidR="00294CB6">
          <w:rPr>
            <w:noProof/>
            <w:webHidden/>
          </w:rPr>
        </w:r>
        <w:r w:rsidR="00294CB6">
          <w:rPr>
            <w:noProof/>
            <w:webHidden/>
          </w:rPr>
          <w:fldChar w:fldCharType="separate"/>
        </w:r>
        <w:r w:rsidR="0003321D">
          <w:rPr>
            <w:noProof/>
            <w:webHidden/>
          </w:rPr>
          <w:t>25</w:t>
        </w:r>
        <w:r w:rsidR="00294CB6">
          <w:rPr>
            <w:noProof/>
            <w:webHidden/>
          </w:rPr>
          <w:fldChar w:fldCharType="end"/>
        </w:r>
      </w:hyperlink>
    </w:p>
    <w:p w14:paraId="375B103F" w14:textId="2944435F" w:rsidR="00294CB6" w:rsidRDefault="00000000">
      <w:pPr>
        <w:pStyle w:val="TOC3"/>
        <w:rPr>
          <w:rFonts w:asciiTheme="minorHAnsi" w:eastAsiaTheme="minorEastAsia" w:hAnsiTheme="minorHAnsi" w:cstheme="minorBidi"/>
          <w:noProof/>
          <w:kern w:val="2"/>
          <w:szCs w:val="24"/>
          <w14:ligatures w14:val="standardContextual"/>
        </w:rPr>
      </w:pPr>
      <w:hyperlink w:anchor="_Toc143336554" w:history="1">
        <w:r w:rsidR="00294CB6" w:rsidRPr="009D329C">
          <w:rPr>
            <w:rStyle w:val="Hyperlink"/>
            <w:iCs/>
            <w:noProof/>
          </w:rPr>
          <w:t>2.</w:t>
        </w:r>
        <w:r w:rsidR="00294CB6">
          <w:rPr>
            <w:rFonts w:asciiTheme="minorHAnsi" w:eastAsiaTheme="minorEastAsia" w:hAnsiTheme="minorHAnsi" w:cstheme="minorBidi"/>
            <w:noProof/>
            <w:kern w:val="2"/>
            <w:szCs w:val="24"/>
            <w14:ligatures w14:val="standardContextual"/>
          </w:rPr>
          <w:tab/>
        </w:r>
        <w:r w:rsidR="00294CB6" w:rsidRPr="009D329C">
          <w:rPr>
            <w:rStyle w:val="Hyperlink"/>
            <w:noProof/>
          </w:rPr>
          <w:t>What Makes Nationwide-Injunction Litigation Different</w:t>
        </w:r>
        <w:r w:rsidR="00294CB6">
          <w:rPr>
            <w:noProof/>
            <w:webHidden/>
          </w:rPr>
          <w:tab/>
        </w:r>
        <w:r w:rsidR="00294CB6">
          <w:rPr>
            <w:noProof/>
            <w:webHidden/>
          </w:rPr>
          <w:fldChar w:fldCharType="begin"/>
        </w:r>
        <w:r w:rsidR="00294CB6">
          <w:rPr>
            <w:noProof/>
            <w:webHidden/>
          </w:rPr>
          <w:instrText xml:space="preserve"> PAGEREF _Toc143336554 \h </w:instrText>
        </w:r>
        <w:r w:rsidR="00294CB6">
          <w:rPr>
            <w:noProof/>
            <w:webHidden/>
          </w:rPr>
        </w:r>
        <w:r w:rsidR="00294CB6">
          <w:rPr>
            <w:noProof/>
            <w:webHidden/>
          </w:rPr>
          <w:fldChar w:fldCharType="separate"/>
        </w:r>
        <w:r w:rsidR="0003321D">
          <w:rPr>
            <w:noProof/>
            <w:webHidden/>
          </w:rPr>
          <w:t>28</w:t>
        </w:r>
        <w:r w:rsidR="00294CB6">
          <w:rPr>
            <w:noProof/>
            <w:webHidden/>
          </w:rPr>
          <w:fldChar w:fldCharType="end"/>
        </w:r>
      </w:hyperlink>
    </w:p>
    <w:p w14:paraId="3B8B03F3" w14:textId="426D258F" w:rsidR="00294CB6" w:rsidRDefault="00000000">
      <w:pPr>
        <w:pStyle w:val="TOC1"/>
        <w:rPr>
          <w:rFonts w:asciiTheme="minorHAnsi" w:eastAsiaTheme="minorEastAsia" w:hAnsiTheme="minorHAnsi" w:cstheme="minorBidi"/>
          <w:bCs w:val="0"/>
          <w:iCs w:val="0"/>
          <w:smallCaps w:val="0"/>
          <w:kern w:val="2"/>
          <w14:ligatures w14:val="standardContextual"/>
        </w:rPr>
      </w:pPr>
      <w:hyperlink w:anchor="_Toc143336555" w:history="1">
        <w:r w:rsidR="00294CB6" w:rsidRPr="009D329C">
          <w:rPr>
            <w:rStyle w:val="Hyperlink"/>
          </w:rPr>
          <w:t>II.</w:t>
        </w:r>
        <w:r w:rsidR="00294CB6">
          <w:rPr>
            <w:rFonts w:asciiTheme="minorHAnsi" w:eastAsiaTheme="minorEastAsia" w:hAnsiTheme="minorHAnsi" w:cstheme="minorBidi"/>
            <w:bCs w:val="0"/>
            <w:iCs w:val="0"/>
            <w:smallCaps w:val="0"/>
            <w:kern w:val="2"/>
            <w14:ligatures w14:val="standardContextual"/>
          </w:rPr>
          <w:tab/>
        </w:r>
        <w:r w:rsidR="00294CB6" w:rsidRPr="009D329C">
          <w:rPr>
            <w:rStyle w:val="Hyperlink"/>
          </w:rPr>
          <w:t>Intervention in Nationwide-Injunction Cases</w:t>
        </w:r>
        <w:r w:rsidR="00294CB6">
          <w:rPr>
            <w:webHidden/>
          </w:rPr>
          <w:tab/>
        </w:r>
        <w:r w:rsidR="00294CB6">
          <w:rPr>
            <w:webHidden/>
          </w:rPr>
          <w:fldChar w:fldCharType="begin"/>
        </w:r>
        <w:r w:rsidR="00294CB6">
          <w:rPr>
            <w:webHidden/>
          </w:rPr>
          <w:instrText xml:space="preserve"> PAGEREF _Toc143336555 \h </w:instrText>
        </w:r>
        <w:r w:rsidR="00294CB6">
          <w:rPr>
            <w:webHidden/>
          </w:rPr>
        </w:r>
        <w:r w:rsidR="00294CB6">
          <w:rPr>
            <w:webHidden/>
          </w:rPr>
          <w:fldChar w:fldCharType="separate"/>
        </w:r>
        <w:r w:rsidR="0003321D">
          <w:rPr>
            <w:webHidden/>
          </w:rPr>
          <w:t>31</w:t>
        </w:r>
        <w:r w:rsidR="00294CB6">
          <w:rPr>
            <w:webHidden/>
          </w:rPr>
          <w:fldChar w:fldCharType="end"/>
        </w:r>
      </w:hyperlink>
    </w:p>
    <w:p w14:paraId="5F234A8E" w14:textId="61351132" w:rsidR="00294CB6" w:rsidRDefault="00000000">
      <w:pPr>
        <w:pStyle w:val="TOC2"/>
        <w:rPr>
          <w:rFonts w:asciiTheme="minorHAnsi" w:eastAsiaTheme="minorEastAsia" w:hAnsiTheme="minorHAnsi" w:cstheme="minorBidi"/>
          <w:bCs w:val="0"/>
          <w:noProof/>
          <w:kern w:val="2"/>
          <w:szCs w:val="24"/>
          <w14:ligatures w14:val="standardContextual"/>
        </w:rPr>
      </w:pPr>
      <w:hyperlink w:anchor="_Toc143336556" w:history="1">
        <w:r w:rsidR="00294CB6" w:rsidRPr="009D329C">
          <w:rPr>
            <w:rStyle w:val="Hyperlink"/>
            <w:iCs/>
            <w:noProof/>
          </w:rPr>
          <w:t>A.</w:t>
        </w:r>
        <w:r w:rsidR="00294CB6">
          <w:rPr>
            <w:rFonts w:asciiTheme="minorHAnsi" w:eastAsiaTheme="minorEastAsia" w:hAnsiTheme="minorHAnsi" w:cstheme="minorBidi"/>
            <w:bCs w:val="0"/>
            <w:noProof/>
            <w:kern w:val="2"/>
            <w:szCs w:val="24"/>
            <w14:ligatures w14:val="standardContextual"/>
          </w:rPr>
          <w:tab/>
        </w:r>
        <w:r w:rsidR="00294CB6" w:rsidRPr="009D329C">
          <w:rPr>
            <w:rStyle w:val="Hyperlink"/>
            <w:noProof/>
          </w:rPr>
          <w:t>The Dataset: Methodology and Results</w:t>
        </w:r>
        <w:r w:rsidR="00294CB6">
          <w:rPr>
            <w:noProof/>
            <w:webHidden/>
          </w:rPr>
          <w:tab/>
        </w:r>
        <w:r w:rsidR="00294CB6">
          <w:rPr>
            <w:noProof/>
            <w:webHidden/>
          </w:rPr>
          <w:fldChar w:fldCharType="begin"/>
        </w:r>
        <w:r w:rsidR="00294CB6">
          <w:rPr>
            <w:noProof/>
            <w:webHidden/>
          </w:rPr>
          <w:instrText xml:space="preserve"> PAGEREF _Toc143336556 \h </w:instrText>
        </w:r>
        <w:r w:rsidR="00294CB6">
          <w:rPr>
            <w:noProof/>
            <w:webHidden/>
          </w:rPr>
        </w:r>
        <w:r w:rsidR="00294CB6">
          <w:rPr>
            <w:noProof/>
            <w:webHidden/>
          </w:rPr>
          <w:fldChar w:fldCharType="separate"/>
        </w:r>
        <w:r w:rsidR="0003321D">
          <w:rPr>
            <w:noProof/>
            <w:webHidden/>
          </w:rPr>
          <w:t>31</w:t>
        </w:r>
        <w:r w:rsidR="00294CB6">
          <w:rPr>
            <w:noProof/>
            <w:webHidden/>
          </w:rPr>
          <w:fldChar w:fldCharType="end"/>
        </w:r>
      </w:hyperlink>
    </w:p>
    <w:p w14:paraId="67F01C26" w14:textId="27B7F204" w:rsidR="00294CB6" w:rsidRDefault="00000000">
      <w:pPr>
        <w:pStyle w:val="TOC2"/>
        <w:rPr>
          <w:rFonts w:asciiTheme="minorHAnsi" w:eastAsiaTheme="minorEastAsia" w:hAnsiTheme="minorHAnsi" w:cstheme="minorBidi"/>
          <w:bCs w:val="0"/>
          <w:noProof/>
          <w:kern w:val="2"/>
          <w:szCs w:val="24"/>
          <w14:ligatures w14:val="standardContextual"/>
        </w:rPr>
      </w:pPr>
      <w:hyperlink w:anchor="_Toc143336557" w:history="1">
        <w:r w:rsidR="00294CB6" w:rsidRPr="009D329C">
          <w:rPr>
            <w:rStyle w:val="Hyperlink"/>
            <w:iCs/>
            <w:noProof/>
          </w:rPr>
          <w:t>B.</w:t>
        </w:r>
        <w:r w:rsidR="00294CB6">
          <w:rPr>
            <w:rFonts w:asciiTheme="minorHAnsi" w:eastAsiaTheme="minorEastAsia" w:hAnsiTheme="minorHAnsi" w:cstheme="minorBidi"/>
            <w:bCs w:val="0"/>
            <w:noProof/>
            <w:kern w:val="2"/>
            <w:szCs w:val="24"/>
            <w14:ligatures w14:val="standardContextual"/>
          </w:rPr>
          <w:tab/>
        </w:r>
        <w:r w:rsidR="00294CB6" w:rsidRPr="009D329C">
          <w:rPr>
            <w:rStyle w:val="Hyperlink"/>
            <w:noProof/>
          </w:rPr>
          <w:t>Motives to Intervene</w:t>
        </w:r>
        <w:r w:rsidR="00294CB6">
          <w:rPr>
            <w:noProof/>
            <w:webHidden/>
          </w:rPr>
          <w:tab/>
        </w:r>
        <w:r w:rsidR="00294CB6">
          <w:rPr>
            <w:noProof/>
            <w:webHidden/>
          </w:rPr>
          <w:fldChar w:fldCharType="begin"/>
        </w:r>
        <w:r w:rsidR="00294CB6">
          <w:rPr>
            <w:noProof/>
            <w:webHidden/>
          </w:rPr>
          <w:instrText xml:space="preserve"> PAGEREF _Toc143336557 \h </w:instrText>
        </w:r>
        <w:r w:rsidR="00294CB6">
          <w:rPr>
            <w:noProof/>
            <w:webHidden/>
          </w:rPr>
        </w:r>
        <w:r w:rsidR="00294CB6">
          <w:rPr>
            <w:noProof/>
            <w:webHidden/>
          </w:rPr>
          <w:fldChar w:fldCharType="separate"/>
        </w:r>
        <w:r w:rsidR="0003321D">
          <w:rPr>
            <w:noProof/>
            <w:webHidden/>
          </w:rPr>
          <w:t>33</w:t>
        </w:r>
        <w:r w:rsidR="00294CB6">
          <w:rPr>
            <w:noProof/>
            <w:webHidden/>
          </w:rPr>
          <w:fldChar w:fldCharType="end"/>
        </w:r>
      </w:hyperlink>
    </w:p>
    <w:p w14:paraId="0174D399" w14:textId="786060B5" w:rsidR="00294CB6" w:rsidRDefault="00000000">
      <w:pPr>
        <w:pStyle w:val="TOC2"/>
        <w:rPr>
          <w:rFonts w:asciiTheme="minorHAnsi" w:eastAsiaTheme="minorEastAsia" w:hAnsiTheme="minorHAnsi" w:cstheme="minorBidi"/>
          <w:bCs w:val="0"/>
          <w:noProof/>
          <w:kern w:val="2"/>
          <w:szCs w:val="24"/>
          <w14:ligatures w14:val="standardContextual"/>
        </w:rPr>
      </w:pPr>
      <w:hyperlink w:anchor="_Toc143336558" w:history="1">
        <w:r w:rsidR="00294CB6" w:rsidRPr="009D329C">
          <w:rPr>
            <w:rStyle w:val="Hyperlink"/>
            <w:iCs/>
            <w:noProof/>
          </w:rPr>
          <w:t>C.</w:t>
        </w:r>
        <w:r w:rsidR="00294CB6">
          <w:rPr>
            <w:rFonts w:asciiTheme="minorHAnsi" w:eastAsiaTheme="minorEastAsia" w:hAnsiTheme="minorHAnsi" w:cstheme="minorBidi"/>
            <w:bCs w:val="0"/>
            <w:noProof/>
            <w:kern w:val="2"/>
            <w:szCs w:val="24"/>
            <w14:ligatures w14:val="standardContextual"/>
          </w:rPr>
          <w:tab/>
        </w:r>
        <w:r w:rsidR="00294CB6" w:rsidRPr="009D329C">
          <w:rPr>
            <w:rStyle w:val="Hyperlink"/>
            <w:noProof/>
          </w:rPr>
          <w:t>Decisions on Intervention are Unpredictable</w:t>
        </w:r>
        <w:r w:rsidR="00294CB6">
          <w:rPr>
            <w:noProof/>
            <w:webHidden/>
          </w:rPr>
          <w:tab/>
        </w:r>
        <w:r w:rsidR="00294CB6">
          <w:rPr>
            <w:noProof/>
            <w:webHidden/>
          </w:rPr>
          <w:fldChar w:fldCharType="begin"/>
        </w:r>
        <w:r w:rsidR="00294CB6">
          <w:rPr>
            <w:noProof/>
            <w:webHidden/>
          </w:rPr>
          <w:instrText xml:space="preserve"> PAGEREF _Toc143336558 \h </w:instrText>
        </w:r>
        <w:r w:rsidR="00294CB6">
          <w:rPr>
            <w:noProof/>
            <w:webHidden/>
          </w:rPr>
        </w:r>
        <w:r w:rsidR="00294CB6">
          <w:rPr>
            <w:noProof/>
            <w:webHidden/>
          </w:rPr>
          <w:fldChar w:fldCharType="separate"/>
        </w:r>
        <w:r w:rsidR="0003321D">
          <w:rPr>
            <w:noProof/>
            <w:webHidden/>
          </w:rPr>
          <w:t>41</w:t>
        </w:r>
        <w:r w:rsidR="00294CB6">
          <w:rPr>
            <w:noProof/>
            <w:webHidden/>
          </w:rPr>
          <w:fldChar w:fldCharType="end"/>
        </w:r>
      </w:hyperlink>
    </w:p>
    <w:p w14:paraId="79E6365F" w14:textId="3999585A" w:rsidR="00294CB6" w:rsidRDefault="00000000">
      <w:pPr>
        <w:pStyle w:val="TOC2"/>
        <w:rPr>
          <w:rFonts w:asciiTheme="minorHAnsi" w:eastAsiaTheme="minorEastAsia" w:hAnsiTheme="minorHAnsi" w:cstheme="minorBidi"/>
          <w:bCs w:val="0"/>
          <w:noProof/>
          <w:kern w:val="2"/>
          <w:szCs w:val="24"/>
          <w14:ligatures w14:val="standardContextual"/>
        </w:rPr>
      </w:pPr>
      <w:hyperlink w:anchor="_Toc143336559" w:history="1">
        <w:r w:rsidR="00294CB6" w:rsidRPr="009D329C">
          <w:rPr>
            <w:rStyle w:val="Hyperlink"/>
            <w:iCs/>
            <w:noProof/>
          </w:rPr>
          <w:t>D.</w:t>
        </w:r>
        <w:r w:rsidR="00294CB6">
          <w:rPr>
            <w:rFonts w:asciiTheme="minorHAnsi" w:eastAsiaTheme="minorEastAsia" w:hAnsiTheme="minorHAnsi" w:cstheme="minorBidi"/>
            <w:bCs w:val="0"/>
            <w:noProof/>
            <w:kern w:val="2"/>
            <w:szCs w:val="24"/>
            <w14:ligatures w14:val="standardContextual"/>
          </w:rPr>
          <w:tab/>
        </w:r>
        <w:r w:rsidR="00294CB6" w:rsidRPr="009D329C">
          <w:rPr>
            <w:rStyle w:val="Hyperlink"/>
            <w:noProof/>
          </w:rPr>
          <w:t>Decisions on Intervention are Consequential</w:t>
        </w:r>
        <w:r w:rsidR="00294CB6">
          <w:rPr>
            <w:noProof/>
            <w:webHidden/>
          </w:rPr>
          <w:tab/>
        </w:r>
        <w:r w:rsidR="00294CB6">
          <w:rPr>
            <w:noProof/>
            <w:webHidden/>
          </w:rPr>
          <w:fldChar w:fldCharType="begin"/>
        </w:r>
        <w:r w:rsidR="00294CB6">
          <w:rPr>
            <w:noProof/>
            <w:webHidden/>
          </w:rPr>
          <w:instrText xml:space="preserve"> PAGEREF _Toc143336559 \h </w:instrText>
        </w:r>
        <w:r w:rsidR="00294CB6">
          <w:rPr>
            <w:noProof/>
            <w:webHidden/>
          </w:rPr>
        </w:r>
        <w:r w:rsidR="00294CB6">
          <w:rPr>
            <w:noProof/>
            <w:webHidden/>
          </w:rPr>
          <w:fldChar w:fldCharType="separate"/>
        </w:r>
        <w:r w:rsidR="0003321D">
          <w:rPr>
            <w:noProof/>
            <w:webHidden/>
          </w:rPr>
          <w:t>44</w:t>
        </w:r>
        <w:r w:rsidR="00294CB6">
          <w:rPr>
            <w:noProof/>
            <w:webHidden/>
          </w:rPr>
          <w:fldChar w:fldCharType="end"/>
        </w:r>
      </w:hyperlink>
    </w:p>
    <w:p w14:paraId="0FC0D7A5" w14:textId="74280BB0" w:rsidR="00294CB6" w:rsidRDefault="00000000">
      <w:pPr>
        <w:pStyle w:val="TOC1"/>
        <w:rPr>
          <w:rFonts w:asciiTheme="minorHAnsi" w:eastAsiaTheme="minorEastAsia" w:hAnsiTheme="minorHAnsi" w:cstheme="minorBidi"/>
          <w:bCs w:val="0"/>
          <w:iCs w:val="0"/>
          <w:smallCaps w:val="0"/>
          <w:kern w:val="2"/>
          <w14:ligatures w14:val="standardContextual"/>
        </w:rPr>
      </w:pPr>
      <w:hyperlink w:anchor="_Toc143336560" w:history="1">
        <w:r w:rsidR="00294CB6" w:rsidRPr="009D329C">
          <w:rPr>
            <w:rStyle w:val="Hyperlink"/>
          </w:rPr>
          <w:t>III.</w:t>
        </w:r>
        <w:r w:rsidR="00294CB6">
          <w:rPr>
            <w:rFonts w:asciiTheme="minorHAnsi" w:eastAsiaTheme="minorEastAsia" w:hAnsiTheme="minorHAnsi" w:cstheme="minorBidi"/>
            <w:bCs w:val="0"/>
            <w:iCs w:val="0"/>
            <w:smallCaps w:val="0"/>
            <w:kern w:val="2"/>
            <w14:ligatures w14:val="standardContextual"/>
          </w:rPr>
          <w:tab/>
        </w:r>
        <w:r w:rsidR="00294CB6" w:rsidRPr="009D329C">
          <w:rPr>
            <w:rStyle w:val="Hyperlink"/>
          </w:rPr>
          <w:t>The Normative Consequences</w:t>
        </w:r>
        <w:r w:rsidR="00294CB6">
          <w:rPr>
            <w:webHidden/>
          </w:rPr>
          <w:tab/>
        </w:r>
        <w:r w:rsidR="00294CB6">
          <w:rPr>
            <w:webHidden/>
          </w:rPr>
          <w:fldChar w:fldCharType="begin"/>
        </w:r>
        <w:r w:rsidR="00294CB6">
          <w:rPr>
            <w:webHidden/>
          </w:rPr>
          <w:instrText xml:space="preserve"> PAGEREF _Toc143336560 \h </w:instrText>
        </w:r>
        <w:r w:rsidR="00294CB6">
          <w:rPr>
            <w:webHidden/>
          </w:rPr>
        </w:r>
        <w:r w:rsidR="00294CB6">
          <w:rPr>
            <w:webHidden/>
          </w:rPr>
          <w:fldChar w:fldCharType="separate"/>
        </w:r>
        <w:r w:rsidR="0003321D">
          <w:rPr>
            <w:webHidden/>
          </w:rPr>
          <w:t>48</w:t>
        </w:r>
        <w:r w:rsidR="00294CB6">
          <w:rPr>
            <w:webHidden/>
          </w:rPr>
          <w:fldChar w:fldCharType="end"/>
        </w:r>
      </w:hyperlink>
    </w:p>
    <w:p w14:paraId="741DA0FE" w14:textId="4874E228" w:rsidR="00294CB6" w:rsidRDefault="00000000">
      <w:pPr>
        <w:pStyle w:val="TOC2"/>
        <w:rPr>
          <w:rFonts w:asciiTheme="minorHAnsi" w:eastAsiaTheme="minorEastAsia" w:hAnsiTheme="minorHAnsi" w:cstheme="minorBidi"/>
          <w:bCs w:val="0"/>
          <w:noProof/>
          <w:kern w:val="2"/>
          <w:szCs w:val="24"/>
          <w14:ligatures w14:val="standardContextual"/>
        </w:rPr>
      </w:pPr>
      <w:hyperlink w:anchor="_Toc143336561" w:history="1">
        <w:r w:rsidR="00294CB6" w:rsidRPr="009D329C">
          <w:rPr>
            <w:rStyle w:val="Hyperlink"/>
            <w:iCs/>
            <w:noProof/>
          </w:rPr>
          <w:t>A.</w:t>
        </w:r>
        <w:r w:rsidR="00294CB6">
          <w:rPr>
            <w:rFonts w:asciiTheme="minorHAnsi" w:eastAsiaTheme="minorEastAsia" w:hAnsiTheme="minorHAnsi" w:cstheme="minorBidi"/>
            <w:bCs w:val="0"/>
            <w:noProof/>
            <w:kern w:val="2"/>
            <w:szCs w:val="24"/>
            <w14:ligatures w14:val="standardContextual"/>
          </w:rPr>
          <w:tab/>
        </w:r>
        <w:r w:rsidR="00294CB6" w:rsidRPr="009D329C">
          <w:rPr>
            <w:rStyle w:val="Hyperlink"/>
            <w:noProof/>
          </w:rPr>
          <w:t>Undermining Procedural Values</w:t>
        </w:r>
        <w:r w:rsidR="00294CB6">
          <w:rPr>
            <w:noProof/>
            <w:webHidden/>
          </w:rPr>
          <w:tab/>
        </w:r>
        <w:r w:rsidR="00294CB6">
          <w:rPr>
            <w:noProof/>
            <w:webHidden/>
          </w:rPr>
          <w:fldChar w:fldCharType="begin"/>
        </w:r>
        <w:r w:rsidR="00294CB6">
          <w:rPr>
            <w:noProof/>
            <w:webHidden/>
          </w:rPr>
          <w:instrText xml:space="preserve"> PAGEREF _Toc143336561 \h </w:instrText>
        </w:r>
        <w:r w:rsidR="00294CB6">
          <w:rPr>
            <w:noProof/>
            <w:webHidden/>
          </w:rPr>
        </w:r>
        <w:r w:rsidR="00294CB6">
          <w:rPr>
            <w:noProof/>
            <w:webHidden/>
          </w:rPr>
          <w:fldChar w:fldCharType="separate"/>
        </w:r>
        <w:r w:rsidR="0003321D">
          <w:rPr>
            <w:noProof/>
            <w:webHidden/>
          </w:rPr>
          <w:t>49</w:t>
        </w:r>
        <w:r w:rsidR="00294CB6">
          <w:rPr>
            <w:noProof/>
            <w:webHidden/>
          </w:rPr>
          <w:fldChar w:fldCharType="end"/>
        </w:r>
      </w:hyperlink>
    </w:p>
    <w:p w14:paraId="2FB61820" w14:textId="0977DA21" w:rsidR="00294CB6" w:rsidRDefault="00000000">
      <w:pPr>
        <w:pStyle w:val="TOC2"/>
        <w:rPr>
          <w:rFonts w:asciiTheme="minorHAnsi" w:eastAsiaTheme="minorEastAsia" w:hAnsiTheme="minorHAnsi" w:cstheme="minorBidi"/>
          <w:bCs w:val="0"/>
          <w:noProof/>
          <w:kern w:val="2"/>
          <w:szCs w:val="24"/>
          <w14:ligatures w14:val="standardContextual"/>
        </w:rPr>
      </w:pPr>
      <w:hyperlink w:anchor="_Toc143336562" w:history="1">
        <w:r w:rsidR="00294CB6" w:rsidRPr="009D329C">
          <w:rPr>
            <w:rStyle w:val="Hyperlink"/>
            <w:iCs/>
            <w:noProof/>
          </w:rPr>
          <w:t>B.</w:t>
        </w:r>
        <w:r w:rsidR="00294CB6">
          <w:rPr>
            <w:rFonts w:asciiTheme="minorHAnsi" w:eastAsiaTheme="minorEastAsia" w:hAnsiTheme="minorHAnsi" w:cstheme="minorBidi"/>
            <w:bCs w:val="0"/>
            <w:noProof/>
            <w:kern w:val="2"/>
            <w:szCs w:val="24"/>
            <w14:ligatures w14:val="standardContextual"/>
          </w:rPr>
          <w:tab/>
        </w:r>
        <w:r w:rsidR="00294CB6" w:rsidRPr="009D329C">
          <w:rPr>
            <w:rStyle w:val="Hyperlink"/>
            <w:noProof/>
          </w:rPr>
          <w:t>Additional Normative Concerns</w:t>
        </w:r>
        <w:r w:rsidR="00294CB6">
          <w:rPr>
            <w:noProof/>
            <w:webHidden/>
          </w:rPr>
          <w:tab/>
        </w:r>
        <w:r w:rsidR="00294CB6">
          <w:rPr>
            <w:noProof/>
            <w:webHidden/>
          </w:rPr>
          <w:fldChar w:fldCharType="begin"/>
        </w:r>
        <w:r w:rsidR="00294CB6">
          <w:rPr>
            <w:noProof/>
            <w:webHidden/>
          </w:rPr>
          <w:instrText xml:space="preserve"> PAGEREF _Toc143336562 \h </w:instrText>
        </w:r>
        <w:r w:rsidR="00294CB6">
          <w:rPr>
            <w:noProof/>
            <w:webHidden/>
          </w:rPr>
        </w:r>
        <w:r w:rsidR="00294CB6">
          <w:rPr>
            <w:noProof/>
            <w:webHidden/>
          </w:rPr>
          <w:fldChar w:fldCharType="separate"/>
        </w:r>
        <w:r w:rsidR="0003321D">
          <w:rPr>
            <w:noProof/>
            <w:webHidden/>
          </w:rPr>
          <w:t>52</w:t>
        </w:r>
        <w:r w:rsidR="00294CB6">
          <w:rPr>
            <w:noProof/>
            <w:webHidden/>
          </w:rPr>
          <w:fldChar w:fldCharType="end"/>
        </w:r>
      </w:hyperlink>
    </w:p>
    <w:p w14:paraId="77C85405" w14:textId="1DC47C6B" w:rsidR="00294CB6" w:rsidRDefault="00000000">
      <w:pPr>
        <w:pStyle w:val="TOC3"/>
        <w:rPr>
          <w:rFonts w:asciiTheme="minorHAnsi" w:eastAsiaTheme="minorEastAsia" w:hAnsiTheme="minorHAnsi" w:cstheme="minorBidi"/>
          <w:noProof/>
          <w:kern w:val="2"/>
          <w:szCs w:val="24"/>
          <w14:ligatures w14:val="standardContextual"/>
        </w:rPr>
      </w:pPr>
      <w:hyperlink w:anchor="_Toc143336563" w:history="1">
        <w:r w:rsidR="00294CB6" w:rsidRPr="009D329C">
          <w:rPr>
            <w:rStyle w:val="Hyperlink"/>
            <w:iCs/>
            <w:noProof/>
          </w:rPr>
          <w:t>1.</w:t>
        </w:r>
        <w:r w:rsidR="00294CB6">
          <w:rPr>
            <w:rFonts w:asciiTheme="minorHAnsi" w:eastAsiaTheme="minorEastAsia" w:hAnsiTheme="minorHAnsi" w:cstheme="minorBidi"/>
            <w:noProof/>
            <w:kern w:val="2"/>
            <w:szCs w:val="24"/>
            <w14:ligatures w14:val="standardContextual"/>
          </w:rPr>
          <w:tab/>
        </w:r>
        <w:r w:rsidR="00294CB6" w:rsidRPr="009D329C">
          <w:rPr>
            <w:rStyle w:val="Hyperlink"/>
            <w:noProof/>
          </w:rPr>
          <w:t>Intervention Undermines the Impartial Judiciary</w:t>
        </w:r>
        <w:r w:rsidR="00294CB6">
          <w:rPr>
            <w:noProof/>
            <w:webHidden/>
          </w:rPr>
          <w:tab/>
        </w:r>
        <w:r w:rsidR="00294CB6">
          <w:rPr>
            <w:noProof/>
            <w:webHidden/>
          </w:rPr>
          <w:fldChar w:fldCharType="begin"/>
        </w:r>
        <w:r w:rsidR="00294CB6">
          <w:rPr>
            <w:noProof/>
            <w:webHidden/>
          </w:rPr>
          <w:instrText xml:space="preserve"> PAGEREF _Toc143336563 \h </w:instrText>
        </w:r>
        <w:r w:rsidR="00294CB6">
          <w:rPr>
            <w:noProof/>
            <w:webHidden/>
          </w:rPr>
        </w:r>
        <w:r w:rsidR="00294CB6">
          <w:rPr>
            <w:noProof/>
            <w:webHidden/>
          </w:rPr>
          <w:fldChar w:fldCharType="separate"/>
        </w:r>
        <w:r w:rsidR="0003321D">
          <w:rPr>
            <w:noProof/>
            <w:webHidden/>
          </w:rPr>
          <w:t>52</w:t>
        </w:r>
        <w:r w:rsidR="00294CB6">
          <w:rPr>
            <w:noProof/>
            <w:webHidden/>
          </w:rPr>
          <w:fldChar w:fldCharType="end"/>
        </w:r>
      </w:hyperlink>
    </w:p>
    <w:p w14:paraId="5B4C4032" w14:textId="2B522F5C" w:rsidR="00294CB6" w:rsidRDefault="00000000">
      <w:pPr>
        <w:pStyle w:val="TOC3"/>
        <w:rPr>
          <w:rFonts w:asciiTheme="minorHAnsi" w:eastAsiaTheme="minorEastAsia" w:hAnsiTheme="minorHAnsi" w:cstheme="minorBidi"/>
          <w:noProof/>
          <w:kern w:val="2"/>
          <w:szCs w:val="24"/>
          <w14:ligatures w14:val="standardContextual"/>
        </w:rPr>
      </w:pPr>
      <w:hyperlink w:anchor="_Toc143336564" w:history="1">
        <w:r w:rsidR="00294CB6" w:rsidRPr="009D329C">
          <w:rPr>
            <w:rStyle w:val="Hyperlink"/>
            <w:iCs/>
            <w:noProof/>
          </w:rPr>
          <w:t>2.</w:t>
        </w:r>
        <w:r w:rsidR="00294CB6">
          <w:rPr>
            <w:rFonts w:asciiTheme="minorHAnsi" w:eastAsiaTheme="minorEastAsia" w:hAnsiTheme="minorHAnsi" w:cstheme="minorBidi"/>
            <w:noProof/>
            <w:kern w:val="2"/>
            <w:szCs w:val="24"/>
            <w14:ligatures w14:val="standardContextual"/>
          </w:rPr>
          <w:tab/>
        </w:r>
        <w:r w:rsidR="00294CB6" w:rsidRPr="009D329C">
          <w:rPr>
            <w:rStyle w:val="Hyperlink"/>
            <w:noProof/>
          </w:rPr>
          <w:t>Intervention Expands Judicial Involvement in Political Cases</w:t>
        </w:r>
        <w:r w:rsidR="00294CB6">
          <w:rPr>
            <w:noProof/>
            <w:webHidden/>
          </w:rPr>
          <w:tab/>
        </w:r>
        <w:r w:rsidR="00294CB6">
          <w:rPr>
            <w:noProof/>
            <w:webHidden/>
          </w:rPr>
          <w:fldChar w:fldCharType="begin"/>
        </w:r>
        <w:r w:rsidR="00294CB6">
          <w:rPr>
            <w:noProof/>
            <w:webHidden/>
          </w:rPr>
          <w:instrText xml:space="preserve"> PAGEREF _Toc143336564 \h </w:instrText>
        </w:r>
        <w:r w:rsidR="00294CB6">
          <w:rPr>
            <w:noProof/>
            <w:webHidden/>
          </w:rPr>
        </w:r>
        <w:r w:rsidR="00294CB6">
          <w:rPr>
            <w:noProof/>
            <w:webHidden/>
          </w:rPr>
          <w:fldChar w:fldCharType="separate"/>
        </w:r>
        <w:r w:rsidR="0003321D">
          <w:rPr>
            <w:noProof/>
            <w:webHidden/>
          </w:rPr>
          <w:t>56</w:t>
        </w:r>
        <w:r w:rsidR="00294CB6">
          <w:rPr>
            <w:noProof/>
            <w:webHidden/>
          </w:rPr>
          <w:fldChar w:fldCharType="end"/>
        </w:r>
      </w:hyperlink>
    </w:p>
    <w:p w14:paraId="1747AC16" w14:textId="26083E5B" w:rsidR="00294CB6" w:rsidRDefault="00000000">
      <w:pPr>
        <w:pStyle w:val="TOC1"/>
        <w:rPr>
          <w:rFonts w:asciiTheme="minorHAnsi" w:eastAsiaTheme="minorEastAsia" w:hAnsiTheme="minorHAnsi" w:cstheme="minorBidi"/>
          <w:bCs w:val="0"/>
          <w:iCs w:val="0"/>
          <w:smallCaps w:val="0"/>
          <w:kern w:val="2"/>
          <w14:ligatures w14:val="standardContextual"/>
        </w:rPr>
      </w:pPr>
      <w:hyperlink w:anchor="_Toc143336565" w:history="1">
        <w:r w:rsidR="00294CB6" w:rsidRPr="009D329C">
          <w:rPr>
            <w:rStyle w:val="Hyperlink"/>
          </w:rPr>
          <w:t>IV.</w:t>
        </w:r>
        <w:r w:rsidR="00294CB6">
          <w:rPr>
            <w:rFonts w:asciiTheme="minorHAnsi" w:eastAsiaTheme="minorEastAsia" w:hAnsiTheme="minorHAnsi" w:cstheme="minorBidi"/>
            <w:bCs w:val="0"/>
            <w:iCs w:val="0"/>
            <w:smallCaps w:val="0"/>
            <w:kern w:val="2"/>
            <w14:ligatures w14:val="standardContextual"/>
          </w:rPr>
          <w:tab/>
        </w:r>
        <w:r w:rsidR="00294CB6" w:rsidRPr="009D329C">
          <w:rPr>
            <w:rStyle w:val="Hyperlink"/>
          </w:rPr>
          <w:t>Toward Promoting Procedural Values</w:t>
        </w:r>
        <w:r w:rsidR="00294CB6">
          <w:rPr>
            <w:webHidden/>
          </w:rPr>
          <w:tab/>
        </w:r>
        <w:r w:rsidR="00294CB6">
          <w:rPr>
            <w:webHidden/>
          </w:rPr>
          <w:fldChar w:fldCharType="begin"/>
        </w:r>
        <w:r w:rsidR="00294CB6">
          <w:rPr>
            <w:webHidden/>
          </w:rPr>
          <w:instrText xml:space="preserve"> PAGEREF _Toc143336565 \h </w:instrText>
        </w:r>
        <w:r w:rsidR="00294CB6">
          <w:rPr>
            <w:webHidden/>
          </w:rPr>
        </w:r>
        <w:r w:rsidR="00294CB6">
          <w:rPr>
            <w:webHidden/>
          </w:rPr>
          <w:fldChar w:fldCharType="separate"/>
        </w:r>
        <w:r w:rsidR="0003321D">
          <w:rPr>
            <w:webHidden/>
          </w:rPr>
          <w:t>58</w:t>
        </w:r>
        <w:r w:rsidR="00294CB6">
          <w:rPr>
            <w:webHidden/>
          </w:rPr>
          <w:fldChar w:fldCharType="end"/>
        </w:r>
      </w:hyperlink>
    </w:p>
    <w:p w14:paraId="33A18D60" w14:textId="11B519EF" w:rsidR="00294CB6" w:rsidRDefault="00000000">
      <w:pPr>
        <w:pStyle w:val="TOC2"/>
        <w:rPr>
          <w:rFonts w:asciiTheme="minorHAnsi" w:eastAsiaTheme="minorEastAsia" w:hAnsiTheme="minorHAnsi" w:cstheme="minorBidi"/>
          <w:bCs w:val="0"/>
          <w:noProof/>
          <w:kern w:val="2"/>
          <w:szCs w:val="24"/>
          <w14:ligatures w14:val="standardContextual"/>
        </w:rPr>
      </w:pPr>
      <w:hyperlink w:anchor="_Toc143336566" w:history="1">
        <w:r w:rsidR="00294CB6" w:rsidRPr="009D329C">
          <w:rPr>
            <w:rStyle w:val="Hyperlink"/>
            <w:iCs/>
            <w:noProof/>
          </w:rPr>
          <w:t>A.</w:t>
        </w:r>
        <w:r w:rsidR="00294CB6">
          <w:rPr>
            <w:rFonts w:asciiTheme="minorHAnsi" w:eastAsiaTheme="minorEastAsia" w:hAnsiTheme="minorHAnsi" w:cstheme="minorBidi"/>
            <w:bCs w:val="0"/>
            <w:noProof/>
            <w:kern w:val="2"/>
            <w:szCs w:val="24"/>
            <w14:ligatures w14:val="standardContextual"/>
          </w:rPr>
          <w:tab/>
        </w:r>
        <w:r w:rsidR="00294CB6" w:rsidRPr="009D329C">
          <w:rPr>
            <w:rStyle w:val="Hyperlink"/>
            <w:noProof/>
          </w:rPr>
          <w:t>Modify the Presumption of “Adequate Representation”</w:t>
        </w:r>
        <w:r w:rsidR="00294CB6">
          <w:rPr>
            <w:noProof/>
            <w:webHidden/>
          </w:rPr>
          <w:tab/>
        </w:r>
        <w:r w:rsidR="00294CB6">
          <w:rPr>
            <w:noProof/>
            <w:webHidden/>
          </w:rPr>
          <w:fldChar w:fldCharType="begin"/>
        </w:r>
        <w:r w:rsidR="00294CB6">
          <w:rPr>
            <w:noProof/>
            <w:webHidden/>
          </w:rPr>
          <w:instrText xml:space="preserve"> PAGEREF _Toc143336566 \h </w:instrText>
        </w:r>
        <w:r w:rsidR="00294CB6">
          <w:rPr>
            <w:noProof/>
            <w:webHidden/>
          </w:rPr>
        </w:r>
        <w:r w:rsidR="00294CB6">
          <w:rPr>
            <w:noProof/>
            <w:webHidden/>
          </w:rPr>
          <w:fldChar w:fldCharType="separate"/>
        </w:r>
        <w:r w:rsidR="0003321D">
          <w:rPr>
            <w:noProof/>
            <w:webHidden/>
          </w:rPr>
          <w:t>59</w:t>
        </w:r>
        <w:r w:rsidR="00294CB6">
          <w:rPr>
            <w:noProof/>
            <w:webHidden/>
          </w:rPr>
          <w:fldChar w:fldCharType="end"/>
        </w:r>
      </w:hyperlink>
    </w:p>
    <w:p w14:paraId="57B97D5B" w14:textId="736B7452" w:rsidR="00294CB6" w:rsidRDefault="00000000">
      <w:pPr>
        <w:pStyle w:val="TOC2"/>
        <w:rPr>
          <w:rFonts w:asciiTheme="minorHAnsi" w:eastAsiaTheme="minorEastAsia" w:hAnsiTheme="minorHAnsi" w:cstheme="minorBidi"/>
          <w:bCs w:val="0"/>
          <w:noProof/>
          <w:kern w:val="2"/>
          <w:szCs w:val="24"/>
          <w14:ligatures w14:val="standardContextual"/>
        </w:rPr>
      </w:pPr>
      <w:hyperlink w:anchor="_Toc143336567" w:history="1">
        <w:r w:rsidR="00294CB6" w:rsidRPr="009D329C">
          <w:rPr>
            <w:rStyle w:val="Hyperlink"/>
            <w:iCs/>
            <w:noProof/>
          </w:rPr>
          <w:t>B.</w:t>
        </w:r>
        <w:r w:rsidR="00294CB6">
          <w:rPr>
            <w:rFonts w:asciiTheme="minorHAnsi" w:eastAsiaTheme="minorEastAsia" w:hAnsiTheme="minorHAnsi" w:cstheme="minorBidi"/>
            <w:bCs w:val="0"/>
            <w:noProof/>
            <w:kern w:val="2"/>
            <w:szCs w:val="24"/>
            <w14:ligatures w14:val="standardContextual"/>
          </w:rPr>
          <w:tab/>
        </w:r>
        <w:r w:rsidR="00294CB6" w:rsidRPr="009D329C">
          <w:rPr>
            <w:rStyle w:val="Hyperlink"/>
            <w:noProof/>
          </w:rPr>
          <w:t>Remedial Intervention</w:t>
        </w:r>
        <w:r w:rsidR="00294CB6">
          <w:rPr>
            <w:noProof/>
            <w:webHidden/>
          </w:rPr>
          <w:tab/>
        </w:r>
        <w:r w:rsidR="00294CB6">
          <w:rPr>
            <w:noProof/>
            <w:webHidden/>
          </w:rPr>
          <w:fldChar w:fldCharType="begin"/>
        </w:r>
        <w:r w:rsidR="00294CB6">
          <w:rPr>
            <w:noProof/>
            <w:webHidden/>
          </w:rPr>
          <w:instrText xml:space="preserve"> PAGEREF _Toc143336567 \h </w:instrText>
        </w:r>
        <w:r w:rsidR="00294CB6">
          <w:rPr>
            <w:noProof/>
            <w:webHidden/>
          </w:rPr>
        </w:r>
        <w:r w:rsidR="00294CB6">
          <w:rPr>
            <w:noProof/>
            <w:webHidden/>
          </w:rPr>
          <w:fldChar w:fldCharType="separate"/>
        </w:r>
        <w:r w:rsidR="0003321D">
          <w:rPr>
            <w:noProof/>
            <w:webHidden/>
          </w:rPr>
          <w:t>64</w:t>
        </w:r>
        <w:r w:rsidR="00294CB6">
          <w:rPr>
            <w:noProof/>
            <w:webHidden/>
          </w:rPr>
          <w:fldChar w:fldCharType="end"/>
        </w:r>
      </w:hyperlink>
    </w:p>
    <w:p w14:paraId="020AF1F7" w14:textId="3126DE75" w:rsidR="00294CB6" w:rsidRDefault="00000000">
      <w:pPr>
        <w:pStyle w:val="TOC1"/>
        <w:rPr>
          <w:rFonts w:asciiTheme="minorHAnsi" w:eastAsiaTheme="minorEastAsia" w:hAnsiTheme="minorHAnsi" w:cstheme="minorBidi"/>
          <w:bCs w:val="0"/>
          <w:iCs w:val="0"/>
          <w:smallCaps w:val="0"/>
          <w:kern w:val="2"/>
          <w14:ligatures w14:val="standardContextual"/>
        </w:rPr>
      </w:pPr>
      <w:hyperlink w:anchor="_Toc143336568" w:history="1">
        <w:r w:rsidR="00294CB6" w:rsidRPr="009D329C">
          <w:rPr>
            <w:rStyle w:val="Hyperlink"/>
          </w:rPr>
          <w:t>V.</w:t>
        </w:r>
        <w:r w:rsidR="00294CB6">
          <w:rPr>
            <w:rFonts w:asciiTheme="minorHAnsi" w:eastAsiaTheme="minorEastAsia" w:hAnsiTheme="minorHAnsi" w:cstheme="minorBidi"/>
            <w:bCs w:val="0"/>
            <w:iCs w:val="0"/>
            <w:smallCaps w:val="0"/>
            <w:kern w:val="2"/>
            <w14:ligatures w14:val="standardContextual"/>
          </w:rPr>
          <w:tab/>
        </w:r>
        <w:r w:rsidR="00294CB6" w:rsidRPr="009D329C">
          <w:rPr>
            <w:rStyle w:val="Hyperlink"/>
          </w:rPr>
          <w:t>Conclusion</w:t>
        </w:r>
        <w:r w:rsidR="00294CB6">
          <w:rPr>
            <w:webHidden/>
          </w:rPr>
          <w:tab/>
        </w:r>
        <w:r w:rsidR="00294CB6">
          <w:rPr>
            <w:webHidden/>
          </w:rPr>
          <w:fldChar w:fldCharType="begin"/>
        </w:r>
        <w:r w:rsidR="00294CB6">
          <w:rPr>
            <w:webHidden/>
          </w:rPr>
          <w:instrText xml:space="preserve"> PAGEREF _Toc143336568 \h </w:instrText>
        </w:r>
        <w:r w:rsidR="00294CB6">
          <w:rPr>
            <w:webHidden/>
          </w:rPr>
        </w:r>
        <w:r w:rsidR="00294CB6">
          <w:rPr>
            <w:webHidden/>
          </w:rPr>
          <w:fldChar w:fldCharType="separate"/>
        </w:r>
        <w:r w:rsidR="0003321D">
          <w:rPr>
            <w:webHidden/>
          </w:rPr>
          <w:t>69</w:t>
        </w:r>
        <w:r w:rsidR="00294CB6">
          <w:rPr>
            <w:webHidden/>
          </w:rPr>
          <w:fldChar w:fldCharType="end"/>
        </w:r>
      </w:hyperlink>
    </w:p>
    <w:p w14:paraId="39EB43E1" w14:textId="78F14567" w:rsidR="008671D2" w:rsidRPr="00F90A54" w:rsidRDefault="0090334A">
      <w:pPr>
        <w:rPr>
          <w:rFonts w:ascii="Garamond" w:hAnsi="Garamond"/>
        </w:rPr>
      </w:pPr>
      <w:r w:rsidRPr="00F90A54">
        <w:rPr>
          <w:rFonts w:ascii="Garamond" w:hAnsi="Garamond" w:cstheme="minorHAnsi"/>
          <w:bCs/>
          <w:iCs/>
          <w:u w:val="single"/>
        </w:rPr>
        <w:fldChar w:fldCharType="end"/>
      </w:r>
    </w:p>
    <w:p w14:paraId="066F5B0D" w14:textId="5E344837" w:rsidR="007E0E8E" w:rsidRPr="00F90A54" w:rsidRDefault="0000043F" w:rsidP="008B109F">
      <w:pPr>
        <w:pStyle w:val="Heading1"/>
        <w:numPr>
          <w:ilvl w:val="0"/>
          <w:numId w:val="0"/>
        </w:numPr>
      </w:pPr>
      <w:bookmarkStart w:id="0" w:name="_Toc143336544"/>
      <w:r w:rsidRPr="00F90A54">
        <w:t>Introduction</w:t>
      </w:r>
      <w:bookmarkEnd w:id="0"/>
    </w:p>
    <w:p w14:paraId="5B5D2DFF" w14:textId="77777777" w:rsidR="0000043F" w:rsidRPr="00F90A54" w:rsidRDefault="0000043F" w:rsidP="0000043F"/>
    <w:p w14:paraId="1E9C371D" w14:textId="788F419C" w:rsidR="00E516BB" w:rsidRPr="00F90A54" w:rsidRDefault="0081792F" w:rsidP="00FB3CD8">
      <w:pPr>
        <w:ind w:firstLine="360"/>
        <w:jc w:val="both"/>
        <w:rPr>
          <w:rFonts w:ascii="Garamond" w:hAnsi="Garamond"/>
        </w:rPr>
      </w:pPr>
      <w:r w:rsidRPr="00F90A54">
        <w:rPr>
          <w:rFonts w:ascii="Garamond" w:hAnsi="Garamond"/>
        </w:rPr>
        <w:t xml:space="preserve">In some of the most contentious and consequential cases heard by federal courts, a surprising participant has influenced the outcome of the case: an outsider who has joined as an intervenor. Take, for instance, </w:t>
      </w:r>
      <w:r w:rsidRPr="00F90A54">
        <w:rPr>
          <w:rFonts w:ascii="Garamond" w:hAnsi="Garamond"/>
          <w:i/>
          <w:iCs/>
        </w:rPr>
        <w:t>California v. Texas</w:t>
      </w:r>
      <w:r w:rsidRPr="00F90A54">
        <w:rPr>
          <w:rFonts w:ascii="Garamond" w:hAnsi="Garamond"/>
        </w:rPr>
        <w:t>—yet another legal challenge to the Affordable Care Act heard by the Supreme Court.</w:t>
      </w:r>
      <w:r w:rsidR="00657742" w:rsidRPr="00F90A54">
        <w:rPr>
          <w:rStyle w:val="FootnoteReference"/>
          <w:rFonts w:ascii="Garamond" w:hAnsi="Garamond"/>
        </w:rPr>
        <w:footnoteReference w:id="2"/>
      </w:r>
      <w:r w:rsidR="004D3CDB" w:rsidRPr="00F90A54">
        <w:rPr>
          <w:rFonts w:ascii="Garamond" w:hAnsi="Garamond"/>
        </w:rPr>
        <w:t xml:space="preserve"> </w:t>
      </w:r>
      <w:r w:rsidRPr="00F90A54">
        <w:rPr>
          <w:rFonts w:ascii="Garamond" w:hAnsi="Garamond"/>
        </w:rPr>
        <w:t xml:space="preserve">It may seem that such a high-profile, politically salient case was destined to be resolved on the merits, likely </w:t>
      </w:r>
      <w:r w:rsidR="00746138" w:rsidRPr="00F90A54">
        <w:rPr>
          <w:rFonts w:ascii="Garamond" w:hAnsi="Garamond"/>
        </w:rPr>
        <w:t>by</w:t>
      </w:r>
      <w:r w:rsidRPr="00F90A54">
        <w:rPr>
          <w:rFonts w:ascii="Garamond" w:hAnsi="Garamond"/>
        </w:rPr>
        <w:t xml:space="preserve"> the Supreme Court. But it didn’t have to be. </w:t>
      </w:r>
      <w:r w:rsidR="00657742" w:rsidRPr="00F90A54">
        <w:rPr>
          <w:rFonts w:ascii="Garamond" w:hAnsi="Garamond"/>
        </w:rPr>
        <w:t xml:space="preserve">Texas and 17 other </w:t>
      </w:r>
      <w:r w:rsidR="00E14CAA" w:rsidRPr="00F90A54">
        <w:rPr>
          <w:rFonts w:ascii="Garamond" w:hAnsi="Garamond"/>
        </w:rPr>
        <w:t>s</w:t>
      </w:r>
      <w:r w:rsidR="00657742" w:rsidRPr="00F90A54">
        <w:rPr>
          <w:rFonts w:ascii="Garamond" w:hAnsi="Garamond"/>
        </w:rPr>
        <w:t xml:space="preserve">tates </w:t>
      </w:r>
      <w:r w:rsidR="00C059C8" w:rsidRPr="00F90A54">
        <w:rPr>
          <w:rFonts w:ascii="Garamond" w:hAnsi="Garamond"/>
        </w:rPr>
        <w:t xml:space="preserve">had </w:t>
      </w:r>
      <w:r w:rsidR="00657742" w:rsidRPr="00F90A54">
        <w:rPr>
          <w:rFonts w:ascii="Garamond" w:hAnsi="Garamond"/>
        </w:rPr>
        <w:t>sought a nationwide injunction preventing any provision of the Act from being enforced</w:t>
      </w:r>
      <w:r w:rsidR="005655ED" w:rsidRPr="00F90A54">
        <w:rPr>
          <w:rFonts w:ascii="Garamond" w:hAnsi="Garamond"/>
        </w:rPr>
        <w:t>.</w:t>
      </w:r>
      <w:r w:rsidR="005655ED" w:rsidRPr="00F90A54">
        <w:rPr>
          <w:rStyle w:val="FootnoteReference"/>
          <w:rFonts w:ascii="Garamond" w:hAnsi="Garamond"/>
        </w:rPr>
        <w:footnoteReference w:id="3"/>
      </w:r>
      <w:r w:rsidR="00C059C8" w:rsidRPr="00F90A54">
        <w:rPr>
          <w:rFonts w:ascii="Garamond" w:hAnsi="Garamond"/>
        </w:rPr>
        <w:t xml:space="preserve"> </w:t>
      </w:r>
      <w:r w:rsidR="005655ED" w:rsidRPr="00F90A54">
        <w:rPr>
          <w:rFonts w:ascii="Garamond" w:hAnsi="Garamond"/>
        </w:rPr>
        <w:t>In a twist, the United States agreed</w:t>
      </w:r>
      <w:r w:rsidR="007D5A26" w:rsidRPr="00F90A54">
        <w:rPr>
          <w:rFonts w:ascii="Garamond" w:hAnsi="Garamond"/>
        </w:rPr>
        <w:t xml:space="preserve"> that the Act was likely unconstitutional</w:t>
      </w:r>
      <w:r w:rsidR="005655ED" w:rsidRPr="00F90A54">
        <w:rPr>
          <w:rFonts w:ascii="Garamond" w:hAnsi="Garamond"/>
        </w:rPr>
        <w:t>.</w:t>
      </w:r>
      <w:r w:rsidR="005655ED" w:rsidRPr="00F90A54">
        <w:rPr>
          <w:rStyle w:val="FootnoteReference"/>
          <w:rFonts w:ascii="Garamond" w:hAnsi="Garamond"/>
        </w:rPr>
        <w:footnoteReference w:id="4"/>
      </w:r>
      <w:r w:rsidR="005655ED" w:rsidRPr="00F90A54">
        <w:rPr>
          <w:rFonts w:ascii="Garamond" w:hAnsi="Garamond"/>
        </w:rPr>
        <w:t xml:space="preserve"> </w:t>
      </w:r>
      <w:r w:rsidR="005655ED" w:rsidRPr="00F90A54">
        <w:rPr>
          <w:rFonts w:ascii="Garamond" w:hAnsi="Garamond"/>
        </w:rPr>
        <w:lastRenderedPageBreak/>
        <w:t>It capitulated on the merits and argued only for more limited relief.</w:t>
      </w:r>
      <w:r w:rsidR="005655ED" w:rsidRPr="00F90A54">
        <w:rPr>
          <w:rStyle w:val="FootnoteReference"/>
          <w:rFonts w:ascii="Garamond" w:hAnsi="Garamond"/>
        </w:rPr>
        <w:footnoteReference w:id="5"/>
      </w:r>
      <w:r w:rsidR="00CE5A51" w:rsidRPr="00F90A54">
        <w:rPr>
          <w:rFonts w:ascii="Garamond" w:hAnsi="Garamond"/>
        </w:rPr>
        <w:t xml:space="preserve"> </w:t>
      </w:r>
      <w:r w:rsidR="00733784" w:rsidRPr="00F90A54">
        <w:rPr>
          <w:rFonts w:ascii="Garamond" w:hAnsi="Garamond"/>
        </w:rPr>
        <w:t xml:space="preserve">The petitioners in the </w:t>
      </w:r>
      <w:r w:rsidR="0022076A" w:rsidRPr="00F90A54">
        <w:rPr>
          <w:rFonts w:ascii="Garamond" w:hAnsi="Garamond"/>
        </w:rPr>
        <w:t>Supreme Court</w:t>
      </w:r>
      <w:r w:rsidR="00733784" w:rsidRPr="00F90A54">
        <w:rPr>
          <w:rFonts w:ascii="Garamond" w:hAnsi="Garamond"/>
        </w:rPr>
        <w:t xml:space="preserve">—the defenders of the Act—were </w:t>
      </w:r>
      <w:r w:rsidR="00A87CFB" w:rsidRPr="00F90A54">
        <w:rPr>
          <w:rFonts w:ascii="Garamond" w:hAnsi="Garamond"/>
        </w:rPr>
        <w:t xml:space="preserve">20 </w:t>
      </w:r>
      <w:r w:rsidR="00E14CAA" w:rsidRPr="00F90A54">
        <w:rPr>
          <w:rFonts w:ascii="Garamond" w:hAnsi="Garamond"/>
        </w:rPr>
        <w:t>s</w:t>
      </w:r>
      <w:r w:rsidR="00A87CFB" w:rsidRPr="00F90A54">
        <w:rPr>
          <w:rFonts w:ascii="Garamond" w:hAnsi="Garamond"/>
        </w:rPr>
        <w:t xml:space="preserve">tates, the </w:t>
      </w:r>
      <w:r w:rsidR="00733784" w:rsidRPr="00F90A54">
        <w:rPr>
          <w:rFonts w:ascii="Garamond" w:hAnsi="Garamond"/>
        </w:rPr>
        <w:t>District of Columbia</w:t>
      </w:r>
      <w:r w:rsidR="000F6F54" w:rsidRPr="00F90A54">
        <w:rPr>
          <w:rFonts w:ascii="Garamond" w:hAnsi="Garamond"/>
        </w:rPr>
        <w:t>, and the U.S. House of Representatives</w:t>
      </w:r>
      <w:r w:rsidR="00210B23" w:rsidRPr="00F90A54">
        <w:rPr>
          <w:rFonts w:ascii="Garamond" w:hAnsi="Garamond"/>
        </w:rPr>
        <w:t xml:space="preserve">, which </w:t>
      </w:r>
      <w:r w:rsidR="00733784" w:rsidRPr="00F90A54">
        <w:rPr>
          <w:rFonts w:ascii="Garamond" w:hAnsi="Garamond"/>
        </w:rPr>
        <w:t xml:space="preserve">had intervened </w:t>
      </w:r>
      <w:r w:rsidR="0022076A" w:rsidRPr="00F90A54">
        <w:rPr>
          <w:rFonts w:ascii="Garamond" w:hAnsi="Garamond"/>
        </w:rPr>
        <w:t>below</w:t>
      </w:r>
      <w:r w:rsidR="00733784" w:rsidRPr="00F90A54">
        <w:rPr>
          <w:rFonts w:ascii="Garamond" w:hAnsi="Garamond"/>
        </w:rPr>
        <w:t>.</w:t>
      </w:r>
      <w:r w:rsidR="00733784" w:rsidRPr="00F90A54">
        <w:rPr>
          <w:rStyle w:val="FootnoteReference"/>
          <w:rFonts w:ascii="Garamond" w:hAnsi="Garamond"/>
        </w:rPr>
        <w:footnoteReference w:id="6"/>
      </w:r>
      <w:r w:rsidRPr="00F90A54">
        <w:rPr>
          <w:rFonts w:ascii="Garamond" w:hAnsi="Garamond"/>
        </w:rPr>
        <w:t xml:space="preserve"> </w:t>
      </w:r>
      <w:r w:rsidR="00207496" w:rsidRPr="00F90A54">
        <w:rPr>
          <w:rFonts w:ascii="Garamond" w:hAnsi="Garamond"/>
        </w:rPr>
        <w:t xml:space="preserve">Had the district court denied intervention to the defending States, there </w:t>
      </w:r>
      <w:r w:rsidR="0064403A" w:rsidRPr="00F90A54">
        <w:rPr>
          <w:rFonts w:ascii="Garamond" w:hAnsi="Garamond"/>
        </w:rPr>
        <w:t xml:space="preserve">likely </w:t>
      </w:r>
      <w:r w:rsidR="00207496" w:rsidRPr="00F90A54">
        <w:rPr>
          <w:rFonts w:ascii="Garamond" w:hAnsi="Garamond"/>
        </w:rPr>
        <w:t xml:space="preserve">would have been no </w:t>
      </w:r>
      <w:r w:rsidR="00D6075E">
        <w:rPr>
          <w:rFonts w:ascii="Garamond" w:hAnsi="Garamond"/>
        </w:rPr>
        <w:t>party to raise the merits on appeal.</w:t>
      </w:r>
      <w:r w:rsidR="00042391" w:rsidRPr="00F90A54">
        <w:rPr>
          <w:rStyle w:val="FootnoteReference"/>
          <w:rFonts w:ascii="Garamond" w:hAnsi="Garamond"/>
        </w:rPr>
        <w:footnoteReference w:id="7"/>
      </w:r>
    </w:p>
    <w:p w14:paraId="6BA3510D" w14:textId="6328D8CE" w:rsidR="00CF10AB" w:rsidRPr="00F90A54" w:rsidRDefault="00207496" w:rsidP="00FB3CD8">
      <w:pPr>
        <w:ind w:firstLine="360"/>
        <w:jc w:val="both"/>
        <w:rPr>
          <w:rFonts w:ascii="Garamond" w:hAnsi="Garamond"/>
        </w:rPr>
      </w:pPr>
      <w:r w:rsidRPr="00F90A54">
        <w:rPr>
          <w:rFonts w:ascii="Garamond" w:hAnsi="Garamond"/>
        </w:rPr>
        <w:t xml:space="preserve">In fact, that’s exactly what happened </w:t>
      </w:r>
      <w:r w:rsidR="00217A7E" w:rsidRPr="00F90A54">
        <w:rPr>
          <w:rFonts w:ascii="Garamond" w:hAnsi="Garamond"/>
        </w:rPr>
        <w:t xml:space="preserve">in the </w:t>
      </w:r>
      <w:r w:rsidR="00D367B7" w:rsidRPr="00F90A54">
        <w:rPr>
          <w:rFonts w:ascii="Garamond" w:hAnsi="Garamond"/>
        </w:rPr>
        <w:t xml:space="preserve">lead up to the Supreme Court’s review of a nationwide injunction barring the </w:t>
      </w:r>
      <w:r w:rsidR="00123667" w:rsidRPr="00F90A54">
        <w:rPr>
          <w:rFonts w:ascii="Garamond" w:hAnsi="Garamond"/>
        </w:rPr>
        <w:t>Department of Health and Human Services</w:t>
      </w:r>
      <w:r w:rsidR="00D367B7" w:rsidRPr="00F90A54">
        <w:rPr>
          <w:rFonts w:ascii="Garamond" w:hAnsi="Garamond"/>
        </w:rPr>
        <w:t xml:space="preserve"> </w:t>
      </w:r>
      <w:r w:rsidR="00937A8A" w:rsidRPr="00F90A54">
        <w:rPr>
          <w:rFonts w:ascii="Garamond" w:hAnsi="Garamond"/>
        </w:rPr>
        <w:t xml:space="preserve">(HHS) </w:t>
      </w:r>
      <w:r w:rsidR="00D367B7" w:rsidRPr="00F90A54">
        <w:rPr>
          <w:rFonts w:ascii="Garamond" w:hAnsi="Garamond"/>
        </w:rPr>
        <w:t>from enforcing its abortion “gag rule.”</w:t>
      </w:r>
      <w:r w:rsidR="00D367B7" w:rsidRPr="00F90A54">
        <w:rPr>
          <w:rStyle w:val="FootnoteReference"/>
          <w:rFonts w:ascii="Garamond" w:hAnsi="Garamond"/>
        </w:rPr>
        <w:footnoteReference w:id="8"/>
      </w:r>
      <w:r w:rsidR="00D367B7" w:rsidRPr="00F90A54">
        <w:rPr>
          <w:rFonts w:ascii="Garamond" w:hAnsi="Garamond"/>
        </w:rPr>
        <w:t xml:space="preserve"> </w:t>
      </w:r>
      <w:r w:rsidR="00CD5DA9" w:rsidRPr="00F90A54">
        <w:rPr>
          <w:rFonts w:ascii="Garamond" w:hAnsi="Garamond"/>
        </w:rPr>
        <w:t xml:space="preserve">After </w:t>
      </w:r>
      <w:r w:rsidR="00D367B7" w:rsidRPr="00F90A54">
        <w:rPr>
          <w:rFonts w:ascii="Garamond" w:hAnsi="Garamond"/>
        </w:rPr>
        <w:t xml:space="preserve">the presidential administration transitioned </w:t>
      </w:r>
      <w:r w:rsidR="00CD5DA9" w:rsidRPr="00F90A54">
        <w:rPr>
          <w:rFonts w:ascii="Garamond" w:hAnsi="Garamond"/>
        </w:rPr>
        <w:t xml:space="preserve">following </w:t>
      </w:r>
      <w:r w:rsidR="009C0C11" w:rsidRPr="00F90A54">
        <w:rPr>
          <w:rFonts w:ascii="Garamond" w:hAnsi="Garamond"/>
        </w:rPr>
        <w:t xml:space="preserve">President </w:t>
      </w:r>
      <w:r w:rsidR="00CD5DA9" w:rsidRPr="00F90A54">
        <w:rPr>
          <w:rFonts w:ascii="Garamond" w:hAnsi="Garamond"/>
        </w:rPr>
        <w:t xml:space="preserve">Biden’s election, </w:t>
      </w:r>
      <w:r w:rsidR="00D367B7" w:rsidRPr="00F90A54">
        <w:rPr>
          <w:rFonts w:ascii="Garamond" w:hAnsi="Garamond"/>
        </w:rPr>
        <w:t>the United States informed the Court that it would be repealing the rule and had agreed with the plaintiffs to dismiss the case.</w:t>
      </w:r>
      <w:r w:rsidR="00D367B7" w:rsidRPr="00F90A54">
        <w:rPr>
          <w:rStyle w:val="FootnoteReference"/>
          <w:rFonts w:ascii="Garamond" w:hAnsi="Garamond"/>
        </w:rPr>
        <w:footnoteReference w:id="9"/>
      </w:r>
      <w:r w:rsidR="00D367B7" w:rsidRPr="00F90A54">
        <w:rPr>
          <w:rFonts w:ascii="Garamond" w:hAnsi="Garamond"/>
        </w:rPr>
        <w:t xml:space="preserve"> </w:t>
      </w:r>
      <w:r w:rsidR="00F70B06" w:rsidRPr="00F90A54">
        <w:rPr>
          <w:rFonts w:ascii="Garamond" w:hAnsi="Garamond"/>
        </w:rPr>
        <w:t>Nineteen</w:t>
      </w:r>
      <w:r w:rsidR="00CF10AB" w:rsidRPr="00F90A54">
        <w:rPr>
          <w:rFonts w:ascii="Garamond" w:hAnsi="Garamond"/>
        </w:rPr>
        <w:t xml:space="preserve"> </w:t>
      </w:r>
      <w:r w:rsidR="00E14CAA" w:rsidRPr="00F90A54">
        <w:rPr>
          <w:rFonts w:ascii="Garamond" w:hAnsi="Garamond"/>
        </w:rPr>
        <w:t>s</w:t>
      </w:r>
      <w:r w:rsidR="00CF10AB" w:rsidRPr="00F90A54">
        <w:rPr>
          <w:rFonts w:ascii="Garamond" w:hAnsi="Garamond"/>
        </w:rPr>
        <w:t xml:space="preserve">tates and a group of medical associations cried foul. They </w:t>
      </w:r>
      <w:r w:rsidR="00F70B06" w:rsidRPr="00F90A54">
        <w:rPr>
          <w:rFonts w:ascii="Garamond" w:hAnsi="Garamond"/>
        </w:rPr>
        <w:t>moved</w:t>
      </w:r>
      <w:r w:rsidR="008D7470" w:rsidRPr="00F90A54">
        <w:rPr>
          <w:rFonts w:ascii="Garamond" w:hAnsi="Garamond"/>
        </w:rPr>
        <w:t xml:space="preserve"> to intervene before the Supreme Court to </w:t>
      </w:r>
      <w:r w:rsidR="00CF10AB" w:rsidRPr="00F90A54">
        <w:rPr>
          <w:rFonts w:ascii="Garamond" w:hAnsi="Garamond"/>
        </w:rPr>
        <w:t>defend the rule.</w:t>
      </w:r>
      <w:r w:rsidR="00CF10AB" w:rsidRPr="00F90A54">
        <w:rPr>
          <w:rStyle w:val="FootnoteReference"/>
          <w:rFonts w:ascii="Garamond" w:hAnsi="Garamond"/>
        </w:rPr>
        <w:footnoteReference w:id="10"/>
      </w:r>
      <w:r w:rsidR="00CF10AB" w:rsidRPr="00F90A54">
        <w:rPr>
          <w:rFonts w:ascii="Garamond" w:hAnsi="Garamond"/>
        </w:rPr>
        <w:t xml:space="preserve"> They were denied, over the dissent of three Justices who would have granted intervention and kept the case alive</w:t>
      </w:r>
      <w:r w:rsidR="00CD5DA9" w:rsidRPr="00F90A54">
        <w:rPr>
          <w:rFonts w:ascii="Garamond" w:hAnsi="Garamond"/>
        </w:rPr>
        <w:t>, presumably</w:t>
      </w:r>
      <w:r w:rsidR="00CF10AB" w:rsidRPr="00F90A54">
        <w:rPr>
          <w:rFonts w:ascii="Garamond" w:hAnsi="Garamond"/>
        </w:rPr>
        <w:t xml:space="preserve"> so the Court could rule on the merits.</w:t>
      </w:r>
      <w:r w:rsidR="00CF10AB" w:rsidRPr="00F90A54">
        <w:rPr>
          <w:rStyle w:val="FootnoteReference"/>
          <w:rFonts w:ascii="Garamond" w:hAnsi="Garamond"/>
        </w:rPr>
        <w:footnoteReference w:id="11"/>
      </w:r>
      <w:r w:rsidR="00CF10AB" w:rsidRPr="00F90A54">
        <w:rPr>
          <w:rFonts w:ascii="Garamond" w:hAnsi="Garamond"/>
        </w:rPr>
        <w:t xml:space="preserve"> </w:t>
      </w:r>
    </w:p>
    <w:p w14:paraId="4F647547" w14:textId="2F525381" w:rsidR="00D367B7" w:rsidRPr="00F90A54" w:rsidRDefault="00397924" w:rsidP="00FB3CD8">
      <w:pPr>
        <w:ind w:firstLine="360"/>
        <w:jc w:val="both"/>
        <w:rPr>
          <w:rFonts w:ascii="Garamond" w:hAnsi="Garamond"/>
        </w:rPr>
      </w:pPr>
      <w:r w:rsidRPr="00F90A54">
        <w:rPr>
          <w:rFonts w:ascii="Garamond" w:hAnsi="Garamond"/>
        </w:rPr>
        <w:t>As these examples illustrate, i</w:t>
      </w:r>
      <w:r w:rsidR="00A33779" w:rsidRPr="00F90A54">
        <w:rPr>
          <w:rFonts w:ascii="Garamond" w:hAnsi="Garamond"/>
        </w:rPr>
        <w:t>ntervenors play a significant role in litigation seeking universal remedies, like the nationwide injunction.</w:t>
      </w:r>
      <w:r w:rsidR="00A33779" w:rsidRPr="00F90A54">
        <w:rPr>
          <w:rStyle w:val="FootnoteReference"/>
          <w:rFonts w:ascii="Garamond" w:hAnsi="Garamond"/>
        </w:rPr>
        <w:footnoteReference w:id="12"/>
      </w:r>
      <w:r w:rsidR="00A33779" w:rsidRPr="00F90A54">
        <w:rPr>
          <w:rFonts w:ascii="Garamond" w:hAnsi="Garamond"/>
        </w:rPr>
        <w:t xml:space="preserve"> </w:t>
      </w:r>
      <w:r w:rsidR="00245344" w:rsidRPr="00F90A54">
        <w:rPr>
          <w:rFonts w:ascii="Garamond" w:hAnsi="Garamond"/>
        </w:rPr>
        <w:t>Rule 24</w:t>
      </w:r>
      <w:r w:rsidR="008D7470" w:rsidRPr="00F90A54">
        <w:rPr>
          <w:rFonts w:ascii="Garamond" w:hAnsi="Garamond"/>
        </w:rPr>
        <w:t xml:space="preserve">, the federal rule of civil </w:t>
      </w:r>
      <w:r w:rsidR="008D7470" w:rsidRPr="00F90A54">
        <w:rPr>
          <w:rFonts w:ascii="Garamond" w:hAnsi="Garamond"/>
        </w:rPr>
        <w:lastRenderedPageBreak/>
        <w:t xml:space="preserve">procedure that </w:t>
      </w:r>
      <w:r w:rsidR="00245344" w:rsidRPr="00F90A54">
        <w:rPr>
          <w:rFonts w:ascii="Garamond" w:hAnsi="Garamond"/>
        </w:rPr>
        <w:t>governs intervention, allows courts to transform outsiders into parties on equal footing with the original plaintiff and defendant.</w:t>
      </w:r>
      <w:r w:rsidR="00CE669D" w:rsidRPr="00F90A54">
        <w:rPr>
          <w:rStyle w:val="FootnoteReference"/>
          <w:rFonts w:ascii="Garamond" w:hAnsi="Garamond"/>
        </w:rPr>
        <w:footnoteReference w:id="13"/>
      </w:r>
      <w:r w:rsidR="00055168" w:rsidRPr="00F90A54">
        <w:rPr>
          <w:rFonts w:ascii="Garamond" w:hAnsi="Garamond"/>
        </w:rPr>
        <w:t xml:space="preserve"> </w:t>
      </w:r>
      <w:r w:rsidR="00434B36" w:rsidRPr="00F90A54">
        <w:rPr>
          <w:rFonts w:ascii="Garamond" w:hAnsi="Garamond"/>
        </w:rPr>
        <w:t xml:space="preserve">Intervenors in nationwide-injunction cases </w:t>
      </w:r>
      <w:r w:rsidR="00A33779" w:rsidRPr="00F90A54">
        <w:rPr>
          <w:rFonts w:ascii="Garamond" w:hAnsi="Garamond"/>
        </w:rPr>
        <w:t xml:space="preserve">have </w:t>
      </w:r>
      <w:r w:rsidR="00055168" w:rsidRPr="00F90A54">
        <w:rPr>
          <w:rFonts w:ascii="Garamond" w:hAnsi="Garamond"/>
        </w:rPr>
        <w:t>raise</w:t>
      </w:r>
      <w:r w:rsidR="00A33779" w:rsidRPr="00F90A54">
        <w:rPr>
          <w:rFonts w:ascii="Garamond" w:hAnsi="Garamond"/>
        </w:rPr>
        <w:t>d</w:t>
      </w:r>
      <w:r w:rsidR="00055168" w:rsidRPr="00F90A54">
        <w:rPr>
          <w:rFonts w:ascii="Garamond" w:hAnsi="Garamond"/>
        </w:rPr>
        <w:t xml:space="preserve"> new legal arguments, introduce</w:t>
      </w:r>
      <w:r w:rsidR="00A33779" w:rsidRPr="00F90A54">
        <w:rPr>
          <w:rFonts w:ascii="Garamond" w:hAnsi="Garamond"/>
        </w:rPr>
        <w:t>d</w:t>
      </w:r>
      <w:r w:rsidR="00055168" w:rsidRPr="00F90A54">
        <w:rPr>
          <w:rFonts w:ascii="Garamond" w:hAnsi="Garamond"/>
        </w:rPr>
        <w:t xml:space="preserve"> evidence, s</w:t>
      </w:r>
      <w:r w:rsidR="00A33779" w:rsidRPr="00F90A54">
        <w:rPr>
          <w:rFonts w:ascii="Garamond" w:hAnsi="Garamond"/>
        </w:rPr>
        <w:t>ought</w:t>
      </w:r>
      <w:r w:rsidR="00055168" w:rsidRPr="00F90A54">
        <w:rPr>
          <w:rFonts w:ascii="Garamond" w:hAnsi="Garamond"/>
        </w:rPr>
        <w:t xml:space="preserve"> discovery, file</w:t>
      </w:r>
      <w:r w:rsidR="00A33779" w:rsidRPr="00F90A54">
        <w:rPr>
          <w:rFonts w:ascii="Garamond" w:hAnsi="Garamond"/>
        </w:rPr>
        <w:t>d</w:t>
      </w:r>
      <w:r w:rsidR="00055168" w:rsidRPr="00F90A54">
        <w:rPr>
          <w:rFonts w:ascii="Garamond" w:hAnsi="Garamond"/>
        </w:rPr>
        <w:t xml:space="preserve"> </w:t>
      </w:r>
      <w:r w:rsidR="00133A24" w:rsidRPr="00F90A54">
        <w:rPr>
          <w:rFonts w:ascii="Garamond" w:hAnsi="Garamond"/>
        </w:rPr>
        <w:t xml:space="preserve">dispositive </w:t>
      </w:r>
      <w:r w:rsidR="00055168" w:rsidRPr="00F90A54">
        <w:rPr>
          <w:rFonts w:ascii="Garamond" w:hAnsi="Garamond"/>
        </w:rPr>
        <w:t>motions, oppose</w:t>
      </w:r>
      <w:r w:rsidR="00A33779" w:rsidRPr="00F90A54">
        <w:rPr>
          <w:rFonts w:ascii="Garamond" w:hAnsi="Garamond"/>
        </w:rPr>
        <w:t>d</w:t>
      </w:r>
      <w:r w:rsidR="00055168" w:rsidRPr="00F90A54">
        <w:rPr>
          <w:rFonts w:ascii="Garamond" w:hAnsi="Garamond"/>
        </w:rPr>
        <w:t xml:space="preserve"> settlement, </w:t>
      </w:r>
      <w:r w:rsidR="00F632D8" w:rsidRPr="00F90A54">
        <w:rPr>
          <w:rFonts w:ascii="Garamond" w:hAnsi="Garamond"/>
        </w:rPr>
        <w:t>dispute</w:t>
      </w:r>
      <w:r w:rsidR="003857F9" w:rsidRPr="00F90A54">
        <w:rPr>
          <w:rFonts w:ascii="Garamond" w:hAnsi="Garamond"/>
        </w:rPr>
        <w:t>d</w:t>
      </w:r>
      <w:r w:rsidR="003A7073" w:rsidRPr="00F90A54">
        <w:rPr>
          <w:rFonts w:ascii="Garamond" w:hAnsi="Garamond"/>
        </w:rPr>
        <w:t xml:space="preserve"> joint filings, </w:t>
      </w:r>
      <w:r w:rsidR="00055168" w:rsidRPr="00F90A54">
        <w:rPr>
          <w:rFonts w:ascii="Garamond" w:hAnsi="Garamond"/>
        </w:rPr>
        <w:t>and appeal</w:t>
      </w:r>
      <w:r w:rsidR="00A33779" w:rsidRPr="00F90A54">
        <w:rPr>
          <w:rFonts w:ascii="Garamond" w:hAnsi="Garamond"/>
        </w:rPr>
        <w:t>ed</w:t>
      </w:r>
      <w:r w:rsidR="00055168" w:rsidRPr="00F90A54">
        <w:rPr>
          <w:rFonts w:ascii="Garamond" w:hAnsi="Garamond"/>
        </w:rPr>
        <w:t xml:space="preserve"> adverse rulings.</w:t>
      </w:r>
      <w:r w:rsidR="00162B72" w:rsidRPr="00F90A54">
        <w:rPr>
          <w:rStyle w:val="FootnoteReference"/>
          <w:rFonts w:ascii="Garamond" w:hAnsi="Garamond"/>
        </w:rPr>
        <w:footnoteReference w:id="14"/>
      </w:r>
      <w:r w:rsidR="00055168" w:rsidRPr="00F90A54">
        <w:rPr>
          <w:rFonts w:ascii="Garamond" w:hAnsi="Garamond"/>
        </w:rPr>
        <w:t xml:space="preserve"> </w:t>
      </w:r>
      <w:r w:rsidR="00133A24" w:rsidRPr="00F90A54">
        <w:rPr>
          <w:rFonts w:ascii="Garamond" w:hAnsi="Garamond"/>
        </w:rPr>
        <w:t>And</w:t>
      </w:r>
      <w:r w:rsidR="00832FA4" w:rsidRPr="00F90A54">
        <w:rPr>
          <w:rFonts w:ascii="Garamond" w:hAnsi="Garamond"/>
        </w:rPr>
        <w:t>,</w:t>
      </w:r>
      <w:r w:rsidR="00133A24" w:rsidRPr="00F90A54">
        <w:rPr>
          <w:rFonts w:ascii="Garamond" w:hAnsi="Garamond"/>
        </w:rPr>
        <w:t xml:space="preserve"> j</w:t>
      </w:r>
      <w:r w:rsidR="00A33779" w:rsidRPr="00F90A54">
        <w:rPr>
          <w:rFonts w:ascii="Garamond" w:hAnsi="Garamond"/>
        </w:rPr>
        <w:t xml:space="preserve">ust as </w:t>
      </w:r>
      <w:r w:rsidR="00D367B7" w:rsidRPr="00F90A54">
        <w:rPr>
          <w:rFonts w:ascii="Garamond" w:hAnsi="Garamond"/>
        </w:rPr>
        <w:t xml:space="preserve">critically, </w:t>
      </w:r>
      <w:r w:rsidR="00A33779" w:rsidRPr="00F90A54">
        <w:rPr>
          <w:rFonts w:ascii="Garamond" w:hAnsi="Garamond"/>
        </w:rPr>
        <w:t>in each case</w:t>
      </w:r>
      <w:r w:rsidR="005771A5" w:rsidRPr="00F90A54">
        <w:rPr>
          <w:rFonts w:ascii="Garamond" w:hAnsi="Garamond"/>
        </w:rPr>
        <w:t xml:space="preserve"> </w:t>
      </w:r>
      <w:r w:rsidR="00832FA4" w:rsidRPr="00F90A54">
        <w:rPr>
          <w:rFonts w:ascii="Garamond" w:hAnsi="Garamond"/>
        </w:rPr>
        <w:t>where</w:t>
      </w:r>
      <w:r w:rsidR="005771A5" w:rsidRPr="00F90A54">
        <w:rPr>
          <w:rFonts w:ascii="Garamond" w:hAnsi="Garamond"/>
        </w:rPr>
        <w:t xml:space="preserve"> </w:t>
      </w:r>
      <w:r w:rsidR="00A33779" w:rsidRPr="00F90A54">
        <w:rPr>
          <w:rFonts w:ascii="Garamond" w:hAnsi="Garamond"/>
        </w:rPr>
        <w:t>intervention was denied</w:t>
      </w:r>
      <w:r w:rsidR="00133A24" w:rsidRPr="00F90A54">
        <w:rPr>
          <w:rFonts w:ascii="Garamond" w:hAnsi="Garamond"/>
        </w:rPr>
        <w:t>,</w:t>
      </w:r>
      <w:r w:rsidR="00A33779" w:rsidRPr="00F90A54">
        <w:rPr>
          <w:rFonts w:ascii="Garamond" w:hAnsi="Garamond"/>
        </w:rPr>
        <w:t xml:space="preserve"> the nonparty did none of those things.</w:t>
      </w:r>
      <w:r w:rsidR="005771A5" w:rsidRPr="00F90A54">
        <w:rPr>
          <w:rFonts w:ascii="Garamond" w:hAnsi="Garamond"/>
        </w:rPr>
        <w:t xml:space="preserve"> </w:t>
      </w:r>
      <w:r w:rsidR="00B46A6F" w:rsidRPr="00F90A54">
        <w:rPr>
          <w:rFonts w:ascii="Garamond" w:hAnsi="Garamond"/>
        </w:rPr>
        <w:t xml:space="preserve">In other words, </w:t>
      </w:r>
      <w:r w:rsidR="00832FA4" w:rsidRPr="00F90A54">
        <w:rPr>
          <w:rFonts w:ascii="Garamond" w:hAnsi="Garamond"/>
        </w:rPr>
        <w:t>a</w:t>
      </w:r>
      <w:r w:rsidR="00B46A6F" w:rsidRPr="00F90A54">
        <w:rPr>
          <w:rFonts w:ascii="Garamond" w:hAnsi="Garamond"/>
        </w:rPr>
        <w:t xml:space="preserve"> decision to grant or deny intervention has real-world stakes</w:t>
      </w:r>
      <w:r w:rsidR="00133A24" w:rsidRPr="00F90A54">
        <w:rPr>
          <w:rFonts w:ascii="Garamond" w:hAnsi="Garamond"/>
        </w:rPr>
        <w:t xml:space="preserve"> for some of the most high-profile and contentious cases heard in federal court</w:t>
      </w:r>
      <w:r w:rsidR="007C1EDA" w:rsidRPr="00F90A54">
        <w:rPr>
          <w:rFonts w:ascii="Garamond" w:hAnsi="Garamond"/>
        </w:rPr>
        <w:t>.</w:t>
      </w:r>
      <w:r w:rsidR="003E1C6D" w:rsidRPr="00F90A54">
        <w:rPr>
          <w:rFonts w:ascii="Garamond" w:hAnsi="Garamond"/>
        </w:rPr>
        <w:t xml:space="preserve"> </w:t>
      </w:r>
    </w:p>
    <w:p w14:paraId="76C2689A" w14:textId="715176F3" w:rsidR="00357EB1" w:rsidRPr="00F90A54" w:rsidRDefault="005C4B75" w:rsidP="00FB3CD8">
      <w:pPr>
        <w:ind w:firstLine="360"/>
        <w:jc w:val="both"/>
        <w:rPr>
          <w:rFonts w:ascii="Garamond" w:hAnsi="Garamond"/>
        </w:rPr>
      </w:pPr>
      <w:r w:rsidRPr="00F90A54">
        <w:rPr>
          <w:rFonts w:ascii="Garamond" w:hAnsi="Garamond"/>
        </w:rPr>
        <w:t xml:space="preserve">Yet the role that intervenors have played </w:t>
      </w:r>
      <w:r w:rsidR="000F72CB" w:rsidRPr="00F90A54">
        <w:rPr>
          <w:rFonts w:ascii="Garamond" w:hAnsi="Garamond"/>
        </w:rPr>
        <w:t xml:space="preserve">in universal-remedy cases </w:t>
      </w:r>
      <w:r w:rsidRPr="00F90A54">
        <w:rPr>
          <w:rFonts w:ascii="Garamond" w:hAnsi="Garamond"/>
        </w:rPr>
        <w:t>has largely</w:t>
      </w:r>
      <w:r w:rsidR="005B3271" w:rsidRPr="00F90A54">
        <w:rPr>
          <w:rFonts w:ascii="Garamond" w:hAnsi="Garamond"/>
        </w:rPr>
        <w:t xml:space="preserve"> gone unnoticed by scholars. </w:t>
      </w:r>
      <w:r w:rsidR="00133A24" w:rsidRPr="00F90A54">
        <w:rPr>
          <w:rFonts w:ascii="Garamond" w:hAnsi="Garamond"/>
        </w:rPr>
        <w:t>There has been a “</w:t>
      </w:r>
      <w:r w:rsidR="00B451AB" w:rsidRPr="00F90A54">
        <w:rPr>
          <w:rFonts w:ascii="Garamond" w:hAnsi="Garamond"/>
        </w:rPr>
        <w:t xml:space="preserve">robust debate” </w:t>
      </w:r>
      <w:r w:rsidR="00133A24" w:rsidRPr="00F90A54">
        <w:rPr>
          <w:rFonts w:ascii="Garamond" w:hAnsi="Garamond"/>
        </w:rPr>
        <w:t>on nationwide injunction</w:t>
      </w:r>
      <w:r w:rsidR="00357EB1" w:rsidRPr="00F90A54">
        <w:rPr>
          <w:rFonts w:ascii="Garamond" w:hAnsi="Garamond"/>
        </w:rPr>
        <w:t>s</w:t>
      </w:r>
      <w:r w:rsidR="00133A24" w:rsidRPr="00F90A54">
        <w:rPr>
          <w:rFonts w:ascii="Garamond" w:hAnsi="Garamond"/>
        </w:rPr>
        <w:t>,</w:t>
      </w:r>
      <w:r w:rsidR="00B451AB" w:rsidRPr="00F90A54">
        <w:rPr>
          <w:rStyle w:val="FootnoteReference"/>
          <w:rFonts w:ascii="Garamond" w:hAnsi="Garamond"/>
        </w:rPr>
        <w:footnoteReference w:id="15"/>
      </w:r>
      <w:r w:rsidR="00133A24" w:rsidRPr="00F90A54">
        <w:rPr>
          <w:rFonts w:ascii="Garamond" w:hAnsi="Garamond"/>
        </w:rPr>
        <w:t xml:space="preserve"> much of it focused on whether such remedies are constitutional or advisable.</w:t>
      </w:r>
      <w:r w:rsidR="00133A24" w:rsidRPr="00F90A54">
        <w:rPr>
          <w:rStyle w:val="FootnoteReference"/>
          <w:rFonts w:ascii="Garamond" w:hAnsi="Garamond"/>
        </w:rPr>
        <w:footnoteReference w:id="16"/>
      </w:r>
      <w:r w:rsidR="00133A24" w:rsidRPr="00F90A54">
        <w:rPr>
          <w:rFonts w:ascii="Garamond" w:hAnsi="Garamond"/>
        </w:rPr>
        <w:t xml:space="preserve"> </w:t>
      </w:r>
      <w:r w:rsidR="005B3271" w:rsidRPr="00F90A54">
        <w:rPr>
          <w:rFonts w:ascii="Garamond" w:hAnsi="Garamond"/>
        </w:rPr>
        <w:t>Scholars have also made important contributions analyzing how nationwide injunction</w:t>
      </w:r>
      <w:r w:rsidR="00357EB1" w:rsidRPr="00F90A54">
        <w:rPr>
          <w:rFonts w:ascii="Garamond" w:hAnsi="Garamond"/>
        </w:rPr>
        <w:t>s</w:t>
      </w:r>
      <w:r w:rsidR="005B3271" w:rsidRPr="00F90A54">
        <w:rPr>
          <w:rFonts w:ascii="Garamond" w:hAnsi="Garamond"/>
        </w:rPr>
        <w:t xml:space="preserve"> conceptually interact with federal court doctrines,</w:t>
      </w:r>
      <w:r w:rsidR="005B3271" w:rsidRPr="00F90A54">
        <w:rPr>
          <w:rStyle w:val="FootnoteReference"/>
          <w:rFonts w:ascii="Garamond" w:hAnsi="Garamond"/>
        </w:rPr>
        <w:footnoteReference w:id="17"/>
      </w:r>
      <w:r w:rsidR="005B3271" w:rsidRPr="00F90A54">
        <w:rPr>
          <w:rFonts w:ascii="Garamond" w:hAnsi="Garamond"/>
        </w:rPr>
        <w:t xml:space="preserve"> remedi</w:t>
      </w:r>
      <w:r w:rsidR="004009A3" w:rsidRPr="00F90A54">
        <w:rPr>
          <w:rFonts w:ascii="Garamond" w:hAnsi="Garamond"/>
        </w:rPr>
        <w:t>al limits</w:t>
      </w:r>
      <w:r w:rsidR="005B3271" w:rsidRPr="00F90A54">
        <w:rPr>
          <w:rFonts w:ascii="Garamond" w:hAnsi="Garamond"/>
        </w:rPr>
        <w:t>,</w:t>
      </w:r>
      <w:r w:rsidR="005B3271" w:rsidRPr="00F90A54">
        <w:rPr>
          <w:rStyle w:val="FootnoteReference"/>
          <w:rFonts w:ascii="Garamond" w:hAnsi="Garamond"/>
        </w:rPr>
        <w:footnoteReference w:id="18"/>
      </w:r>
      <w:r w:rsidR="005B3271" w:rsidRPr="00F90A54">
        <w:rPr>
          <w:rFonts w:ascii="Garamond" w:hAnsi="Garamond"/>
        </w:rPr>
        <w:t xml:space="preserve"> and </w:t>
      </w:r>
      <w:r w:rsidR="005B3271" w:rsidRPr="00F90A54">
        <w:rPr>
          <w:rFonts w:ascii="Garamond" w:hAnsi="Garamond"/>
        </w:rPr>
        <w:lastRenderedPageBreak/>
        <w:t>procedural reforms.</w:t>
      </w:r>
      <w:r w:rsidR="005B3271" w:rsidRPr="00F90A54">
        <w:rPr>
          <w:rStyle w:val="FootnoteReference"/>
          <w:rFonts w:ascii="Garamond" w:hAnsi="Garamond"/>
        </w:rPr>
        <w:footnoteReference w:id="19"/>
      </w:r>
      <w:r w:rsidR="005B3271" w:rsidRPr="00F90A54">
        <w:rPr>
          <w:rFonts w:ascii="Garamond" w:hAnsi="Garamond"/>
        </w:rPr>
        <w:t xml:space="preserve"> </w:t>
      </w:r>
      <w:r w:rsidR="004009A3" w:rsidRPr="00F90A54">
        <w:rPr>
          <w:rFonts w:ascii="Garamond" w:hAnsi="Garamond"/>
        </w:rPr>
        <w:t xml:space="preserve">But these works </w:t>
      </w:r>
      <w:r w:rsidR="00BB7088" w:rsidRPr="00F90A54">
        <w:rPr>
          <w:rFonts w:ascii="Garamond" w:hAnsi="Garamond"/>
        </w:rPr>
        <w:t xml:space="preserve">generally </w:t>
      </w:r>
      <w:r w:rsidR="004009A3" w:rsidRPr="00F90A54">
        <w:rPr>
          <w:rFonts w:ascii="Garamond" w:hAnsi="Garamond"/>
        </w:rPr>
        <w:t xml:space="preserve">focus </w:t>
      </w:r>
      <w:r w:rsidR="00893AB1" w:rsidRPr="00F90A54">
        <w:rPr>
          <w:rFonts w:ascii="Garamond" w:hAnsi="Garamond"/>
        </w:rPr>
        <w:t xml:space="preserve">either on </w:t>
      </w:r>
      <w:r w:rsidR="008D7D6A" w:rsidRPr="00F90A54">
        <w:rPr>
          <w:rFonts w:ascii="Garamond" w:hAnsi="Garamond"/>
        </w:rPr>
        <w:t>how such cases start</w:t>
      </w:r>
      <w:r w:rsidR="00893AB1" w:rsidRPr="00F90A54">
        <w:rPr>
          <w:rStyle w:val="FootnoteReference"/>
          <w:rFonts w:ascii="Garamond" w:hAnsi="Garamond"/>
        </w:rPr>
        <w:footnoteReference w:id="20"/>
      </w:r>
      <w:r w:rsidR="00893AB1" w:rsidRPr="00F90A54">
        <w:rPr>
          <w:rFonts w:ascii="Garamond" w:hAnsi="Garamond"/>
        </w:rPr>
        <w:t xml:space="preserve"> or </w:t>
      </w:r>
      <w:r w:rsidR="004009A3" w:rsidRPr="00F90A54">
        <w:rPr>
          <w:rFonts w:ascii="Garamond" w:hAnsi="Garamond"/>
        </w:rPr>
        <w:t xml:space="preserve">on </w:t>
      </w:r>
      <w:r w:rsidR="00450549" w:rsidRPr="00F90A54">
        <w:rPr>
          <w:rFonts w:ascii="Garamond" w:hAnsi="Garamond"/>
        </w:rPr>
        <w:t>the end result</w:t>
      </w:r>
      <w:r w:rsidR="00357EB1" w:rsidRPr="00F90A54">
        <w:rPr>
          <w:rFonts w:ascii="Garamond" w:hAnsi="Garamond"/>
        </w:rPr>
        <w:t>—</w:t>
      </w:r>
      <w:r w:rsidR="00450549" w:rsidRPr="00F90A54">
        <w:rPr>
          <w:rFonts w:ascii="Garamond" w:hAnsi="Garamond"/>
        </w:rPr>
        <w:t>rather than the mechanisms that govern</w:t>
      </w:r>
      <w:r w:rsidR="008D7D6A" w:rsidRPr="00F90A54">
        <w:rPr>
          <w:rFonts w:ascii="Garamond" w:hAnsi="Garamond"/>
        </w:rPr>
        <w:t>ed</w:t>
      </w:r>
      <w:r w:rsidR="00450549" w:rsidRPr="00F90A54">
        <w:rPr>
          <w:rFonts w:ascii="Garamond" w:hAnsi="Garamond"/>
        </w:rPr>
        <w:t xml:space="preserve"> </w:t>
      </w:r>
      <w:r w:rsidR="00450549" w:rsidRPr="00F90A54">
        <w:rPr>
          <w:rFonts w:ascii="Garamond" w:hAnsi="Garamond"/>
          <w:i/>
          <w:iCs/>
        </w:rPr>
        <w:t>how</w:t>
      </w:r>
      <w:r w:rsidR="00450549" w:rsidRPr="00F90A54">
        <w:rPr>
          <w:rFonts w:ascii="Garamond" w:hAnsi="Garamond"/>
        </w:rPr>
        <w:t xml:space="preserve"> that result </w:t>
      </w:r>
      <w:r w:rsidR="0073747D" w:rsidRPr="00F90A54">
        <w:rPr>
          <w:rFonts w:ascii="Garamond" w:hAnsi="Garamond"/>
        </w:rPr>
        <w:t>came to be</w:t>
      </w:r>
      <w:r w:rsidR="00450549" w:rsidRPr="00F90A54">
        <w:rPr>
          <w:rFonts w:ascii="Garamond" w:hAnsi="Garamond"/>
        </w:rPr>
        <w:t>.</w:t>
      </w:r>
      <w:r w:rsidR="004009A3" w:rsidRPr="00F90A54">
        <w:rPr>
          <w:rStyle w:val="FootnoteReference"/>
          <w:rFonts w:ascii="Garamond" w:hAnsi="Garamond"/>
        </w:rPr>
        <w:footnoteReference w:id="21"/>
      </w:r>
      <w:r w:rsidR="00357EB1" w:rsidRPr="00F90A54">
        <w:rPr>
          <w:rFonts w:ascii="Garamond" w:hAnsi="Garamond"/>
        </w:rPr>
        <w:t xml:space="preserve"> </w:t>
      </w:r>
    </w:p>
    <w:p w14:paraId="6623C90F" w14:textId="4B329834" w:rsidR="00330C99" w:rsidRPr="00F90A54" w:rsidRDefault="00D572C0" w:rsidP="00FB3CD8">
      <w:pPr>
        <w:ind w:firstLine="360"/>
        <w:jc w:val="both"/>
        <w:rPr>
          <w:rFonts w:ascii="Garamond" w:hAnsi="Garamond"/>
        </w:rPr>
      </w:pPr>
      <w:r w:rsidRPr="00F90A54">
        <w:rPr>
          <w:rFonts w:ascii="Garamond" w:hAnsi="Garamond"/>
        </w:rPr>
        <w:t xml:space="preserve">Broadening our focus to include the reality of how universal-remedies cases are litigated has important implications. </w:t>
      </w:r>
      <w:r w:rsidR="00542386" w:rsidRPr="00F90A54">
        <w:rPr>
          <w:rFonts w:ascii="Garamond" w:hAnsi="Garamond"/>
        </w:rPr>
        <w:t xml:space="preserve">Parties seeking </w:t>
      </w:r>
      <w:r w:rsidRPr="00F90A54">
        <w:rPr>
          <w:rFonts w:ascii="Garamond" w:hAnsi="Garamond"/>
        </w:rPr>
        <w:t>these</w:t>
      </w:r>
      <w:r w:rsidR="009B6694" w:rsidRPr="00F90A54">
        <w:rPr>
          <w:rFonts w:ascii="Garamond" w:hAnsi="Garamond"/>
        </w:rPr>
        <w:t xml:space="preserve"> remedies </w:t>
      </w:r>
      <w:r w:rsidR="00542386" w:rsidRPr="00F90A54">
        <w:rPr>
          <w:rFonts w:ascii="Garamond" w:hAnsi="Garamond"/>
        </w:rPr>
        <w:t xml:space="preserve">are often asking courts to resolve </w:t>
      </w:r>
      <w:r w:rsidR="009B6694" w:rsidRPr="00F90A54">
        <w:rPr>
          <w:rFonts w:ascii="Garamond" w:hAnsi="Garamond"/>
        </w:rPr>
        <w:t xml:space="preserve">highly salient questions of social and political policy. </w:t>
      </w:r>
      <w:r w:rsidR="005811E5" w:rsidRPr="00F90A54">
        <w:rPr>
          <w:rFonts w:ascii="Garamond" w:hAnsi="Garamond"/>
        </w:rPr>
        <w:t>When courts grant nationwide injunction</w:t>
      </w:r>
      <w:r w:rsidRPr="00F90A54">
        <w:rPr>
          <w:rFonts w:ascii="Garamond" w:hAnsi="Garamond"/>
        </w:rPr>
        <w:t>s</w:t>
      </w:r>
      <w:r w:rsidR="005811E5" w:rsidRPr="00F90A54">
        <w:rPr>
          <w:rFonts w:ascii="Garamond" w:hAnsi="Garamond"/>
        </w:rPr>
        <w:t xml:space="preserve">, they </w:t>
      </w:r>
      <w:r w:rsidR="005D204D">
        <w:rPr>
          <w:rFonts w:ascii="Garamond" w:hAnsi="Garamond"/>
        </w:rPr>
        <w:t xml:space="preserve">can </w:t>
      </w:r>
      <w:r w:rsidR="005811E5" w:rsidRPr="00F90A54">
        <w:rPr>
          <w:rFonts w:ascii="Garamond" w:hAnsi="Garamond"/>
        </w:rPr>
        <w:t xml:space="preserve">resolve those questions for everyone in the country regardless of ongoing democratic debates. </w:t>
      </w:r>
      <w:r w:rsidR="00B46A6F" w:rsidRPr="00F90A54">
        <w:rPr>
          <w:rFonts w:ascii="Garamond" w:hAnsi="Garamond"/>
        </w:rPr>
        <w:t>Courts</w:t>
      </w:r>
      <w:r w:rsidR="00405794" w:rsidRPr="00F90A54">
        <w:rPr>
          <w:rFonts w:ascii="Garamond" w:hAnsi="Garamond"/>
        </w:rPr>
        <w:t xml:space="preserve"> </w:t>
      </w:r>
      <w:r w:rsidR="005D204D">
        <w:rPr>
          <w:rFonts w:ascii="Garamond" w:hAnsi="Garamond"/>
        </w:rPr>
        <w:t xml:space="preserve">may </w:t>
      </w:r>
      <w:r w:rsidR="00405794" w:rsidRPr="00F90A54">
        <w:rPr>
          <w:rFonts w:ascii="Garamond" w:hAnsi="Garamond"/>
        </w:rPr>
        <w:t xml:space="preserve">effectively remove those questions </w:t>
      </w:r>
      <w:r w:rsidR="00330C99" w:rsidRPr="00F90A54">
        <w:rPr>
          <w:rFonts w:ascii="Garamond" w:hAnsi="Garamond"/>
        </w:rPr>
        <w:t xml:space="preserve">from the political process even though most </w:t>
      </w:r>
      <w:r w:rsidR="00405794" w:rsidRPr="00F90A54">
        <w:rPr>
          <w:rFonts w:ascii="Garamond" w:hAnsi="Garamond"/>
        </w:rPr>
        <w:t xml:space="preserve">of the </w:t>
      </w:r>
      <w:r w:rsidR="00330C99" w:rsidRPr="00F90A54">
        <w:rPr>
          <w:rFonts w:ascii="Garamond" w:hAnsi="Garamond"/>
        </w:rPr>
        <w:t xml:space="preserve">people affected will </w:t>
      </w:r>
      <w:r w:rsidRPr="00F90A54">
        <w:rPr>
          <w:rFonts w:ascii="Garamond" w:hAnsi="Garamond"/>
        </w:rPr>
        <w:t xml:space="preserve">have no </w:t>
      </w:r>
      <w:r w:rsidR="00330C99" w:rsidRPr="00F90A54">
        <w:rPr>
          <w:rFonts w:ascii="Garamond" w:hAnsi="Garamond"/>
        </w:rPr>
        <w:t>opportunity to be heard in the proceeding</w:t>
      </w:r>
      <w:r w:rsidRPr="00F90A54">
        <w:rPr>
          <w:rFonts w:ascii="Garamond" w:hAnsi="Garamond"/>
        </w:rPr>
        <w:t>s</w:t>
      </w:r>
      <w:r w:rsidR="00330C99" w:rsidRPr="00F90A54">
        <w:rPr>
          <w:rFonts w:ascii="Garamond" w:hAnsi="Garamond"/>
        </w:rPr>
        <w:t xml:space="preserve">. </w:t>
      </w:r>
      <w:r w:rsidR="0018318F" w:rsidRPr="00F90A54">
        <w:rPr>
          <w:rFonts w:ascii="Garamond" w:hAnsi="Garamond"/>
        </w:rPr>
        <w:t>It bears investigating</w:t>
      </w:r>
      <w:r w:rsidR="003E6098" w:rsidRPr="00F90A54">
        <w:rPr>
          <w:rFonts w:ascii="Garamond" w:hAnsi="Garamond"/>
        </w:rPr>
        <w:t>,</w:t>
      </w:r>
      <w:r w:rsidR="0018318F" w:rsidRPr="00F90A54">
        <w:rPr>
          <w:rFonts w:ascii="Garamond" w:hAnsi="Garamond"/>
        </w:rPr>
        <w:t xml:space="preserve"> </w:t>
      </w:r>
      <w:r w:rsidR="00A654F4" w:rsidRPr="00F90A54">
        <w:rPr>
          <w:rFonts w:ascii="Garamond" w:hAnsi="Garamond"/>
        </w:rPr>
        <w:t xml:space="preserve">then </w:t>
      </w:r>
      <w:r w:rsidR="0018318F" w:rsidRPr="00F90A54">
        <w:rPr>
          <w:rFonts w:ascii="Garamond" w:hAnsi="Garamond"/>
        </w:rPr>
        <w:t xml:space="preserve">whether the rules that govern such high-stakes litigation still protect the values they were designed to serve. </w:t>
      </w:r>
    </w:p>
    <w:p w14:paraId="08298FFE" w14:textId="1D83A91F" w:rsidR="0077016F" w:rsidRPr="00F90A54" w:rsidRDefault="00906D0C" w:rsidP="00FB3CD8">
      <w:pPr>
        <w:ind w:firstLine="360"/>
        <w:jc w:val="both"/>
        <w:rPr>
          <w:rFonts w:ascii="Garamond" w:hAnsi="Garamond"/>
        </w:rPr>
      </w:pPr>
      <w:r w:rsidRPr="00F90A54">
        <w:rPr>
          <w:rFonts w:ascii="Garamond" w:hAnsi="Garamond"/>
        </w:rPr>
        <w:t>This article</w:t>
      </w:r>
      <w:r w:rsidR="0073747D" w:rsidRPr="00F90A54">
        <w:rPr>
          <w:rFonts w:ascii="Garamond" w:hAnsi="Garamond"/>
        </w:rPr>
        <w:t xml:space="preserve"> draws attention to that question by</w:t>
      </w:r>
      <w:r w:rsidR="00E84D83" w:rsidRPr="00F90A54">
        <w:rPr>
          <w:rFonts w:ascii="Garamond" w:hAnsi="Garamond"/>
        </w:rPr>
        <w:t xml:space="preserve"> </w:t>
      </w:r>
      <w:r w:rsidR="0073747D" w:rsidRPr="00F90A54">
        <w:rPr>
          <w:rFonts w:ascii="Garamond" w:hAnsi="Garamond"/>
        </w:rPr>
        <w:t xml:space="preserve">analyzing how </w:t>
      </w:r>
      <w:r w:rsidR="00E84D83" w:rsidRPr="00F90A54">
        <w:rPr>
          <w:rFonts w:ascii="Garamond" w:hAnsi="Garamond"/>
        </w:rPr>
        <w:t xml:space="preserve">one </w:t>
      </w:r>
      <w:r w:rsidR="00DA56DB" w:rsidRPr="00F90A54">
        <w:rPr>
          <w:rFonts w:ascii="Garamond" w:hAnsi="Garamond"/>
        </w:rPr>
        <w:t xml:space="preserve">significant </w:t>
      </w:r>
      <w:r w:rsidR="00E84D83" w:rsidRPr="00F90A54">
        <w:rPr>
          <w:rFonts w:ascii="Garamond" w:hAnsi="Garamond"/>
        </w:rPr>
        <w:t xml:space="preserve">rule—Rule 24—has operated in </w:t>
      </w:r>
      <w:r w:rsidR="00DA56DB" w:rsidRPr="00F90A54">
        <w:rPr>
          <w:rFonts w:ascii="Garamond" w:hAnsi="Garamond"/>
        </w:rPr>
        <w:t>nationwide-injunction</w:t>
      </w:r>
      <w:r w:rsidR="00E84D83" w:rsidRPr="00F90A54">
        <w:rPr>
          <w:rFonts w:ascii="Garamond" w:hAnsi="Garamond"/>
        </w:rPr>
        <w:t xml:space="preserve"> cases.</w:t>
      </w:r>
      <w:r w:rsidR="00106401" w:rsidRPr="00F90A54">
        <w:rPr>
          <w:rStyle w:val="FootnoteReference"/>
          <w:rFonts w:ascii="Garamond" w:hAnsi="Garamond"/>
        </w:rPr>
        <w:footnoteReference w:id="22"/>
      </w:r>
      <w:r w:rsidR="00E84D83" w:rsidRPr="00F90A54">
        <w:rPr>
          <w:rFonts w:ascii="Garamond" w:hAnsi="Garamond"/>
        </w:rPr>
        <w:t xml:space="preserve"> </w:t>
      </w:r>
      <w:r w:rsidR="00E22398" w:rsidRPr="00F90A54">
        <w:rPr>
          <w:rFonts w:ascii="Garamond" w:hAnsi="Garamond"/>
        </w:rPr>
        <w:t>I</w:t>
      </w:r>
      <w:r w:rsidR="0073747D" w:rsidRPr="00F90A54">
        <w:rPr>
          <w:rFonts w:ascii="Garamond" w:hAnsi="Garamond"/>
        </w:rPr>
        <w:t xml:space="preserve">t </w:t>
      </w:r>
      <w:r w:rsidR="00E84D83" w:rsidRPr="00F90A54">
        <w:rPr>
          <w:rFonts w:ascii="Garamond" w:hAnsi="Garamond"/>
        </w:rPr>
        <w:t xml:space="preserve">surveys over </w:t>
      </w:r>
      <w:r w:rsidR="002C6CA2">
        <w:rPr>
          <w:rFonts w:ascii="Garamond" w:hAnsi="Garamond"/>
        </w:rPr>
        <w:t>five</w:t>
      </w:r>
      <w:r w:rsidR="00E84D83" w:rsidRPr="00F90A54">
        <w:rPr>
          <w:rFonts w:ascii="Garamond" w:hAnsi="Garamond"/>
        </w:rPr>
        <w:t xml:space="preserve"> </w:t>
      </w:r>
      <w:r w:rsidR="00E84D83" w:rsidRPr="00F90A54">
        <w:rPr>
          <w:rFonts w:ascii="Garamond" w:hAnsi="Garamond"/>
        </w:rPr>
        <w:lastRenderedPageBreak/>
        <w:t>hundred cases</w:t>
      </w:r>
      <w:r w:rsidR="006D7EF3" w:rsidRPr="00F90A54">
        <w:rPr>
          <w:rFonts w:ascii="Garamond" w:hAnsi="Garamond"/>
        </w:rPr>
        <w:t xml:space="preserve"> </w:t>
      </w:r>
      <w:r w:rsidR="00DA56DB" w:rsidRPr="00F90A54">
        <w:rPr>
          <w:rFonts w:ascii="Garamond" w:hAnsi="Garamond"/>
        </w:rPr>
        <w:t>where</w:t>
      </w:r>
      <w:r w:rsidR="006D7EF3" w:rsidRPr="00F90A54">
        <w:rPr>
          <w:rFonts w:ascii="Garamond" w:hAnsi="Garamond"/>
        </w:rPr>
        <w:t xml:space="preserve"> plaintiffs sought nationwide injunctions </w:t>
      </w:r>
      <w:r w:rsidR="00E84D83" w:rsidRPr="00F90A54">
        <w:rPr>
          <w:rFonts w:ascii="Garamond" w:hAnsi="Garamond"/>
        </w:rPr>
        <w:t xml:space="preserve">to provide </w:t>
      </w:r>
      <w:r w:rsidR="00DA56DB" w:rsidRPr="00F90A54">
        <w:rPr>
          <w:rFonts w:ascii="Garamond" w:hAnsi="Garamond"/>
        </w:rPr>
        <w:t xml:space="preserve">the first </w:t>
      </w:r>
      <w:r w:rsidR="00AA6536" w:rsidRPr="00F90A54">
        <w:rPr>
          <w:rFonts w:ascii="Garamond" w:hAnsi="Garamond"/>
        </w:rPr>
        <w:t>examination</w:t>
      </w:r>
      <w:r w:rsidR="00E84D83" w:rsidRPr="00F90A54">
        <w:rPr>
          <w:rFonts w:ascii="Garamond" w:hAnsi="Garamond"/>
        </w:rPr>
        <w:t xml:space="preserve"> of </w:t>
      </w:r>
      <w:r w:rsidR="0073747D" w:rsidRPr="00F90A54">
        <w:rPr>
          <w:rFonts w:ascii="Garamond" w:hAnsi="Garamond"/>
        </w:rPr>
        <w:t>who seeks to intervene, the role they seek to play, and how courts have applied Rule 24’s test to grant or deny intervention</w:t>
      </w:r>
      <w:r w:rsidR="00D16DD4" w:rsidRPr="00F90A54">
        <w:rPr>
          <w:rFonts w:ascii="Garamond" w:hAnsi="Garamond"/>
        </w:rPr>
        <w:t xml:space="preserve"> in this context</w:t>
      </w:r>
      <w:r w:rsidR="0073747D" w:rsidRPr="00F90A54">
        <w:rPr>
          <w:rFonts w:ascii="Garamond" w:hAnsi="Garamond"/>
        </w:rPr>
        <w:t xml:space="preserve">. </w:t>
      </w:r>
      <w:r w:rsidR="006D7EF3" w:rsidRPr="00F90A54">
        <w:rPr>
          <w:rFonts w:ascii="Garamond" w:hAnsi="Garamond"/>
        </w:rPr>
        <w:t xml:space="preserve">Through </w:t>
      </w:r>
      <w:r w:rsidR="00DA56DB" w:rsidRPr="00F90A54">
        <w:rPr>
          <w:rFonts w:ascii="Garamond" w:hAnsi="Garamond"/>
        </w:rPr>
        <w:t xml:space="preserve">a </w:t>
      </w:r>
      <w:r w:rsidR="006D7EF3" w:rsidRPr="00F90A54">
        <w:rPr>
          <w:rFonts w:ascii="Garamond" w:hAnsi="Garamond"/>
        </w:rPr>
        <w:t xml:space="preserve">granular </w:t>
      </w:r>
      <w:r w:rsidR="00DA56DB" w:rsidRPr="00F90A54">
        <w:rPr>
          <w:rFonts w:ascii="Garamond" w:hAnsi="Garamond"/>
        </w:rPr>
        <w:t>assessment</w:t>
      </w:r>
      <w:r w:rsidR="006D7EF3" w:rsidRPr="00F90A54">
        <w:rPr>
          <w:rFonts w:ascii="Garamond" w:hAnsi="Garamond"/>
        </w:rPr>
        <w:t xml:space="preserve"> of motions and </w:t>
      </w:r>
      <w:r w:rsidR="00DA56DB" w:rsidRPr="00F90A54">
        <w:rPr>
          <w:rFonts w:ascii="Garamond" w:hAnsi="Garamond"/>
        </w:rPr>
        <w:t xml:space="preserve">(often </w:t>
      </w:r>
      <w:r w:rsidR="006D7EF3" w:rsidRPr="00F90A54">
        <w:rPr>
          <w:rFonts w:ascii="Garamond" w:hAnsi="Garamond"/>
        </w:rPr>
        <w:t>unpublished</w:t>
      </w:r>
      <w:r w:rsidR="00DA56DB" w:rsidRPr="00F90A54">
        <w:rPr>
          <w:rFonts w:ascii="Garamond" w:hAnsi="Garamond"/>
        </w:rPr>
        <w:t>)</w:t>
      </w:r>
      <w:r w:rsidR="006D7EF3" w:rsidRPr="00F90A54">
        <w:rPr>
          <w:rFonts w:ascii="Garamond" w:hAnsi="Garamond"/>
        </w:rPr>
        <w:t xml:space="preserve"> orders, it concludes that intervention in these suits is </w:t>
      </w:r>
      <w:r w:rsidR="00A654F4" w:rsidRPr="00F90A54">
        <w:rPr>
          <w:rFonts w:ascii="Garamond" w:hAnsi="Garamond"/>
        </w:rPr>
        <w:t>commonly sought, often contested, unpredictably obtained</w:t>
      </w:r>
      <w:r w:rsidR="0027214D" w:rsidRPr="00F90A54">
        <w:rPr>
          <w:rFonts w:ascii="Garamond" w:hAnsi="Garamond"/>
        </w:rPr>
        <w:t xml:space="preserve">, and enormously consequential. </w:t>
      </w:r>
      <w:r w:rsidR="00D16DD4" w:rsidRPr="00F90A54">
        <w:rPr>
          <w:rFonts w:ascii="Garamond" w:hAnsi="Garamond"/>
        </w:rPr>
        <w:t>Th</w:t>
      </w:r>
      <w:r w:rsidR="0077016F" w:rsidRPr="00F90A54">
        <w:rPr>
          <w:rFonts w:ascii="Garamond" w:hAnsi="Garamond"/>
        </w:rPr>
        <w:t xml:space="preserve">ese results amplify concerns about what values Rule 24 is </w:t>
      </w:r>
      <w:r w:rsidR="004B5040" w:rsidRPr="00F90A54">
        <w:rPr>
          <w:rFonts w:ascii="Garamond" w:hAnsi="Garamond"/>
        </w:rPr>
        <w:t>protecting</w:t>
      </w:r>
      <w:r w:rsidR="00E57CDD" w:rsidRPr="00F90A54">
        <w:rPr>
          <w:rFonts w:ascii="Garamond" w:hAnsi="Garamond"/>
        </w:rPr>
        <w:t xml:space="preserve"> if courts are making highly discretionary procedural decisions that influence the merits of politically charged cases. </w:t>
      </w:r>
    </w:p>
    <w:p w14:paraId="0CD9253F" w14:textId="57EDA082" w:rsidR="00AF6057" w:rsidRPr="00F90A54" w:rsidRDefault="000F16BC" w:rsidP="00FB3CD8">
      <w:pPr>
        <w:ind w:firstLine="360"/>
        <w:jc w:val="both"/>
        <w:rPr>
          <w:rFonts w:ascii="Garamond" w:hAnsi="Garamond"/>
        </w:rPr>
      </w:pPr>
      <w:r w:rsidRPr="00F90A54">
        <w:rPr>
          <w:rFonts w:ascii="Garamond" w:hAnsi="Garamond"/>
        </w:rPr>
        <w:t xml:space="preserve">As amended in 1966, Rule 24 </w:t>
      </w:r>
      <w:r w:rsidR="00C847DA" w:rsidRPr="00F90A54">
        <w:rPr>
          <w:rFonts w:ascii="Garamond" w:hAnsi="Garamond"/>
        </w:rPr>
        <w:t xml:space="preserve">serves three goals. It </w:t>
      </w:r>
      <w:r w:rsidRPr="00F90A54">
        <w:rPr>
          <w:rFonts w:ascii="Garamond" w:hAnsi="Garamond"/>
        </w:rPr>
        <w:t>is meant to secure a meaningful opportunity for affected nonparties to participate</w:t>
      </w:r>
      <w:r w:rsidR="00C847DA" w:rsidRPr="00F90A54">
        <w:rPr>
          <w:rFonts w:ascii="Garamond" w:hAnsi="Garamond"/>
        </w:rPr>
        <w:t xml:space="preserve"> in cases affecting their interests, </w:t>
      </w:r>
      <w:r w:rsidR="00E14CAA" w:rsidRPr="00F90A54">
        <w:rPr>
          <w:rFonts w:ascii="Garamond" w:hAnsi="Garamond"/>
        </w:rPr>
        <w:t xml:space="preserve">to </w:t>
      </w:r>
      <w:r w:rsidR="00C847DA" w:rsidRPr="00F90A54">
        <w:rPr>
          <w:rFonts w:ascii="Garamond" w:hAnsi="Garamond"/>
        </w:rPr>
        <w:t xml:space="preserve">enhance judicial efficiency, and </w:t>
      </w:r>
      <w:r w:rsidR="00E14CAA" w:rsidRPr="00F90A54">
        <w:rPr>
          <w:rFonts w:ascii="Garamond" w:hAnsi="Garamond"/>
        </w:rPr>
        <w:t xml:space="preserve">to </w:t>
      </w:r>
      <w:r w:rsidR="00C847DA" w:rsidRPr="00F90A54">
        <w:rPr>
          <w:rFonts w:ascii="Garamond" w:hAnsi="Garamond"/>
        </w:rPr>
        <w:t>safeguard some measure of party control</w:t>
      </w:r>
      <w:r w:rsidRPr="00F90A54">
        <w:rPr>
          <w:rFonts w:ascii="Garamond" w:hAnsi="Garamond"/>
        </w:rPr>
        <w:t>.</w:t>
      </w:r>
      <w:r w:rsidRPr="00F90A54">
        <w:rPr>
          <w:rStyle w:val="FootnoteReference"/>
          <w:rFonts w:ascii="Garamond" w:hAnsi="Garamond"/>
        </w:rPr>
        <w:footnoteReference w:id="23"/>
      </w:r>
      <w:r w:rsidRPr="00F90A54">
        <w:rPr>
          <w:rFonts w:ascii="Garamond" w:hAnsi="Garamond"/>
        </w:rPr>
        <w:t xml:space="preserve"> This article concludes that intervention practice in nationwide-injunction cases does little to promote those values. Whether nonparties </w:t>
      </w:r>
      <w:r w:rsidR="00C847DA" w:rsidRPr="00F90A54">
        <w:rPr>
          <w:rFonts w:ascii="Garamond" w:hAnsi="Garamond"/>
        </w:rPr>
        <w:t>are</w:t>
      </w:r>
      <w:r w:rsidRPr="00F90A54">
        <w:rPr>
          <w:rFonts w:ascii="Garamond" w:hAnsi="Garamond"/>
        </w:rPr>
        <w:t xml:space="preserve"> allowed to intervene often </w:t>
      </w:r>
      <w:r w:rsidR="00C847DA" w:rsidRPr="00F90A54">
        <w:rPr>
          <w:rFonts w:ascii="Garamond" w:hAnsi="Garamond"/>
        </w:rPr>
        <w:t>comes</w:t>
      </w:r>
      <w:r w:rsidRPr="00F90A54">
        <w:rPr>
          <w:rFonts w:ascii="Garamond" w:hAnsi="Garamond"/>
        </w:rPr>
        <w:t xml:space="preserve"> down not to the reasons they assert, but to how the court cho</w:t>
      </w:r>
      <w:r w:rsidR="00C847DA" w:rsidRPr="00F90A54">
        <w:rPr>
          <w:rFonts w:ascii="Garamond" w:hAnsi="Garamond"/>
        </w:rPr>
        <w:t>o</w:t>
      </w:r>
      <w:r w:rsidRPr="00F90A54">
        <w:rPr>
          <w:rFonts w:ascii="Garamond" w:hAnsi="Garamond"/>
        </w:rPr>
        <w:t>se</w:t>
      </w:r>
      <w:r w:rsidR="00C847DA" w:rsidRPr="00F90A54">
        <w:rPr>
          <w:rFonts w:ascii="Garamond" w:hAnsi="Garamond"/>
        </w:rPr>
        <w:t>s</w:t>
      </w:r>
      <w:r w:rsidRPr="00F90A54">
        <w:rPr>
          <w:rFonts w:ascii="Garamond" w:hAnsi="Garamond"/>
        </w:rPr>
        <w:t xml:space="preserve"> to exercise its discretion. And there are few doctrinal guideposts to cabin that discretion or provide for more constrained review on appeal. Courts have interpreted Rule 24 in inconsistent and contradictory ways, even within circuits, so it is often unclear what rule or exception applies in each case. This confusion opens the door to problematic judicial decision making—or the perception of it—guided more by </w:t>
      </w:r>
      <w:r w:rsidR="00C847DA" w:rsidRPr="00F90A54">
        <w:rPr>
          <w:rFonts w:ascii="Garamond" w:hAnsi="Garamond"/>
        </w:rPr>
        <w:t xml:space="preserve">political or ideological </w:t>
      </w:r>
      <w:r w:rsidRPr="00F90A54">
        <w:rPr>
          <w:rFonts w:ascii="Garamond" w:hAnsi="Garamond"/>
        </w:rPr>
        <w:t xml:space="preserve">preferences than the rule of law. </w:t>
      </w:r>
    </w:p>
    <w:p w14:paraId="60779EB7" w14:textId="60397939" w:rsidR="000F16BC" w:rsidRPr="00F90A54" w:rsidRDefault="000F16BC" w:rsidP="00FB3CD8">
      <w:pPr>
        <w:ind w:firstLine="360"/>
        <w:jc w:val="both"/>
        <w:rPr>
          <w:rFonts w:ascii="Garamond" w:hAnsi="Garamond"/>
        </w:rPr>
      </w:pPr>
      <w:r w:rsidRPr="00F90A54">
        <w:rPr>
          <w:rFonts w:ascii="Garamond" w:hAnsi="Garamond"/>
        </w:rPr>
        <w:t xml:space="preserve">Therefore Rule 24, as applied, conflicts </w:t>
      </w:r>
      <w:r w:rsidR="00BE1756" w:rsidRPr="00F90A54">
        <w:rPr>
          <w:rFonts w:ascii="Garamond" w:hAnsi="Garamond"/>
        </w:rPr>
        <w:t xml:space="preserve">with </w:t>
      </w:r>
      <w:r w:rsidRPr="00F90A54">
        <w:rPr>
          <w:rFonts w:ascii="Garamond" w:hAnsi="Garamond"/>
        </w:rPr>
        <w:t xml:space="preserve">those three underlying values. It </w:t>
      </w:r>
      <w:r w:rsidR="00BE1756" w:rsidRPr="00F90A54">
        <w:rPr>
          <w:rFonts w:ascii="Garamond" w:hAnsi="Garamond"/>
        </w:rPr>
        <w:t xml:space="preserve">fails to provide a meaningful opportunity for outsiders to participate, as the cost of litigating whether they can be involved may outweigh the benefits </w:t>
      </w:r>
      <w:r w:rsidR="00283FA5" w:rsidRPr="00F90A54">
        <w:rPr>
          <w:rFonts w:ascii="Garamond" w:hAnsi="Garamond"/>
        </w:rPr>
        <w:t>of</w:t>
      </w:r>
      <w:r w:rsidR="00BE1756" w:rsidRPr="00F90A54">
        <w:rPr>
          <w:rFonts w:ascii="Garamond" w:hAnsi="Garamond"/>
        </w:rPr>
        <w:t xml:space="preserve"> participating.</w:t>
      </w:r>
      <w:r w:rsidR="00BE1756" w:rsidRPr="00F90A54">
        <w:rPr>
          <w:rStyle w:val="FootnoteReference"/>
          <w:rFonts w:ascii="Garamond" w:hAnsi="Garamond"/>
        </w:rPr>
        <w:footnoteReference w:id="24"/>
      </w:r>
      <w:r w:rsidR="00BE1756" w:rsidRPr="00F90A54">
        <w:rPr>
          <w:rFonts w:ascii="Garamond" w:hAnsi="Garamond"/>
        </w:rPr>
        <w:t xml:space="preserve"> It </w:t>
      </w:r>
      <w:r w:rsidR="00BE1756" w:rsidRPr="00F90A54">
        <w:rPr>
          <w:rFonts w:ascii="Garamond" w:hAnsi="Garamond"/>
        </w:rPr>
        <w:lastRenderedPageBreak/>
        <w:t xml:space="preserve">undermines </w:t>
      </w:r>
      <w:r w:rsidRPr="00F90A54">
        <w:rPr>
          <w:rFonts w:ascii="Garamond" w:hAnsi="Garamond"/>
        </w:rPr>
        <w:t xml:space="preserve">judicial efficiency, as parties spend untold resources contesting intervention. </w:t>
      </w:r>
      <w:r w:rsidR="00BE1756" w:rsidRPr="00F90A54">
        <w:rPr>
          <w:rFonts w:ascii="Garamond" w:hAnsi="Garamond"/>
        </w:rPr>
        <w:t>And i</w:t>
      </w:r>
      <w:r w:rsidRPr="00F90A54">
        <w:rPr>
          <w:rFonts w:ascii="Garamond" w:hAnsi="Garamond"/>
        </w:rPr>
        <w:t xml:space="preserve">t does </w:t>
      </w:r>
      <w:r w:rsidR="00BE1756" w:rsidRPr="00F90A54">
        <w:rPr>
          <w:rFonts w:ascii="Garamond" w:hAnsi="Garamond"/>
        </w:rPr>
        <w:t xml:space="preserve">little to </w:t>
      </w:r>
      <w:r w:rsidRPr="00F90A54">
        <w:rPr>
          <w:rFonts w:ascii="Garamond" w:hAnsi="Garamond"/>
        </w:rPr>
        <w:t>safeguard party control, especially when intervenors are allowed to obstruct a party’s preferred pathway to resolving the case based on intervention factors the party cannot predict.</w:t>
      </w:r>
    </w:p>
    <w:p w14:paraId="3D676004" w14:textId="13B4837F" w:rsidR="0033184F" w:rsidRPr="00F90A54" w:rsidRDefault="00F8340A" w:rsidP="00FB3CD8">
      <w:pPr>
        <w:ind w:firstLine="360"/>
        <w:jc w:val="both"/>
        <w:rPr>
          <w:rFonts w:ascii="Garamond" w:hAnsi="Garamond"/>
        </w:rPr>
      </w:pPr>
      <w:r w:rsidRPr="00F90A54">
        <w:rPr>
          <w:rFonts w:ascii="Garamond" w:hAnsi="Garamond"/>
        </w:rPr>
        <w:t xml:space="preserve">Not only does Rule 24 not promote </w:t>
      </w:r>
      <w:r w:rsidR="00FF25CE" w:rsidRPr="00F90A54">
        <w:rPr>
          <w:rFonts w:ascii="Garamond" w:hAnsi="Garamond"/>
        </w:rPr>
        <w:t xml:space="preserve">these values, but its application in nationwide-injunction suits raises additional normative concerns. </w:t>
      </w:r>
      <w:r w:rsidR="0000045D" w:rsidRPr="00F90A54">
        <w:rPr>
          <w:rFonts w:ascii="Garamond" w:hAnsi="Garamond"/>
        </w:rPr>
        <w:t>First, the discretion to grant intervention gives courts control over whether the case will proceed—a facet of party control that is usually not within a court’s “managerial role”</w:t>
      </w:r>
      <w:r w:rsidR="0033184F" w:rsidRPr="00F90A54">
        <w:rPr>
          <w:rFonts w:ascii="Garamond" w:hAnsi="Garamond"/>
        </w:rPr>
        <w:t xml:space="preserve"> to set aside.</w:t>
      </w:r>
      <w:r w:rsidR="0000045D" w:rsidRPr="00F90A54">
        <w:rPr>
          <w:rStyle w:val="FootnoteReference"/>
          <w:rFonts w:ascii="Garamond" w:hAnsi="Garamond"/>
        </w:rPr>
        <w:footnoteReference w:id="25"/>
      </w:r>
      <w:r w:rsidR="006C4314" w:rsidRPr="00F90A54">
        <w:rPr>
          <w:rFonts w:ascii="Garamond" w:hAnsi="Garamond"/>
        </w:rPr>
        <w:t xml:space="preserve"> As there are few guidelines that control judicial discretion over intervention, that decision prompts questions about whether the court is seeking to influence the strategic decisions in the case based on its own political leanings. </w:t>
      </w:r>
      <w:r w:rsidR="00AF6057" w:rsidRPr="00F90A54">
        <w:rPr>
          <w:rFonts w:ascii="Garamond" w:hAnsi="Garamond"/>
        </w:rPr>
        <w:t>Th</w:t>
      </w:r>
      <w:r w:rsidR="006C4314" w:rsidRPr="00F90A54">
        <w:rPr>
          <w:rFonts w:ascii="Garamond" w:hAnsi="Garamond"/>
        </w:rPr>
        <w:t>o</w:t>
      </w:r>
      <w:r w:rsidR="00AF6057" w:rsidRPr="00F90A54">
        <w:rPr>
          <w:rFonts w:ascii="Garamond" w:hAnsi="Garamond"/>
        </w:rPr>
        <w:t>se questions</w:t>
      </w:r>
      <w:r w:rsidR="0033184F" w:rsidRPr="00F90A54">
        <w:rPr>
          <w:rFonts w:ascii="Garamond" w:hAnsi="Garamond"/>
        </w:rPr>
        <w:t>, in turn, undermine public confidence in the court’s decision on the merits.</w:t>
      </w:r>
    </w:p>
    <w:p w14:paraId="4B587B61" w14:textId="7EA3C562" w:rsidR="002B7CBD" w:rsidRPr="00F90A54" w:rsidRDefault="0033184F" w:rsidP="00FB3CD8">
      <w:pPr>
        <w:ind w:firstLine="360"/>
        <w:jc w:val="both"/>
        <w:rPr>
          <w:rFonts w:ascii="Garamond" w:hAnsi="Garamond"/>
        </w:rPr>
      </w:pPr>
      <w:r w:rsidRPr="00F90A54">
        <w:rPr>
          <w:rFonts w:ascii="Garamond" w:hAnsi="Garamond"/>
        </w:rPr>
        <w:t xml:space="preserve">Second, </w:t>
      </w:r>
      <w:r w:rsidR="002B7CBD" w:rsidRPr="00F90A54">
        <w:rPr>
          <w:rFonts w:ascii="Garamond" w:hAnsi="Garamond"/>
        </w:rPr>
        <w:t>intervention in nationwide-injunction cases expands judicial involvement in politically contentious cases. Intervenors can keep high-stakes ideological litigation alive even after government officials decide to withdraw, drop their appeal, or settle their dispute</w:t>
      </w:r>
      <w:r w:rsidR="001C539D" w:rsidRPr="00F90A54">
        <w:rPr>
          <w:rFonts w:ascii="Garamond" w:hAnsi="Garamond"/>
        </w:rPr>
        <w:t>—even if the</w:t>
      </w:r>
      <w:r w:rsidR="00B25B67" w:rsidRPr="00F90A54">
        <w:rPr>
          <w:rFonts w:ascii="Garamond" w:hAnsi="Garamond"/>
        </w:rPr>
        <w:t xml:space="preserve"> intervenors</w:t>
      </w:r>
      <w:r w:rsidR="001C539D" w:rsidRPr="00F90A54">
        <w:rPr>
          <w:rFonts w:ascii="Garamond" w:hAnsi="Garamond"/>
        </w:rPr>
        <w:t xml:space="preserve"> themselves do not have standing</w:t>
      </w:r>
      <w:r w:rsidR="002B7CBD" w:rsidRPr="00F90A54">
        <w:rPr>
          <w:rFonts w:ascii="Garamond" w:hAnsi="Garamond"/>
        </w:rPr>
        <w:t>.</w:t>
      </w:r>
      <w:r w:rsidR="001C539D" w:rsidRPr="00F90A54">
        <w:rPr>
          <w:rStyle w:val="FootnoteReference"/>
          <w:rFonts w:ascii="Garamond" w:hAnsi="Garamond"/>
        </w:rPr>
        <w:footnoteReference w:id="26"/>
      </w:r>
      <w:r w:rsidR="004A4EC8" w:rsidRPr="00F90A54">
        <w:rPr>
          <w:rFonts w:ascii="Garamond" w:hAnsi="Garamond"/>
        </w:rPr>
        <w:t xml:space="preserve"> </w:t>
      </w:r>
      <w:r w:rsidR="002B7CBD" w:rsidRPr="00F90A54">
        <w:rPr>
          <w:rFonts w:ascii="Garamond" w:hAnsi="Garamond"/>
        </w:rPr>
        <w:t xml:space="preserve">And intervenors can help political actors who potentially lack a cognizable injury to continue pursuing </w:t>
      </w:r>
      <w:r w:rsidR="00AC29AB" w:rsidRPr="00F90A54">
        <w:rPr>
          <w:rFonts w:ascii="Garamond" w:hAnsi="Garamond"/>
        </w:rPr>
        <w:t>ideological</w:t>
      </w:r>
      <w:r w:rsidR="007E3B5D" w:rsidRPr="00F90A54">
        <w:rPr>
          <w:rFonts w:ascii="Garamond" w:hAnsi="Garamond"/>
        </w:rPr>
        <w:t xml:space="preserve"> </w:t>
      </w:r>
      <w:r w:rsidR="002B7CBD" w:rsidRPr="00F90A54">
        <w:rPr>
          <w:rFonts w:ascii="Garamond" w:hAnsi="Garamond"/>
        </w:rPr>
        <w:t>lawsuits</w:t>
      </w:r>
      <w:r w:rsidR="007E3B5D" w:rsidRPr="00F90A54">
        <w:rPr>
          <w:rFonts w:ascii="Garamond" w:hAnsi="Garamond"/>
        </w:rPr>
        <w:t xml:space="preserve"> by providing the one</w:t>
      </w:r>
      <w:r w:rsidR="00AC29AB" w:rsidRPr="00F90A54">
        <w:rPr>
          <w:rFonts w:ascii="Garamond" w:hAnsi="Garamond"/>
        </w:rPr>
        <w:t xml:space="preserve"> </w:t>
      </w:r>
      <w:r w:rsidR="007E3B5D" w:rsidRPr="00F90A54">
        <w:rPr>
          <w:rFonts w:ascii="Garamond" w:hAnsi="Garamond"/>
        </w:rPr>
        <w:t xml:space="preserve">good plaintiff necessary for standing. </w:t>
      </w:r>
      <w:r w:rsidR="00213EE9" w:rsidRPr="00F90A54">
        <w:rPr>
          <w:rFonts w:ascii="Garamond" w:hAnsi="Garamond"/>
        </w:rPr>
        <w:t xml:space="preserve">Intervention thus increases the chances that contentious, high-profile, politically salient questions about public policy will be resolved by the judiciary rather than the democratic branches. </w:t>
      </w:r>
      <w:r w:rsidR="00A865AA" w:rsidRPr="00F90A54">
        <w:rPr>
          <w:rFonts w:ascii="Garamond" w:hAnsi="Garamond"/>
        </w:rPr>
        <w:t xml:space="preserve">This </w:t>
      </w:r>
      <w:r w:rsidR="00003FDF" w:rsidRPr="00F90A54">
        <w:rPr>
          <w:rFonts w:ascii="Garamond" w:hAnsi="Garamond"/>
        </w:rPr>
        <w:t xml:space="preserve">role </w:t>
      </w:r>
      <w:r w:rsidR="00A865AA" w:rsidRPr="00F90A54">
        <w:rPr>
          <w:rFonts w:ascii="Garamond" w:hAnsi="Garamond"/>
        </w:rPr>
        <w:t>frustrates the “passive virtues” courts use to stay out of the political fray.</w:t>
      </w:r>
      <w:r w:rsidR="00213EE9" w:rsidRPr="00F90A54">
        <w:rPr>
          <w:rStyle w:val="FootnoteReference"/>
          <w:rFonts w:ascii="Garamond" w:hAnsi="Garamond"/>
        </w:rPr>
        <w:footnoteReference w:id="27"/>
      </w:r>
      <w:r w:rsidR="00A865AA" w:rsidRPr="00F90A54">
        <w:rPr>
          <w:rFonts w:ascii="Garamond" w:hAnsi="Garamond"/>
        </w:rPr>
        <w:t xml:space="preserve"> </w:t>
      </w:r>
    </w:p>
    <w:p w14:paraId="08E5C449" w14:textId="73057F40" w:rsidR="00124114" w:rsidRPr="00F90A54" w:rsidRDefault="00634E07" w:rsidP="00FB3CD8">
      <w:pPr>
        <w:ind w:firstLine="360"/>
        <w:jc w:val="both"/>
        <w:rPr>
          <w:rFonts w:ascii="Garamond" w:hAnsi="Garamond"/>
        </w:rPr>
      </w:pPr>
      <w:r w:rsidRPr="00F90A54">
        <w:rPr>
          <w:rFonts w:ascii="Garamond" w:hAnsi="Garamond"/>
        </w:rPr>
        <w:t xml:space="preserve">One answer to this problem is to see Rule 24’s dysfunction in nationwide-injunction cases as a sign that we should be concerned with the remedy itself. Perhaps when the federal rules break down, they signal—like a canary in a coal mine—that there is something else amiss. </w:t>
      </w:r>
      <w:r w:rsidR="0077001C" w:rsidRPr="00F90A54">
        <w:rPr>
          <w:rFonts w:ascii="Garamond" w:hAnsi="Garamond"/>
        </w:rPr>
        <w:t xml:space="preserve">But the federal rules were always designed to adapt to changing </w:t>
      </w:r>
      <w:r w:rsidR="00124114" w:rsidRPr="00F90A54">
        <w:rPr>
          <w:rFonts w:ascii="Garamond" w:hAnsi="Garamond"/>
        </w:rPr>
        <w:t>trends in litigation</w:t>
      </w:r>
      <w:r w:rsidR="0077001C" w:rsidRPr="00F90A54">
        <w:rPr>
          <w:rFonts w:ascii="Garamond" w:hAnsi="Garamond"/>
        </w:rPr>
        <w:t>.</w:t>
      </w:r>
      <w:r w:rsidR="00141822" w:rsidRPr="00F90A54">
        <w:rPr>
          <w:rStyle w:val="FootnoteReference"/>
          <w:rFonts w:ascii="Garamond" w:hAnsi="Garamond"/>
        </w:rPr>
        <w:footnoteReference w:id="28"/>
      </w:r>
      <w:r w:rsidR="0077001C" w:rsidRPr="00F90A54">
        <w:rPr>
          <w:rFonts w:ascii="Garamond" w:hAnsi="Garamond"/>
        </w:rPr>
        <w:t xml:space="preserve"> The harms examined here are likely the result of more developments than just the </w:t>
      </w:r>
      <w:r w:rsidR="00783E33" w:rsidRPr="00F90A54">
        <w:rPr>
          <w:rFonts w:ascii="Garamond" w:hAnsi="Garamond"/>
        </w:rPr>
        <w:t xml:space="preserve">expanded use of </w:t>
      </w:r>
      <w:r w:rsidR="00DF52A1" w:rsidRPr="00F90A54">
        <w:rPr>
          <w:rFonts w:ascii="Garamond" w:hAnsi="Garamond"/>
        </w:rPr>
        <w:t>nationwide injunction</w:t>
      </w:r>
      <w:r w:rsidR="00BD54AE" w:rsidRPr="00F90A54">
        <w:rPr>
          <w:rFonts w:ascii="Garamond" w:hAnsi="Garamond"/>
        </w:rPr>
        <w:t>s</w:t>
      </w:r>
      <w:r w:rsidR="0058382B">
        <w:rPr>
          <w:rFonts w:ascii="Garamond" w:hAnsi="Garamond"/>
        </w:rPr>
        <w:t>.</w:t>
      </w:r>
      <w:r w:rsidR="00DF1387" w:rsidRPr="00F90A54">
        <w:rPr>
          <w:rStyle w:val="FootnoteReference"/>
          <w:rFonts w:ascii="Garamond" w:hAnsi="Garamond"/>
        </w:rPr>
        <w:footnoteReference w:id="29"/>
      </w:r>
      <w:r w:rsidR="00DF52A1" w:rsidRPr="00F90A54">
        <w:rPr>
          <w:rFonts w:ascii="Garamond" w:hAnsi="Garamond"/>
        </w:rPr>
        <w:t xml:space="preserve"> </w:t>
      </w:r>
      <w:r w:rsidR="0077001C" w:rsidRPr="00F90A54">
        <w:rPr>
          <w:rFonts w:ascii="Garamond" w:hAnsi="Garamond"/>
        </w:rPr>
        <w:t xml:space="preserve">Instead of raising alarm about the propriety </w:t>
      </w:r>
      <w:r w:rsidR="00BD54AE" w:rsidRPr="00F90A54">
        <w:rPr>
          <w:rFonts w:ascii="Garamond" w:hAnsi="Garamond"/>
        </w:rPr>
        <w:t xml:space="preserve">(or constitutionality) </w:t>
      </w:r>
      <w:r w:rsidR="0077001C" w:rsidRPr="00F90A54">
        <w:rPr>
          <w:rFonts w:ascii="Garamond" w:hAnsi="Garamond"/>
        </w:rPr>
        <w:t xml:space="preserve">of those </w:t>
      </w:r>
      <w:r w:rsidR="00BD54AE" w:rsidRPr="00F90A54">
        <w:rPr>
          <w:rFonts w:ascii="Garamond" w:hAnsi="Garamond"/>
        </w:rPr>
        <w:t xml:space="preserve">changes, these harms </w:t>
      </w:r>
      <w:r w:rsidR="00BD54AE" w:rsidRPr="00F90A54">
        <w:rPr>
          <w:rFonts w:ascii="Garamond" w:hAnsi="Garamond"/>
        </w:rPr>
        <w:lastRenderedPageBreak/>
        <w:t xml:space="preserve">indicate that </w:t>
      </w:r>
      <w:r w:rsidR="00124114" w:rsidRPr="00F90A54">
        <w:rPr>
          <w:rFonts w:ascii="Garamond" w:hAnsi="Garamond"/>
        </w:rPr>
        <w:t xml:space="preserve">our procedural design should consciously consider how the federal rules interact with these emerging features. When the federal rules can be amended to resolve </w:t>
      </w:r>
      <w:r w:rsidR="00DD4147" w:rsidRPr="00F90A54">
        <w:rPr>
          <w:rFonts w:ascii="Garamond" w:hAnsi="Garamond"/>
        </w:rPr>
        <w:t>disfunction</w:t>
      </w:r>
      <w:r w:rsidR="00124114" w:rsidRPr="00F90A54">
        <w:rPr>
          <w:rFonts w:ascii="Garamond" w:hAnsi="Garamond"/>
        </w:rPr>
        <w:t xml:space="preserve">, they should be. </w:t>
      </w:r>
    </w:p>
    <w:p w14:paraId="3FD01833" w14:textId="6C2D2C51" w:rsidR="007069AA" w:rsidRPr="00F90A54" w:rsidRDefault="009C2B62" w:rsidP="00FB3CD8">
      <w:pPr>
        <w:ind w:firstLine="360"/>
        <w:jc w:val="both"/>
        <w:rPr>
          <w:rFonts w:ascii="Garamond" w:hAnsi="Garamond"/>
        </w:rPr>
      </w:pPr>
      <w:r w:rsidRPr="00F90A54">
        <w:rPr>
          <w:rFonts w:ascii="Garamond" w:hAnsi="Garamond"/>
        </w:rPr>
        <w:t xml:space="preserve">To that end, this article makes </w:t>
      </w:r>
      <w:r w:rsidR="005D204D">
        <w:rPr>
          <w:rFonts w:ascii="Garamond" w:hAnsi="Garamond"/>
        </w:rPr>
        <w:t>two</w:t>
      </w:r>
      <w:r w:rsidRPr="00F90A54">
        <w:rPr>
          <w:rFonts w:ascii="Garamond" w:hAnsi="Garamond"/>
        </w:rPr>
        <w:t xml:space="preserve"> proposal</w:t>
      </w:r>
      <w:r w:rsidR="005D204D">
        <w:rPr>
          <w:rFonts w:ascii="Garamond" w:hAnsi="Garamond"/>
        </w:rPr>
        <w:t>s</w:t>
      </w:r>
      <w:r w:rsidRPr="00F90A54">
        <w:rPr>
          <w:rFonts w:ascii="Garamond" w:hAnsi="Garamond"/>
        </w:rPr>
        <w:t xml:space="preserve"> to </w:t>
      </w:r>
      <w:r w:rsidR="005D204D">
        <w:rPr>
          <w:rFonts w:ascii="Garamond" w:hAnsi="Garamond"/>
        </w:rPr>
        <w:t>address</w:t>
      </w:r>
      <w:r w:rsidR="00BD54AE" w:rsidRPr="00F90A54">
        <w:rPr>
          <w:rFonts w:ascii="Garamond" w:hAnsi="Garamond"/>
        </w:rPr>
        <w:t xml:space="preserve"> </w:t>
      </w:r>
      <w:r w:rsidRPr="00F90A54">
        <w:rPr>
          <w:rFonts w:ascii="Garamond" w:hAnsi="Garamond"/>
        </w:rPr>
        <w:t xml:space="preserve">the harms caused by intervention in nationwide-injunction cases. </w:t>
      </w:r>
      <w:r w:rsidR="003548FA" w:rsidRPr="00F90A54">
        <w:rPr>
          <w:rFonts w:ascii="Garamond" w:hAnsi="Garamond"/>
        </w:rPr>
        <w:t>First, courts should reject intervenors who</w:t>
      </w:r>
      <w:r w:rsidR="005D204D">
        <w:rPr>
          <w:rFonts w:ascii="Garamond" w:hAnsi="Garamond"/>
        </w:rPr>
        <w:t xml:space="preserve">se only basis for intervening is to </w:t>
      </w:r>
      <w:r w:rsidR="003548FA" w:rsidRPr="00F90A54">
        <w:rPr>
          <w:rFonts w:ascii="Garamond" w:hAnsi="Garamond"/>
        </w:rPr>
        <w:t xml:space="preserve">defend federal policies when the government has made a strategic decision to end the litigation. This is a simple yet effective fix for </w:t>
      </w:r>
      <w:r w:rsidR="00BD54AE" w:rsidRPr="00F90A54">
        <w:rPr>
          <w:rFonts w:ascii="Garamond" w:hAnsi="Garamond"/>
        </w:rPr>
        <w:t xml:space="preserve">intervention’s </w:t>
      </w:r>
      <w:r w:rsidR="003548FA" w:rsidRPr="00F90A54">
        <w:rPr>
          <w:rFonts w:ascii="Garamond" w:hAnsi="Garamond"/>
        </w:rPr>
        <w:t>core normative problems</w:t>
      </w:r>
      <w:r w:rsidR="00BD54AE" w:rsidRPr="00F90A54">
        <w:rPr>
          <w:rFonts w:ascii="Garamond" w:hAnsi="Garamond"/>
        </w:rPr>
        <w:t xml:space="preserve"> in this context</w:t>
      </w:r>
      <w:r w:rsidR="003548FA" w:rsidRPr="00F90A54">
        <w:rPr>
          <w:rFonts w:ascii="Garamond" w:hAnsi="Garamond"/>
        </w:rPr>
        <w:t xml:space="preserve">. </w:t>
      </w:r>
      <w:r w:rsidR="007069AA" w:rsidRPr="00F90A54">
        <w:rPr>
          <w:rFonts w:ascii="Garamond" w:hAnsi="Garamond"/>
        </w:rPr>
        <w:t>Courts can achieve this by amending their own extra-textual doctrine defining when an intervenor is “adequately represented” by an existing party</w:t>
      </w:r>
      <w:r w:rsidR="00283FA5" w:rsidRPr="00F90A54">
        <w:rPr>
          <w:rFonts w:ascii="Garamond" w:hAnsi="Garamond"/>
        </w:rPr>
        <w:t>:</w:t>
      </w:r>
      <w:r w:rsidR="007069AA" w:rsidRPr="00F90A54">
        <w:rPr>
          <w:rFonts w:ascii="Garamond" w:hAnsi="Garamond"/>
        </w:rPr>
        <w:t xml:space="preserve"> </w:t>
      </w:r>
      <w:r w:rsidR="005B66E0" w:rsidRPr="00F90A54">
        <w:rPr>
          <w:rFonts w:ascii="Garamond" w:hAnsi="Garamond"/>
        </w:rPr>
        <w:t>t</w:t>
      </w:r>
      <w:r w:rsidR="007069AA" w:rsidRPr="00F90A54">
        <w:rPr>
          <w:rFonts w:ascii="Garamond" w:hAnsi="Garamond"/>
        </w:rPr>
        <w:t xml:space="preserve">he federal government’s representation </w:t>
      </w:r>
      <w:r w:rsidR="006A7FA5" w:rsidRPr="00F90A54">
        <w:rPr>
          <w:rFonts w:ascii="Garamond" w:hAnsi="Garamond"/>
        </w:rPr>
        <w:t xml:space="preserve">of the public’s interest </w:t>
      </w:r>
      <w:r w:rsidR="007069AA" w:rsidRPr="00F90A54">
        <w:rPr>
          <w:rFonts w:ascii="Garamond" w:hAnsi="Garamond"/>
        </w:rPr>
        <w:t xml:space="preserve">is not </w:t>
      </w:r>
      <w:r w:rsidR="001B39DD" w:rsidRPr="00F90A54">
        <w:rPr>
          <w:rFonts w:ascii="Garamond" w:hAnsi="Garamond"/>
        </w:rPr>
        <w:t xml:space="preserve">rendered </w:t>
      </w:r>
      <w:r w:rsidR="007069AA" w:rsidRPr="00F90A54">
        <w:rPr>
          <w:rFonts w:ascii="Garamond" w:hAnsi="Garamond"/>
        </w:rPr>
        <w:t xml:space="preserve">inadequate when it resolves a case by settling it or declining an appeal. </w:t>
      </w:r>
      <w:r w:rsidR="00A636FF" w:rsidRPr="00F90A54">
        <w:rPr>
          <w:rFonts w:ascii="Garamond" w:hAnsi="Garamond"/>
        </w:rPr>
        <w:t xml:space="preserve">There may be exceptions for intervenors who have evidence of malfeasance or collusion. But this change properly burdens the intervenor with demonstrating circumstances beyond a party exercising routine control over the litigation. </w:t>
      </w:r>
      <w:r w:rsidR="004B2DAA" w:rsidRPr="00F90A54">
        <w:rPr>
          <w:rFonts w:ascii="Garamond" w:hAnsi="Garamond"/>
        </w:rPr>
        <w:t xml:space="preserve">This </w:t>
      </w:r>
      <w:r w:rsidR="007069AA" w:rsidRPr="00F90A54">
        <w:rPr>
          <w:rFonts w:ascii="Garamond" w:hAnsi="Garamond"/>
        </w:rPr>
        <w:t xml:space="preserve">fix </w:t>
      </w:r>
      <w:r w:rsidR="00D82AE5" w:rsidRPr="00F90A54">
        <w:rPr>
          <w:rFonts w:ascii="Garamond" w:hAnsi="Garamond"/>
        </w:rPr>
        <w:t xml:space="preserve">would </w:t>
      </w:r>
      <w:r w:rsidR="004B2DAA" w:rsidRPr="00F90A54">
        <w:rPr>
          <w:rFonts w:ascii="Garamond" w:hAnsi="Garamond"/>
        </w:rPr>
        <w:t xml:space="preserve">enhance </w:t>
      </w:r>
      <w:r w:rsidR="00A636FF" w:rsidRPr="00F90A54">
        <w:rPr>
          <w:rFonts w:ascii="Garamond" w:hAnsi="Garamond"/>
        </w:rPr>
        <w:t>two values of Rule 24—</w:t>
      </w:r>
      <w:r w:rsidR="004B2DAA" w:rsidRPr="00F90A54">
        <w:rPr>
          <w:rFonts w:ascii="Garamond" w:hAnsi="Garamond"/>
        </w:rPr>
        <w:t xml:space="preserve">judicial efficiency </w:t>
      </w:r>
      <w:r w:rsidR="00177CEE" w:rsidRPr="00F90A54">
        <w:rPr>
          <w:rFonts w:ascii="Garamond" w:hAnsi="Garamond"/>
        </w:rPr>
        <w:t xml:space="preserve">and </w:t>
      </w:r>
      <w:r w:rsidR="004B2DAA" w:rsidRPr="00F90A54">
        <w:rPr>
          <w:rFonts w:ascii="Garamond" w:hAnsi="Garamond"/>
        </w:rPr>
        <w:t>party control</w:t>
      </w:r>
      <w:r w:rsidR="00A636FF" w:rsidRPr="00F90A54">
        <w:rPr>
          <w:rFonts w:ascii="Garamond" w:hAnsi="Garamond"/>
        </w:rPr>
        <w:t>—</w:t>
      </w:r>
      <w:r w:rsidR="00FE7450" w:rsidRPr="00F90A54">
        <w:rPr>
          <w:rFonts w:ascii="Garamond" w:hAnsi="Garamond"/>
        </w:rPr>
        <w:t xml:space="preserve">while reducing the </w:t>
      </w:r>
      <w:r w:rsidR="00A636FF" w:rsidRPr="00F90A54">
        <w:rPr>
          <w:rFonts w:ascii="Garamond" w:hAnsi="Garamond"/>
        </w:rPr>
        <w:t xml:space="preserve">two normative </w:t>
      </w:r>
      <w:r w:rsidR="00991AAC" w:rsidRPr="00F90A54">
        <w:rPr>
          <w:rFonts w:ascii="Garamond" w:hAnsi="Garamond"/>
        </w:rPr>
        <w:t>institutional</w:t>
      </w:r>
      <w:r w:rsidR="00FE7450" w:rsidRPr="00F90A54">
        <w:rPr>
          <w:rFonts w:ascii="Garamond" w:hAnsi="Garamond"/>
        </w:rPr>
        <w:t xml:space="preserve"> costs of discretion </w:t>
      </w:r>
      <w:r w:rsidR="00AB59A2" w:rsidRPr="00F90A54">
        <w:rPr>
          <w:rFonts w:ascii="Garamond" w:hAnsi="Garamond"/>
        </w:rPr>
        <w:t xml:space="preserve">and judicial </w:t>
      </w:r>
      <w:r w:rsidR="00A636FF" w:rsidRPr="00F90A54">
        <w:rPr>
          <w:rFonts w:ascii="Garamond" w:hAnsi="Garamond"/>
        </w:rPr>
        <w:t>entanglement</w:t>
      </w:r>
      <w:r w:rsidR="00AB59A2" w:rsidRPr="00F90A54">
        <w:rPr>
          <w:rFonts w:ascii="Garamond" w:hAnsi="Garamond"/>
        </w:rPr>
        <w:t xml:space="preserve">. </w:t>
      </w:r>
    </w:p>
    <w:p w14:paraId="33647018" w14:textId="4B149DD9" w:rsidR="00442F5B" w:rsidRPr="00F90A54" w:rsidRDefault="007069AA" w:rsidP="00FB3CD8">
      <w:pPr>
        <w:ind w:firstLine="360"/>
        <w:jc w:val="both"/>
        <w:rPr>
          <w:rFonts w:ascii="Garamond" w:hAnsi="Garamond"/>
        </w:rPr>
      </w:pPr>
      <w:r w:rsidRPr="00F90A54">
        <w:rPr>
          <w:rFonts w:ascii="Garamond" w:hAnsi="Garamond"/>
        </w:rPr>
        <w:t>A</w:t>
      </w:r>
      <w:r w:rsidR="00AB59A2" w:rsidRPr="00F90A54">
        <w:rPr>
          <w:rFonts w:ascii="Garamond" w:hAnsi="Garamond"/>
        </w:rPr>
        <w:t>dmittedly</w:t>
      </w:r>
      <w:r w:rsidRPr="00F90A54">
        <w:rPr>
          <w:rFonts w:ascii="Garamond" w:hAnsi="Garamond"/>
        </w:rPr>
        <w:t>, raising the bar to show inadequate representation</w:t>
      </w:r>
      <w:r w:rsidR="00AB59A2" w:rsidRPr="00F90A54">
        <w:rPr>
          <w:rFonts w:ascii="Garamond" w:hAnsi="Garamond"/>
        </w:rPr>
        <w:t xml:space="preserve"> comes</w:t>
      </w:r>
      <w:r w:rsidR="00BF4C86" w:rsidRPr="00F90A54">
        <w:rPr>
          <w:rFonts w:ascii="Garamond" w:hAnsi="Garamond"/>
        </w:rPr>
        <w:t xml:space="preserve"> at a cost </w:t>
      </w:r>
      <w:r w:rsidRPr="00F90A54">
        <w:rPr>
          <w:rFonts w:ascii="Garamond" w:hAnsi="Garamond"/>
        </w:rPr>
        <w:t>to outsiders who may be excluded from participating. This article</w:t>
      </w:r>
      <w:r w:rsidR="005D204D">
        <w:rPr>
          <w:rFonts w:ascii="Garamond" w:hAnsi="Garamond"/>
        </w:rPr>
        <w:t>’s</w:t>
      </w:r>
      <w:r w:rsidRPr="00F90A54">
        <w:rPr>
          <w:rFonts w:ascii="Garamond" w:hAnsi="Garamond"/>
        </w:rPr>
        <w:t xml:space="preserve"> second proposal address</w:t>
      </w:r>
      <w:r w:rsidR="005D204D">
        <w:rPr>
          <w:rFonts w:ascii="Garamond" w:hAnsi="Garamond"/>
        </w:rPr>
        <w:t>es</w:t>
      </w:r>
      <w:r w:rsidRPr="00F90A54">
        <w:rPr>
          <w:rFonts w:ascii="Garamond" w:hAnsi="Garamond"/>
        </w:rPr>
        <w:t xml:space="preserve"> those participation issues. Courts </w:t>
      </w:r>
      <w:r w:rsidR="00A07B0D" w:rsidRPr="00F90A54">
        <w:rPr>
          <w:rFonts w:ascii="Garamond" w:hAnsi="Garamond"/>
        </w:rPr>
        <w:t xml:space="preserve">considering a nationwide injunction should provide an opportunity for outsiders to </w:t>
      </w:r>
      <w:r w:rsidRPr="00F90A54">
        <w:rPr>
          <w:rFonts w:ascii="Garamond" w:hAnsi="Garamond"/>
        </w:rPr>
        <w:t>voice their concerns about</w:t>
      </w:r>
      <w:r w:rsidR="00A07B0D" w:rsidRPr="00F90A54">
        <w:rPr>
          <w:rFonts w:ascii="Garamond" w:hAnsi="Garamond"/>
        </w:rPr>
        <w:t xml:space="preserve"> the </w:t>
      </w:r>
      <w:r w:rsidRPr="00F90A54">
        <w:rPr>
          <w:rFonts w:ascii="Garamond" w:hAnsi="Garamond"/>
        </w:rPr>
        <w:t xml:space="preserve">remedy’s </w:t>
      </w:r>
      <w:r w:rsidR="00A07B0D" w:rsidRPr="00F90A54">
        <w:rPr>
          <w:rFonts w:ascii="Garamond" w:hAnsi="Garamond"/>
        </w:rPr>
        <w:t xml:space="preserve">scope. </w:t>
      </w:r>
      <w:r w:rsidRPr="00F90A54">
        <w:rPr>
          <w:rFonts w:ascii="Garamond" w:hAnsi="Garamond"/>
        </w:rPr>
        <w:t>O</w:t>
      </w:r>
      <w:r w:rsidR="00A07B0D" w:rsidRPr="00F90A54">
        <w:rPr>
          <w:rFonts w:ascii="Garamond" w:hAnsi="Garamond"/>
        </w:rPr>
        <w:t xml:space="preserve">utsiders should be given a chance to argue why a court </w:t>
      </w:r>
      <w:r w:rsidR="00A411AE" w:rsidRPr="00F90A54">
        <w:rPr>
          <w:rFonts w:ascii="Garamond" w:hAnsi="Garamond"/>
        </w:rPr>
        <w:t xml:space="preserve">should </w:t>
      </w:r>
      <w:r w:rsidR="002508E2" w:rsidRPr="00F90A54">
        <w:rPr>
          <w:rFonts w:ascii="Garamond" w:hAnsi="Garamond"/>
        </w:rPr>
        <w:t xml:space="preserve">(or should not) </w:t>
      </w:r>
      <w:r w:rsidR="00A411AE" w:rsidRPr="00F90A54">
        <w:rPr>
          <w:rFonts w:ascii="Garamond" w:hAnsi="Garamond"/>
        </w:rPr>
        <w:t>issue a remedy that affects their interests</w:t>
      </w:r>
      <w:r w:rsidR="006A7FA5" w:rsidRPr="00F90A54">
        <w:rPr>
          <w:rFonts w:ascii="Garamond" w:hAnsi="Garamond"/>
        </w:rPr>
        <w:t xml:space="preserve">—especially </w:t>
      </w:r>
      <w:r w:rsidR="00A411AE" w:rsidRPr="00F90A54">
        <w:rPr>
          <w:rFonts w:ascii="Garamond" w:hAnsi="Garamond"/>
        </w:rPr>
        <w:t xml:space="preserve">when they had no right to defend those interests on the merits. </w:t>
      </w:r>
      <w:r w:rsidR="00AB5CE0" w:rsidRPr="00F90A54">
        <w:rPr>
          <w:rFonts w:ascii="Garamond" w:hAnsi="Garamond"/>
        </w:rPr>
        <w:t xml:space="preserve">This proposal does not limit judicial </w:t>
      </w:r>
      <w:r w:rsidR="002508E2" w:rsidRPr="00F90A54">
        <w:rPr>
          <w:rFonts w:ascii="Garamond" w:hAnsi="Garamond"/>
        </w:rPr>
        <w:t xml:space="preserve">discretion </w:t>
      </w:r>
      <w:r w:rsidR="00442F5B" w:rsidRPr="00F90A54">
        <w:rPr>
          <w:rFonts w:ascii="Garamond" w:hAnsi="Garamond"/>
        </w:rPr>
        <w:t xml:space="preserve">to grant a nationwide injunction, </w:t>
      </w:r>
      <w:r w:rsidR="00AB5CE0" w:rsidRPr="00F90A54">
        <w:rPr>
          <w:rFonts w:ascii="Garamond" w:hAnsi="Garamond"/>
        </w:rPr>
        <w:t xml:space="preserve">which is </w:t>
      </w:r>
      <w:r w:rsidR="005D204D">
        <w:rPr>
          <w:rFonts w:ascii="Garamond" w:hAnsi="Garamond"/>
        </w:rPr>
        <w:t>informed</w:t>
      </w:r>
      <w:r w:rsidR="00442F5B" w:rsidRPr="00F90A54">
        <w:rPr>
          <w:rFonts w:ascii="Garamond" w:hAnsi="Garamond"/>
        </w:rPr>
        <w:t xml:space="preserve"> by the traditional factors for equitable relief. But </w:t>
      </w:r>
      <w:r w:rsidR="00AB5CE0" w:rsidRPr="00F90A54">
        <w:rPr>
          <w:rFonts w:ascii="Garamond" w:hAnsi="Garamond"/>
        </w:rPr>
        <w:t xml:space="preserve">it </w:t>
      </w:r>
      <w:r w:rsidR="000A2F9E" w:rsidRPr="00F90A54">
        <w:rPr>
          <w:rFonts w:ascii="Garamond" w:hAnsi="Garamond"/>
        </w:rPr>
        <w:t>may</w:t>
      </w:r>
      <w:r w:rsidR="00053B80" w:rsidRPr="00F90A54">
        <w:rPr>
          <w:rFonts w:ascii="Garamond" w:hAnsi="Garamond"/>
        </w:rPr>
        <w:t xml:space="preserve"> </w:t>
      </w:r>
      <w:r w:rsidR="00442F5B" w:rsidRPr="00F90A54">
        <w:rPr>
          <w:rFonts w:ascii="Garamond" w:hAnsi="Garamond"/>
        </w:rPr>
        <w:t xml:space="preserve">reduce the frequency </w:t>
      </w:r>
      <w:r w:rsidR="005E6EA8">
        <w:rPr>
          <w:rFonts w:ascii="Garamond" w:hAnsi="Garamond"/>
        </w:rPr>
        <w:t xml:space="preserve">that </w:t>
      </w:r>
      <w:r w:rsidR="00093BBF" w:rsidRPr="00F90A54">
        <w:rPr>
          <w:rFonts w:ascii="Garamond" w:hAnsi="Garamond"/>
        </w:rPr>
        <w:t xml:space="preserve">courts issue </w:t>
      </w:r>
      <w:r w:rsidR="00442F5B" w:rsidRPr="00F90A54">
        <w:rPr>
          <w:rFonts w:ascii="Garamond" w:hAnsi="Garamond"/>
        </w:rPr>
        <w:t>such injunctions to cases where such relief is necessar</w:t>
      </w:r>
      <w:r w:rsidR="00053B80" w:rsidRPr="00F90A54">
        <w:rPr>
          <w:rFonts w:ascii="Garamond" w:hAnsi="Garamond"/>
        </w:rPr>
        <w:t>y</w:t>
      </w:r>
      <w:r w:rsidR="00093BBF" w:rsidRPr="00F90A54">
        <w:rPr>
          <w:rFonts w:ascii="Garamond" w:hAnsi="Garamond"/>
        </w:rPr>
        <w:t>.</w:t>
      </w:r>
      <w:r w:rsidR="00442F5B" w:rsidRPr="00F90A54">
        <w:rPr>
          <w:rFonts w:ascii="Garamond" w:hAnsi="Garamond"/>
        </w:rPr>
        <w:t xml:space="preserve"> </w:t>
      </w:r>
      <w:r w:rsidR="00093BBF" w:rsidRPr="00F90A54">
        <w:rPr>
          <w:rFonts w:ascii="Garamond" w:hAnsi="Garamond"/>
        </w:rPr>
        <w:t>O</w:t>
      </w:r>
      <w:r w:rsidR="00442F5B" w:rsidRPr="00F90A54">
        <w:rPr>
          <w:rFonts w:ascii="Garamond" w:hAnsi="Garamond"/>
        </w:rPr>
        <w:t>r</w:t>
      </w:r>
      <w:r w:rsidR="00053B80" w:rsidRPr="00F90A54">
        <w:rPr>
          <w:rFonts w:ascii="Garamond" w:hAnsi="Garamond"/>
        </w:rPr>
        <w:t xml:space="preserve">, at the very least, </w:t>
      </w:r>
      <w:r w:rsidR="00093BBF" w:rsidRPr="00F90A54">
        <w:rPr>
          <w:rFonts w:ascii="Garamond" w:hAnsi="Garamond"/>
        </w:rPr>
        <w:t xml:space="preserve">it may </w:t>
      </w:r>
      <w:r w:rsidR="005B2F30" w:rsidRPr="00F90A54">
        <w:rPr>
          <w:rFonts w:ascii="Garamond" w:hAnsi="Garamond"/>
        </w:rPr>
        <w:t>encourage</w:t>
      </w:r>
      <w:r w:rsidR="00866536" w:rsidRPr="00F90A54">
        <w:rPr>
          <w:rFonts w:ascii="Garamond" w:hAnsi="Garamond"/>
        </w:rPr>
        <w:t xml:space="preserve"> </w:t>
      </w:r>
      <w:r w:rsidR="005B2F30" w:rsidRPr="00F90A54">
        <w:rPr>
          <w:rFonts w:ascii="Garamond" w:hAnsi="Garamond"/>
        </w:rPr>
        <w:t xml:space="preserve">courts to rely on </w:t>
      </w:r>
      <w:r w:rsidR="00053B80" w:rsidRPr="00F90A54">
        <w:rPr>
          <w:rFonts w:ascii="Garamond" w:hAnsi="Garamond"/>
        </w:rPr>
        <w:t xml:space="preserve">a fuller record and </w:t>
      </w:r>
      <w:r w:rsidR="00D23672" w:rsidRPr="00F90A54">
        <w:rPr>
          <w:rFonts w:ascii="Garamond" w:hAnsi="Garamond"/>
        </w:rPr>
        <w:t xml:space="preserve">reasoned </w:t>
      </w:r>
      <w:r w:rsidR="00053B80" w:rsidRPr="00F90A54">
        <w:rPr>
          <w:rFonts w:ascii="Garamond" w:hAnsi="Garamond"/>
        </w:rPr>
        <w:t xml:space="preserve">explanation </w:t>
      </w:r>
      <w:r w:rsidR="00D23672" w:rsidRPr="00F90A54">
        <w:rPr>
          <w:rFonts w:ascii="Garamond" w:hAnsi="Garamond"/>
        </w:rPr>
        <w:t>for</w:t>
      </w:r>
      <w:r w:rsidR="00693D9C" w:rsidRPr="00F90A54">
        <w:rPr>
          <w:rFonts w:ascii="Garamond" w:hAnsi="Garamond"/>
        </w:rPr>
        <w:t xml:space="preserve"> </w:t>
      </w:r>
      <w:r w:rsidR="006C1DA6" w:rsidRPr="00F90A54">
        <w:rPr>
          <w:rFonts w:ascii="Garamond" w:hAnsi="Garamond"/>
        </w:rPr>
        <w:t>the</w:t>
      </w:r>
      <w:r w:rsidR="00693D9C" w:rsidRPr="00F90A54">
        <w:rPr>
          <w:rFonts w:ascii="Garamond" w:hAnsi="Garamond"/>
        </w:rPr>
        <w:t xml:space="preserve"> injunction’s scope</w:t>
      </w:r>
      <w:r w:rsidR="00053B80" w:rsidRPr="00F90A54">
        <w:rPr>
          <w:rFonts w:ascii="Garamond" w:hAnsi="Garamond"/>
        </w:rPr>
        <w:t>.</w:t>
      </w:r>
      <w:r w:rsidR="00AB5CE0" w:rsidRPr="00F90A54">
        <w:rPr>
          <w:rStyle w:val="FootnoteReference"/>
          <w:rFonts w:ascii="Garamond" w:hAnsi="Garamond"/>
        </w:rPr>
        <w:footnoteReference w:id="30"/>
      </w:r>
      <w:r w:rsidR="00053B80" w:rsidRPr="00F90A54">
        <w:rPr>
          <w:rFonts w:ascii="Garamond" w:hAnsi="Garamond"/>
        </w:rPr>
        <w:t xml:space="preserve"> </w:t>
      </w:r>
    </w:p>
    <w:p w14:paraId="04F66A1D" w14:textId="1A5A3D1F" w:rsidR="00F41F89" w:rsidRPr="00F90A54" w:rsidRDefault="00BA7A9E" w:rsidP="00FB3CD8">
      <w:pPr>
        <w:ind w:firstLine="360"/>
        <w:jc w:val="both"/>
        <w:rPr>
          <w:rFonts w:ascii="Garamond" w:hAnsi="Garamond"/>
        </w:rPr>
      </w:pPr>
      <w:r w:rsidRPr="00F90A54">
        <w:rPr>
          <w:rFonts w:ascii="Garamond" w:hAnsi="Garamond"/>
        </w:rPr>
        <w:t>This article proceeds in the following parts. Part I provides context for this discussion by laying out the mechanics and values of Rule 24 intervention</w:t>
      </w:r>
      <w:r w:rsidR="00E401F8" w:rsidRPr="00F90A54">
        <w:rPr>
          <w:rFonts w:ascii="Garamond" w:hAnsi="Garamond"/>
        </w:rPr>
        <w:t xml:space="preserve">, focusing on how courts have interpreted Rule 24’s requirements in contradictory and unpredictable ways. </w:t>
      </w:r>
      <w:r w:rsidR="00D23672" w:rsidRPr="00F90A54">
        <w:rPr>
          <w:rFonts w:ascii="Garamond" w:hAnsi="Garamond"/>
        </w:rPr>
        <w:t xml:space="preserve">It then discusses how that broad discretion has played out in other adjudicative contexts and analyzes the features that distinguish nationwide-injunction litigation. </w:t>
      </w:r>
      <w:r w:rsidR="00E401F8" w:rsidRPr="00F90A54">
        <w:rPr>
          <w:rFonts w:ascii="Garamond" w:hAnsi="Garamond"/>
        </w:rPr>
        <w:t xml:space="preserve">Part II </w:t>
      </w:r>
      <w:r w:rsidR="005D204D">
        <w:rPr>
          <w:rFonts w:ascii="Garamond" w:hAnsi="Garamond"/>
        </w:rPr>
        <w:t>describes an original dataset of over 500</w:t>
      </w:r>
      <w:r w:rsidR="009F505F" w:rsidRPr="00F90A54">
        <w:rPr>
          <w:rFonts w:ascii="Garamond" w:hAnsi="Garamond"/>
        </w:rPr>
        <w:t xml:space="preserve"> nationwide-injunction cases</w:t>
      </w:r>
      <w:r w:rsidR="00765236" w:rsidRPr="00F90A54">
        <w:rPr>
          <w:rFonts w:ascii="Garamond" w:hAnsi="Garamond"/>
        </w:rPr>
        <w:t>. It</w:t>
      </w:r>
      <w:r w:rsidR="00F865BC" w:rsidRPr="00F90A54">
        <w:rPr>
          <w:rFonts w:ascii="Garamond" w:hAnsi="Garamond"/>
        </w:rPr>
        <w:t xml:space="preserve"> shows that intervention is common, </w:t>
      </w:r>
      <w:r w:rsidR="005D204D">
        <w:rPr>
          <w:rFonts w:ascii="Garamond" w:hAnsi="Garamond"/>
        </w:rPr>
        <w:t>analyzes</w:t>
      </w:r>
      <w:r w:rsidR="00F865BC" w:rsidRPr="00F90A54">
        <w:rPr>
          <w:rFonts w:ascii="Garamond" w:hAnsi="Garamond"/>
        </w:rPr>
        <w:t xml:space="preserve"> the reasons outsiders seek to intervene, and demonstrates that intervention is both unpredictable and </w:t>
      </w:r>
      <w:r w:rsidR="00340C7B" w:rsidRPr="00F90A54">
        <w:rPr>
          <w:rFonts w:ascii="Garamond" w:hAnsi="Garamond"/>
        </w:rPr>
        <w:t xml:space="preserve">consequential. Part III </w:t>
      </w:r>
      <w:r w:rsidR="005D204D">
        <w:rPr>
          <w:rFonts w:ascii="Garamond" w:hAnsi="Garamond"/>
        </w:rPr>
        <w:lastRenderedPageBreak/>
        <w:t>examines how</w:t>
      </w:r>
      <w:r w:rsidR="00340C7B" w:rsidRPr="00F90A54">
        <w:rPr>
          <w:rFonts w:ascii="Garamond" w:hAnsi="Garamond"/>
        </w:rPr>
        <w:t xml:space="preserve"> this practice has had pernicious effects on the values underlying Rule 24 and the judiciary as an institution reliant on public support. </w:t>
      </w:r>
      <w:r w:rsidR="00FC3C9E" w:rsidRPr="00F90A54">
        <w:rPr>
          <w:rFonts w:ascii="Garamond" w:hAnsi="Garamond"/>
        </w:rPr>
        <w:t>Part I</w:t>
      </w:r>
      <w:r w:rsidR="00340C7B" w:rsidRPr="00F90A54">
        <w:rPr>
          <w:rFonts w:ascii="Garamond" w:hAnsi="Garamond"/>
        </w:rPr>
        <w:t>V</w:t>
      </w:r>
      <w:r w:rsidR="00FC3C9E" w:rsidRPr="00F90A54">
        <w:rPr>
          <w:rFonts w:ascii="Garamond" w:hAnsi="Garamond"/>
        </w:rPr>
        <w:t xml:space="preserve"> </w:t>
      </w:r>
      <w:r w:rsidR="00725997" w:rsidRPr="00F90A54">
        <w:rPr>
          <w:rFonts w:ascii="Garamond" w:hAnsi="Garamond"/>
        </w:rPr>
        <w:t xml:space="preserve">concludes by </w:t>
      </w:r>
      <w:r w:rsidR="00FC3C9E" w:rsidRPr="00F90A54">
        <w:rPr>
          <w:rFonts w:ascii="Garamond" w:hAnsi="Garamond"/>
        </w:rPr>
        <w:t>propos</w:t>
      </w:r>
      <w:r w:rsidR="00725997" w:rsidRPr="00F90A54">
        <w:rPr>
          <w:rFonts w:ascii="Garamond" w:hAnsi="Garamond"/>
        </w:rPr>
        <w:t>ing</w:t>
      </w:r>
      <w:r w:rsidR="00FC3C9E" w:rsidRPr="00F90A54">
        <w:rPr>
          <w:rFonts w:ascii="Garamond" w:hAnsi="Garamond"/>
        </w:rPr>
        <w:t xml:space="preserve"> two solutions for ameliorating these effects</w:t>
      </w:r>
      <w:r w:rsidR="00CC7609" w:rsidRPr="00F90A54">
        <w:rPr>
          <w:rFonts w:ascii="Garamond" w:hAnsi="Garamond"/>
        </w:rPr>
        <w:t xml:space="preserve">, recognizing that changing how Rule 24 operates in this context </w:t>
      </w:r>
      <w:r w:rsidR="00EC5F9F" w:rsidRPr="00F90A54">
        <w:rPr>
          <w:rFonts w:ascii="Garamond" w:hAnsi="Garamond"/>
        </w:rPr>
        <w:t>may influence</w:t>
      </w:r>
      <w:r w:rsidR="00765236" w:rsidRPr="00F90A54">
        <w:rPr>
          <w:rFonts w:ascii="Garamond" w:hAnsi="Garamond"/>
        </w:rPr>
        <w:t xml:space="preserve"> </w:t>
      </w:r>
      <w:r w:rsidR="00FD3FCB" w:rsidRPr="00F90A54">
        <w:rPr>
          <w:rFonts w:ascii="Garamond" w:hAnsi="Garamond"/>
        </w:rPr>
        <w:t xml:space="preserve">how and when courts are willing to issue </w:t>
      </w:r>
      <w:r w:rsidR="00EC5F9F" w:rsidRPr="00F90A54">
        <w:rPr>
          <w:rFonts w:ascii="Garamond" w:hAnsi="Garamond"/>
        </w:rPr>
        <w:t>nationwide</w:t>
      </w:r>
      <w:r w:rsidR="00FD3FCB" w:rsidRPr="00F90A54">
        <w:rPr>
          <w:rFonts w:ascii="Garamond" w:hAnsi="Garamond"/>
        </w:rPr>
        <w:t xml:space="preserve"> </w:t>
      </w:r>
      <w:r w:rsidR="00EC5F9F" w:rsidRPr="00F90A54">
        <w:rPr>
          <w:rFonts w:ascii="Garamond" w:hAnsi="Garamond"/>
        </w:rPr>
        <w:t>injunction</w:t>
      </w:r>
      <w:r w:rsidR="00FD3FCB" w:rsidRPr="00F90A54">
        <w:rPr>
          <w:rFonts w:ascii="Garamond" w:hAnsi="Garamond"/>
        </w:rPr>
        <w:t>s</w:t>
      </w:r>
      <w:r w:rsidR="00EC5F9F" w:rsidRPr="00F90A54">
        <w:rPr>
          <w:rFonts w:ascii="Garamond" w:hAnsi="Garamond"/>
        </w:rPr>
        <w:t xml:space="preserve">. </w:t>
      </w:r>
    </w:p>
    <w:p w14:paraId="452D4544" w14:textId="77777777" w:rsidR="007D4FF1" w:rsidRPr="00F90A54" w:rsidRDefault="007D4FF1" w:rsidP="007D4FF1">
      <w:pPr>
        <w:ind w:firstLine="360"/>
        <w:rPr>
          <w:rFonts w:ascii="Garamond" w:hAnsi="Garamond"/>
        </w:rPr>
      </w:pPr>
    </w:p>
    <w:p w14:paraId="64D33636" w14:textId="77777777" w:rsidR="00DE722C" w:rsidRPr="00F90A54" w:rsidRDefault="00DE722C" w:rsidP="00D9403B">
      <w:pPr>
        <w:pStyle w:val="Heading1"/>
        <w:keepNext/>
      </w:pPr>
      <w:bookmarkStart w:id="1" w:name="_Toc143336545"/>
      <w:r w:rsidRPr="00F90A54">
        <w:t>Rule 24 Intervention</w:t>
      </w:r>
      <w:bookmarkEnd w:id="1"/>
    </w:p>
    <w:p w14:paraId="15D3A7E3" w14:textId="77777777" w:rsidR="00DE722C" w:rsidRPr="00F90A54" w:rsidRDefault="00DE722C" w:rsidP="00D9403B">
      <w:pPr>
        <w:keepNext/>
        <w:ind w:left="360"/>
        <w:rPr>
          <w:rFonts w:ascii="Garamond" w:hAnsi="Garamond"/>
          <w:iCs/>
        </w:rPr>
      </w:pPr>
    </w:p>
    <w:p w14:paraId="32016700" w14:textId="1E9CDDAD" w:rsidR="00A12DA0" w:rsidRPr="00F90A54" w:rsidRDefault="00DE722C" w:rsidP="001F4A3F">
      <w:pPr>
        <w:ind w:firstLine="360"/>
        <w:jc w:val="both"/>
        <w:rPr>
          <w:rFonts w:ascii="Garamond" w:hAnsi="Garamond"/>
        </w:rPr>
      </w:pPr>
      <w:r w:rsidRPr="00F90A54">
        <w:rPr>
          <w:rFonts w:ascii="Garamond" w:hAnsi="Garamond"/>
        </w:rPr>
        <w:t>To analyze how intervention in nationwide-injunction cases is different, it is helpful to first explain how the rule typically operates.</w:t>
      </w:r>
      <w:r w:rsidR="00C9720E" w:rsidRPr="00F90A54">
        <w:rPr>
          <w:rStyle w:val="FootnoteReference"/>
          <w:rFonts w:ascii="Garamond" w:hAnsi="Garamond"/>
        </w:rPr>
        <w:footnoteReference w:id="31"/>
      </w:r>
      <w:r w:rsidRPr="00F90A54">
        <w:rPr>
          <w:rFonts w:ascii="Garamond" w:hAnsi="Garamond"/>
        </w:rPr>
        <w:t xml:space="preserve"> In short: not well. Courts have </w:t>
      </w:r>
      <w:r w:rsidR="00A12DA0" w:rsidRPr="00F90A54">
        <w:rPr>
          <w:rFonts w:ascii="Garamond" w:hAnsi="Garamond"/>
        </w:rPr>
        <w:t>yet to</w:t>
      </w:r>
      <w:r w:rsidRPr="00F90A54">
        <w:rPr>
          <w:rFonts w:ascii="Garamond" w:hAnsi="Garamond"/>
        </w:rPr>
        <w:t xml:space="preserve"> endorse a uniform standard for how outsiders can intervene under the Rule. </w:t>
      </w:r>
      <w:proofErr w:type="gramStart"/>
      <w:r w:rsidR="00A12DA0" w:rsidRPr="00F90A54">
        <w:rPr>
          <w:rFonts w:ascii="Garamond" w:hAnsi="Garamond"/>
        </w:rPr>
        <w:t>So</w:t>
      </w:r>
      <w:proofErr w:type="gramEnd"/>
      <w:r w:rsidR="00A12DA0" w:rsidRPr="00F90A54">
        <w:rPr>
          <w:rFonts w:ascii="Garamond" w:hAnsi="Garamond"/>
        </w:rPr>
        <w:t xml:space="preserve"> this avenue for outsiders to enter litigation is largely dependent on judicial discretion. </w:t>
      </w:r>
    </w:p>
    <w:p w14:paraId="7EB2A003" w14:textId="54BB884F" w:rsidR="00C0298D" w:rsidRDefault="00DE722C" w:rsidP="001F4A3F">
      <w:pPr>
        <w:ind w:firstLine="360"/>
        <w:jc w:val="both"/>
        <w:rPr>
          <w:rFonts w:ascii="Garamond" w:hAnsi="Garamond"/>
        </w:rPr>
      </w:pPr>
      <w:r w:rsidRPr="00F90A54">
        <w:rPr>
          <w:rFonts w:ascii="Garamond" w:hAnsi="Garamond"/>
        </w:rPr>
        <w:t xml:space="preserve">This Part discusses the two most common forms of intervention: as-of-right intervention under Rule 24(a)(2) and permissive intervention under Rule 24(b). Those two categories </w:t>
      </w:r>
      <w:r w:rsidR="00252446">
        <w:rPr>
          <w:rFonts w:ascii="Garamond" w:hAnsi="Garamond"/>
        </w:rPr>
        <w:t xml:space="preserve">appear to </w:t>
      </w:r>
      <w:r w:rsidRPr="00F90A54">
        <w:rPr>
          <w:rFonts w:ascii="Garamond" w:hAnsi="Garamond"/>
        </w:rPr>
        <w:t>have different requirements and purposes</w:t>
      </w:r>
      <w:r w:rsidR="00C0298D">
        <w:rPr>
          <w:rFonts w:ascii="Garamond" w:hAnsi="Garamond"/>
        </w:rPr>
        <w:t>, with one providing a right to intervene (courts “</w:t>
      </w:r>
      <w:r w:rsidR="00C0298D" w:rsidRPr="00C0298D">
        <w:rPr>
          <w:rFonts w:ascii="Garamond" w:hAnsi="Garamond"/>
          <w:i/>
          <w:iCs/>
        </w:rPr>
        <w:t>must</w:t>
      </w:r>
      <w:r w:rsidR="00C0298D">
        <w:rPr>
          <w:rFonts w:ascii="Garamond" w:hAnsi="Garamond"/>
        </w:rPr>
        <w:t xml:space="preserve"> permit”</w:t>
      </w:r>
      <w:r w:rsidR="00C0298D">
        <w:rPr>
          <w:rStyle w:val="FootnoteReference"/>
          <w:rFonts w:ascii="Garamond" w:hAnsi="Garamond"/>
        </w:rPr>
        <w:footnoteReference w:id="32"/>
      </w:r>
      <w:r w:rsidR="00C0298D">
        <w:rPr>
          <w:rFonts w:ascii="Garamond" w:hAnsi="Garamond"/>
        </w:rPr>
        <w:t xml:space="preserve"> as-of-right) and the other a discretionary avenue to participate (a court “</w:t>
      </w:r>
      <w:r w:rsidR="00C0298D" w:rsidRPr="00C0298D">
        <w:rPr>
          <w:rFonts w:ascii="Garamond" w:hAnsi="Garamond"/>
          <w:i/>
          <w:iCs/>
        </w:rPr>
        <w:t>may</w:t>
      </w:r>
      <w:r w:rsidR="00C0298D">
        <w:rPr>
          <w:rFonts w:ascii="Garamond" w:hAnsi="Garamond"/>
        </w:rPr>
        <w:t xml:space="preserve"> allow”</w:t>
      </w:r>
      <w:r w:rsidR="00C0298D">
        <w:rPr>
          <w:rStyle w:val="FootnoteReference"/>
          <w:rFonts w:ascii="Garamond" w:hAnsi="Garamond"/>
        </w:rPr>
        <w:footnoteReference w:id="33"/>
      </w:r>
      <w:r w:rsidR="00C0298D">
        <w:rPr>
          <w:rFonts w:ascii="Garamond" w:hAnsi="Garamond"/>
        </w:rPr>
        <w:t xml:space="preserve"> permissive)</w:t>
      </w:r>
      <w:r w:rsidRPr="00F90A54">
        <w:rPr>
          <w:rFonts w:ascii="Garamond" w:hAnsi="Garamond"/>
        </w:rPr>
        <w:t xml:space="preserve">. </w:t>
      </w:r>
      <w:r w:rsidR="00C0298D">
        <w:rPr>
          <w:rFonts w:ascii="Garamond" w:hAnsi="Garamond"/>
        </w:rPr>
        <w:t xml:space="preserve">But a distinction in text has not led to a difference in practice. </w:t>
      </w:r>
    </w:p>
    <w:p w14:paraId="77FF930F" w14:textId="483F7A67" w:rsidR="00DE722C" w:rsidRPr="00F90A54" w:rsidRDefault="00C0298D" w:rsidP="001F4A3F">
      <w:pPr>
        <w:ind w:firstLine="360"/>
        <w:jc w:val="both"/>
        <w:rPr>
          <w:rFonts w:ascii="Garamond" w:hAnsi="Garamond"/>
        </w:rPr>
      </w:pPr>
      <w:r>
        <w:rPr>
          <w:rFonts w:ascii="Garamond" w:hAnsi="Garamond"/>
        </w:rPr>
        <w:t xml:space="preserve"> </w:t>
      </w:r>
      <w:r w:rsidR="00DE722C" w:rsidRPr="00F90A54">
        <w:rPr>
          <w:rFonts w:ascii="Garamond" w:hAnsi="Garamond"/>
        </w:rPr>
        <w:t xml:space="preserve">Courts have interpreted Rule 24’s general terms—words like “timely,” “interest,” “practically impaired,” and “adequate”—in conflicting ways that have </w:t>
      </w:r>
      <w:r>
        <w:rPr>
          <w:rFonts w:ascii="Garamond" w:hAnsi="Garamond"/>
        </w:rPr>
        <w:t xml:space="preserve">narrowed or greatly expanded </w:t>
      </w:r>
      <w:r w:rsidR="00DE722C" w:rsidRPr="00F90A54">
        <w:rPr>
          <w:rFonts w:ascii="Garamond" w:hAnsi="Garamond"/>
        </w:rPr>
        <w:t xml:space="preserve">the scope of eligible intervenors. The result is an array of paths open to any court, in any case, that offers a road to intervention or a road to exclusion. In other words, all types of intervention are </w:t>
      </w:r>
      <w:r>
        <w:rPr>
          <w:rFonts w:ascii="Garamond" w:hAnsi="Garamond"/>
        </w:rPr>
        <w:t xml:space="preserve">now </w:t>
      </w:r>
      <w:r w:rsidR="00DE722C" w:rsidRPr="00F90A54">
        <w:rPr>
          <w:rFonts w:ascii="Garamond" w:hAnsi="Garamond"/>
        </w:rPr>
        <w:t xml:space="preserve">discretionary. </w:t>
      </w:r>
    </w:p>
    <w:p w14:paraId="6B5B3A99" w14:textId="616984BC" w:rsidR="00C0298D" w:rsidRPr="00F90A54" w:rsidRDefault="00C0298D" w:rsidP="00C0298D">
      <w:pPr>
        <w:ind w:firstLine="360"/>
        <w:jc w:val="both"/>
        <w:rPr>
          <w:rFonts w:ascii="Garamond" w:hAnsi="Garamond"/>
        </w:rPr>
      </w:pPr>
      <w:r w:rsidRPr="00F90A54">
        <w:rPr>
          <w:rFonts w:ascii="Garamond" w:hAnsi="Garamond"/>
        </w:rPr>
        <w:t>That discretion is potentially compatible with promoting the values behind Rule 24</w:t>
      </w:r>
      <w:r w:rsidR="00AD2420">
        <w:rPr>
          <w:rFonts w:ascii="Garamond" w:hAnsi="Garamond"/>
        </w:rPr>
        <w:t xml:space="preserve">, like </w:t>
      </w:r>
      <w:r w:rsidRPr="00F90A54">
        <w:rPr>
          <w:rFonts w:ascii="Garamond" w:hAnsi="Garamond"/>
        </w:rPr>
        <w:t xml:space="preserve">efficiency and fairness. </w:t>
      </w:r>
      <w:r w:rsidR="00AD2420">
        <w:rPr>
          <w:rFonts w:ascii="Garamond" w:hAnsi="Garamond"/>
        </w:rPr>
        <w:t xml:space="preserve">But how those values </w:t>
      </w:r>
      <w:r w:rsidRPr="00F90A54">
        <w:rPr>
          <w:rFonts w:ascii="Garamond" w:hAnsi="Garamond"/>
        </w:rPr>
        <w:t>have been balanced has shifted over time depending on emerging substantive and societal needs.</w:t>
      </w:r>
      <w:r w:rsidR="00AD2420">
        <w:rPr>
          <w:rFonts w:ascii="Garamond" w:hAnsi="Garamond"/>
        </w:rPr>
        <w:t xml:space="preserve"> </w:t>
      </w:r>
    </w:p>
    <w:p w14:paraId="46974DDC" w14:textId="55188C7E" w:rsidR="00DE722C" w:rsidRPr="00F90A54" w:rsidRDefault="00DE722C" w:rsidP="001F4A3F">
      <w:pPr>
        <w:ind w:firstLine="360"/>
        <w:jc w:val="both"/>
        <w:rPr>
          <w:rFonts w:ascii="Garamond" w:hAnsi="Garamond"/>
        </w:rPr>
      </w:pPr>
      <w:r w:rsidRPr="00F90A54">
        <w:rPr>
          <w:rFonts w:ascii="Garamond" w:hAnsi="Garamond"/>
        </w:rPr>
        <w:t xml:space="preserve">Section I.A discusses </w:t>
      </w:r>
      <w:r w:rsidR="00AD2420">
        <w:rPr>
          <w:rFonts w:ascii="Garamond" w:hAnsi="Garamond"/>
        </w:rPr>
        <w:t xml:space="preserve">how courts have interpreted </w:t>
      </w:r>
      <w:r w:rsidRPr="00F90A54">
        <w:rPr>
          <w:rFonts w:ascii="Garamond" w:hAnsi="Garamond"/>
        </w:rPr>
        <w:t xml:space="preserve">Rule 24. It </w:t>
      </w:r>
      <w:r w:rsidR="00AD2420">
        <w:rPr>
          <w:rFonts w:ascii="Garamond" w:hAnsi="Garamond"/>
        </w:rPr>
        <w:t xml:space="preserve">describes </w:t>
      </w:r>
      <w:r w:rsidRPr="00F90A54">
        <w:rPr>
          <w:rFonts w:ascii="Garamond" w:hAnsi="Garamond"/>
        </w:rPr>
        <w:t xml:space="preserve">the collapse of as-of-right and permissive intervention as separate categories and then </w:t>
      </w:r>
      <w:r w:rsidR="00AD2420">
        <w:rPr>
          <w:rFonts w:ascii="Garamond" w:hAnsi="Garamond"/>
        </w:rPr>
        <w:t xml:space="preserve">provides a brief overview </w:t>
      </w:r>
      <w:r w:rsidRPr="00F90A54">
        <w:rPr>
          <w:rFonts w:ascii="Garamond" w:hAnsi="Garamond"/>
        </w:rPr>
        <w:t xml:space="preserve">of the as-of-right factors to demonstrate the breadth of discretion afforded to courts under the Rule. Section I.B. identifies the values behind intervention and discusses how those values </w:t>
      </w:r>
      <w:r w:rsidR="00B2193A" w:rsidRPr="00F90A54">
        <w:rPr>
          <w:rFonts w:ascii="Garamond" w:hAnsi="Garamond"/>
        </w:rPr>
        <w:t>have played out in different contexts. Section I.C. identifies the features that distinguish nationwide-injunction litigation that may change how judicial treatment of interven</w:t>
      </w:r>
      <w:r w:rsidR="003F2D2A" w:rsidRPr="00F90A54">
        <w:rPr>
          <w:rFonts w:ascii="Garamond" w:hAnsi="Garamond"/>
        </w:rPr>
        <w:t>tion</w:t>
      </w:r>
      <w:r w:rsidR="00B2193A" w:rsidRPr="00F90A54">
        <w:rPr>
          <w:rFonts w:ascii="Garamond" w:hAnsi="Garamond"/>
        </w:rPr>
        <w:t xml:space="preserve"> disrupts the balance Rule 24 was meant to promote. </w:t>
      </w:r>
    </w:p>
    <w:p w14:paraId="3592DCF8" w14:textId="77777777" w:rsidR="00DE722C" w:rsidRPr="00F90A54" w:rsidRDefault="00DE722C" w:rsidP="00DE722C">
      <w:pPr>
        <w:ind w:firstLine="360"/>
        <w:rPr>
          <w:rFonts w:ascii="Garamond" w:hAnsi="Garamond"/>
        </w:rPr>
      </w:pPr>
    </w:p>
    <w:p w14:paraId="5E33ED15" w14:textId="77777777" w:rsidR="00DE722C" w:rsidRPr="00F90A54" w:rsidRDefault="00DE722C" w:rsidP="00D9403B">
      <w:pPr>
        <w:pStyle w:val="Heading2"/>
        <w:keepNext/>
      </w:pPr>
      <w:bookmarkStart w:id="2" w:name="_Toc143336546"/>
      <w:r w:rsidRPr="00F90A54">
        <w:lastRenderedPageBreak/>
        <w:t>The Components of Intervention</w:t>
      </w:r>
      <w:bookmarkEnd w:id="2"/>
    </w:p>
    <w:p w14:paraId="091B3A6A" w14:textId="77777777" w:rsidR="00DE722C" w:rsidRPr="00F90A54" w:rsidRDefault="00DE722C" w:rsidP="00D9403B">
      <w:pPr>
        <w:keepNext/>
        <w:ind w:firstLine="360"/>
        <w:rPr>
          <w:rFonts w:ascii="Garamond" w:hAnsi="Garamond"/>
        </w:rPr>
      </w:pPr>
    </w:p>
    <w:p w14:paraId="749CAAAE" w14:textId="45525CB7" w:rsidR="00DE722C" w:rsidRPr="00F90A54" w:rsidRDefault="002F34D8" w:rsidP="001F4A3F">
      <w:pPr>
        <w:ind w:firstLine="360"/>
        <w:jc w:val="both"/>
        <w:rPr>
          <w:rFonts w:ascii="Garamond" w:hAnsi="Garamond"/>
        </w:rPr>
      </w:pPr>
      <w:r w:rsidRPr="00F90A54">
        <w:rPr>
          <w:rFonts w:ascii="Garamond" w:hAnsi="Garamond"/>
        </w:rPr>
        <w:t xml:space="preserve">Courts have interpreted each component of </w:t>
      </w:r>
      <w:r w:rsidR="00AD2420">
        <w:rPr>
          <w:rFonts w:ascii="Garamond" w:hAnsi="Garamond"/>
        </w:rPr>
        <w:t>Rule 24’s</w:t>
      </w:r>
      <w:r w:rsidRPr="00F90A54">
        <w:rPr>
          <w:rFonts w:ascii="Garamond" w:hAnsi="Garamond"/>
        </w:rPr>
        <w:t xml:space="preserve"> test in a way that </w:t>
      </w:r>
      <w:r w:rsidR="00DE722C" w:rsidRPr="00F90A54">
        <w:rPr>
          <w:rFonts w:ascii="Garamond" w:hAnsi="Garamond"/>
        </w:rPr>
        <w:t>enhance</w:t>
      </w:r>
      <w:r w:rsidRPr="00F90A54">
        <w:rPr>
          <w:rFonts w:ascii="Garamond" w:hAnsi="Garamond"/>
        </w:rPr>
        <w:t>s</w:t>
      </w:r>
      <w:r w:rsidR="00DE722C" w:rsidRPr="00F90A54">
        <w:rPr>
          <w:rFonts w:ascii="Garamond" w:hAnsi="Garamond"/>
        </w:rPr>
        <w:t xml:space="preserve"> the</w:t>
      </w:r>
      <w:r w:rsidRPr="00F90A54">
        <w:rPr>
          <w:rFonts w:ascii="Garamond" w:hAnsi="Garamond"/>
        </w:rPr>
        <w:t>ir</w:t>
      </w:r>
      <w:r w:rsidR="00DE722C" w:rsidRPr="00F90A54">
        <w:rPr>
          <w:rFonts w:ascii="Garamond" w:hAnsi="Garamond"/>
        </w:rPr>
        <w:t xml:space="preserve"> discretion to grant or deny intervention. </w:t>
      </w:r>
      <w:r w:rsidR="0094217E" w:rsidRPr="00F90A54">
        <w:rPr>
          <w:rFonts w:ascii="Garamond" w:hAnsi="Garamond"/>
        </w:rPr>
        <w:t>This section</w:t>
      </w:r>
      <w:r w:rsidR="00DE722C" w:rsidRPr="00F90A54">
        <w:rPr>
          <w:rFonts w:ascii="Garamond" w:hAnsi="Garamond"/>
        </w:rPr>
        <w:t xml:space="preserve"> begins</w:t>
      </w:r>
      <w:r w:rsidR="00F23560">
        <w:rPr>
          <w:rFonts w:ascii="Garamond" w:hAnsi="Garamond"/>
        </w:rPr>
        <w:t xml:space="preserve"> by describing the largely illusory </w:t>
      </w:r>
      <w:r w:rsidR="00DE722C" w:rsidRPr="00F90A54">
        <w:rPr>
          <w:rFonts w:ascii="Garamond" w:hAnsi="Garamond"/>
        </w:rPr>
        <w:t>difference between permissive and as-of-right intervention. It then analyze</w:t>
      </w:r>
      <w:r w:rsidR="00476107" w:rsidRPr="00F90A54">
        <w:rPr>
          <w:rFonts w:ascii="Garamond" w:hAnsi="Garamond"/>
        </w:rPr>
        <w:t>s</w:t>
      </w:r>
      <w:r w:rsidR="00DE722C" w:rsidRPr="00F90A54">
        <w:rPr>
          <w:rFonts w:ascii="Garamond" w:hAnsi="Garamond"/>
        </w:rPr>
        <w:t xml:space="preserve"> each factor</w:t>
      </w:r>
      <w:r w:rsidR="00514C5D" w:rsidRPr="00F90A54">
        <w:rPr>
          <w:rFonts w:ascii="Garamond" w:hAnsi="Garamond"/>
        </w:rPr>
        <w:t xml:space="preserve"> for as-of-right intervention</w:t>
      </w:r>
      <w:r w:rsidR="00DE722C" w:rsidRPr="00F90A54">
        <w:rPr>
          <w:rFonts w:ascii="Garamond" w:hAnsi="Garamond"/>
        </w:rPr>
        <w:t>: (1) that the outsider “claims an interest relating to the property or transaction that is the subject of the action,” (2) that the outsider “is so situated that disposing of the action may as a practical matter impair or impede the movant’s ability to protect its interest,” and (3) that the “existing parties” do not “adequately represent that interest.”</w:t>
      </w:r>
      <w:r w:rsidR="00DE722C" w:rsidRPr="00F90A54">
        <w:rPr>
          <w:rStyle w:val="FootnoteReference"/>
          <w:rFonts w:ascii="Garamond" w:hAnsi="Garamond"/>
        </w:rPr>
        <w:footnoteReference w:id="34"/>
      </w:r>
      <w:r w:rsidR="00DE722C" w:rsidRPr="00F90A54">
        <w:rPr>
          <w:rFonts w:ascii="Garamond" w:hAnsi="Garamond"/>
        </w:rPr>
        <w:t xml:space="preserve"> </w:t>
      </w:r>
    </w:p>
    <w:p w14:paraId="5B3595E0" w14:textId="77777777" w:rsidR="00B719C5" w:rsidRPr="00F90A54" w:rsidRDefault="00B719C5" w:rsidP="001F4A3F">
      <w:pPr>
        <w:ind w:firstLine="360"/>
        <w:jc w:val="both"/>
        <w:rPr>
          <w:rFonts w:ascii="Garamond" w:hAnsi="Garamond"/>
        </w:rPr>
      </w:pPr>
    </w:p>
    <w:p w14:paraId="4FC461F2" w14:textId="204A9DBC" w:rsidR="00DE722C" w:rsidRPr="00F90A54" w:rsidRDefault="00DE722C" w:rsidP="00D9403B">
      <w:pPr>
        <w:pStyle w:val="Heading3"/>
        <w:keepNext/>
      </w:pPr>
      <w:bookmarkStart w:id="3" w:name="_Toc143336547"/>
      <w:r w:rsidRPr="00F90A54">
        <w:t xml:space="preserve">As-of-Right </w:t>
      </w:r>
      <w:r w:rsidR="00B96438" w:rsidRPr="00F90A54">
        <w:t>and</w:t>
      </w:r>
      <w:r w:rsidRPr="00F90A54">
        <w:t xml:space="preserve"> Permissive Intervention</w:t>
      </w:r>
      <w:bookmarkEnd w:id="3"/>
    </w:p>
    <w:p w14:paraId="3BEE6A90" w14:textId="77777777" w:rsidR="00DE722C" w:rsidRPr="00F90A54" w:rsidRDefault="00DE722C" w:rsidP="00D9403B">
      <w:pPr>
        <w:keepNext/>
        <w:ind w:firstLine="360"/>
        <w:rPr>
          <w:rFonts w:ascii="Garamond" w:hAnsi="Garamond"/>
        </w:rPr>
      </w:pPr>
    </w:p>
    <w:p w14:paraId="447AF47F" w14:textId="75D89391" w:rsidR="00DE722C" w:rsidRPr="00F90A54" w:rsidRDefault="00DE722C" w:rsidP="001F4A3F">
      <w:pPr>
        <w:ind w:firstLine="360"/>
        <w:jc w:val="both"/>
        <w:rPr>
          <w:rFonts w:ascii="Garamond" w:hAnsi="Garamond"/>
        </w:rPr>
      </w:pPr>
      <w:r w:rsidRPr="00F90A54">
        <w:rPr>
          <w:rFonts w:ascii="Garamond" w:hAnsi="Garamond"/>
        </w:rPr>
        <w:t>The distinction between as-of-right and permissive intervention has mostly collapsed</w:t>
      </w:r>
      <w:r w:rsidR="00631EFF" w:rsidRPr="00F90A54">
        <w:rPr>
          <w:rFonts w:ascii="Garamond" w:hAnsi="Garamond"/>
        </w:rPr>
        <w:t xml:space="preserve"> in public-law cases</w:t>
      </w:r>
      <w:r w:rsidRPr="00F90A54">
        <w:rPr>
          <w:rFonts w:ascii="Garamond" w:hAnsi="Garamond"/>
        </w:rPr>
        <w:t>.</w:t>
      </w:r>
      <w:r w:rsidRPr="00F90A54">
        <w:rPr>
          <w:rStyle w:val="FootnoteReference"/>
          <w:rFonts w:ascii="Garamond" w:hAnsi="Garamond"/>
        </w:rPr>
        <w:footnoteReference w:id="35"/>
      </w:r>
      <w:r w:rsidRPr="00F90A54">
        <w:rPr>
          <w:rFonts w:ascii="Garamond" w:hAnsi="Garamond"/>
        </w:rPr>
        <w:t xml:space="preserve"> Despite differences in how the </w:t>
      </w:r>
      <w:r w:rsidR="00522048" w:rsidRPr="00F90A54">
        <w:rPr>
          <w:rFonts w:ascii="Garamond" w:hAnsi="Garamond"/>
        </w:rPr>
        <w:t xml:space="preserve">federal rules articulate the </w:t>
      </w:r>
      <w:r w:rsidRPr="00F90A54">
        <w:rPr>
          <w:rFonts w:ascii="Garamond" w:hAnsi="Garamond"/>
        </w:rPr>
        <w:t xml:space="preserve">two tests, parties often rely on the same information to satisfy both tests and courts often treat the two </w:t>
      </w:r>
      <w:r w:rsidR="00522048" w:rsidRPr="00F90A54">
        <w:rPr>
          <w:rFonts w:ascii="Garamond" w:hAnsi="Garamond"/>
        </w:rPr>
        <w:t xml:space="preserve">tests </w:t>
      </w:r>
      <w:r w:rsidRPr="00F90A54">
        <w:rPr>
          <w:rFonts w:ascii="Garamond" w:hAnsi="Garamond"/>
        </w:rPr>
        <w:t>as having similar requirements.</w:t>
      </w:r>
      <w:r w:rsidRPr="00F90A54">
        <w:rPr>
          <w:rStyle w:val="FootnoteReference"/>
          <w:rFonts w:ascii="Garamond" w:hAnsi="Garamond"/>
        </w:rPr>
        <w:footnoteReference w:id="36"/>
      </w:r>
      <w:r w:rsidRPr="00F90A54">
        <w:rPr>
          <w:rFonts w:ascii="Garamond" w:hAnsi="Garamond"/>
        </w:rPr>
        <w:t xml:space="preserve"> Instead, the main distinctions </w:t>
      </w:r>
      <w:r w:rsidR="00F0118C" w:rsidRPr="00F90A54">
        <w:rPr>
          <w:rFonts w:ascii="Garamond" w:hAnsi="Garamond"/>
        </w:rPr>
        <w:t>are</w:t>
      </w:r>
      <w:r w:rsidRPr="00F90A54">
        <w:rPr>
          <w:rFonts w:ascii="Garamond" w:hAnsi="Garamond"/>
        </w:rPr>
        <w:t xml:space="preserve"> </w:t>
      </w:r>
      <w:r w:rsidR="00D15B39" w:rsidRPr="00F90A54">
        <w:rPr>
          <w:rFonts w:ascii="Garamond" w:hAnsi="Garamond"/>
        </w:rPr>
        <w:t>extra-</w:t>
      </w:r>
      <w:r w:rsidRPr="00F90A54">
        <w:rPr>
          <w:rFonts w:ascii="Garamond" w:hAnsi="Garamond"/>
        </w:rPr>
        <w:t>textual rights courts have read into the rule</w:t>
      </w:r>
      <w:r w:rsidR="00F23560">
        <w:rPr>
          <w:rFonts w:ascii="Garamond" w:hAnsi="Garamond"/>
        </w:rPr>
        <w:t xml:space="preserve">, like </w:t>
      </w:r>
      <w:r w:rsidR="00F0118C" w:rsidRPr="00F90A54">
        <w:rPr>
          <w:rFonts w:ascii="Garamond" w:hAnsi="Garamond"/>
        </w:rPr>
        <w:t>the timing of appellate review,</w:t>
      </w:r>
      <w:r w:rsidRPr="00F90A54">
        <w:rPr>
          <w:rFonts w:ascii="Garamond" w:hAnsi="Garamond"/>
        </w:rPr>
        <w:t xml:space="preserve"> </w:t>
      </w:r>
      <w:r w:rsidR="00F0118C" w:rsidRPr="00F90A54">
        <w:rPr>
          <w:rFonts w:ascii="Garamond" w:hAnsi="Garamond"/>
        </w:rPr>
        <w:t xml:space="preserve">the </w:t>
      </w:r>
      <w:r w:rsidRPr="00F90A54">
        <w:rPr>
          <w:rFonts w:ascii="Garamond" w:hAnsi="Garamond"/>
        </w:rPr>
        <w:t>standard of review</w:t>
      </w:r>
      <w:r w:rsidR="00F0118C" w:rsidRPr="00F90A54">
        <w:rPr>
          <w:rFonts w:ascii="Garamond" w:hAnsi="Garamond"/>
        </w:rPr>
        <w:t xml:space="preserve"> on appeal</w:t>
      </w:r>
      <w:r w:rsidRPr="00F90A54">
        <w:rPr>
          <w:rFonts w:ascii="Garamond" w:hAnsi="Garamond"/>
        </w:rPr>
        <w:t xml:space="preserve">, and the conditions </w:t>
      </w:r>
      <w:r w:rsidR="00F0118C" w:rsidRPr="00F90A54">
        <w:rPr>
          <w:rFonts w:ascii="Garamond" w:hAnsi="Garamond"/>
        </w:rPr>
        <w:t xml:space="preserve">courts can impose on an </w:t>
      </w:r>
      <w:r w:rsidRPr="00F90A54">
        <w:rPr>
          <w:rFonts w:ascii="Garamond" w:hAnsi="Garamond"/>
        </w:rPr>
        <w:t>intervenor</w:t>
      </w:r>
      <w:r w:rsidR="00F0118C" w:rsidRPr="00F90A54">
        <w:rPr>
          <w:rFonts w:ascii="Garamond" w:hAnsi="Garamond"/>
        </w:rPr>
        <w:t>’</w:t>
      </w:r>
      <w:r w:rsidRPr="00F90A54">
        <w:rPr>
          <w:rFonts w:ascii="Garamond" w:hAnsi="Garamond"/>
        </w:rPr>
        <w:t>s participat</w:t>
      </w:r>
      <w:r w:rsidR="00F0118C" w:rsidRPr="00F90A54">
        <w:rPr>
          <w:rFonts w:ascii="Garamond" w:hAnsi="Garamond"/>
        </w:rPr>
        <w:t>ion</w:t>
      </w:r>
      <w:r w:rsidRPr="00F90A54">
        <w:rPr>
          <w:rFonts w:ascii="Garamond" w:hAnsi="Garamond"/>
        </w:rPr>
        <w:t xml:space="preserve">. As this section shows, even these distinctions have begun to disappear. To the extent they still make a practical difference to the outsiders who wish to intervene, the decision </w:t>
      </w:r>
      <w:r w:rsidR="00F0118C" w:rsidRPr="00F90A54">
        <w:rPr>
          <w:rFonts w:ascii="Garamond" w:hAnsi="Garamond"/>
        </w:rPr>
        <w:t>is</w:t>
      </w:r>
      <w:r w:rsidRPr="00F90A54">
        <w:rPr>
          <w:rFonts w:ascii="Garamond" w:hAnsi="Garamond"/>
        </w:rPr>
        <w:t xml:space="preserve"> generally left to the </w:t>
      </w:r>
      <w:r w:rsidR="00F0118C" w:rsidRPr="00F90A54">
        <w:rPr>
          <w:rFonts w:ascii="Garamond" w:hAnsi="Garamond"/>
        </w:rPr>
        <w:t xml:space="preserve">district court’s </w:t>
      </w:r>
      <w:r w:rsidRPr="00F90A54">
        <w:rPr>
          <w:rFonts w:ascii="Garamond" w:hAnsi="Garamond"/>
        </w:rPr>
        <w:t xml:space="preserve">discretion. </w:t>
      </w:r>
    </w:p>
    <w:p w14:paraId="49B4E427" w14:textId="3F64A062" w:rsidR="00DE722C" w:rsidRPr="00F90A54" w:rsidRDefault="000F27D2" w:rsidP="000F27D2">
      <w:pPr>
        <w:ind w:firstLine="360"/>
        <w:jc w:val="both"/>
        <w:rPr>
          <w:rFonts w:ascii="Garamond" w:hAnsi="Garamond"/>
        </w:rPr>
      </w:pPr>
      <w:r>
        <w:rPr>
          <w:rFonts w:ascii="Garamond" w:hAnsi="Garamond"/>
        </w:rPr>
        <w:t xml:space="preserve">Historically, </w:t>
      </w:r>
      <w:r w:rsidR="006046C2">
        <w:rPr>
          <w:rFonts w:ascii="Garamond" w:hAnsi="Garamond"/>
        </w:rPr>
        <w:t>two</w:t>
      </w:r>
      <w:r>
        <w:rPr>
          <w:rFonts w:ascii="Garamond" w:hAnsi="Garamond"/>
        </w:rPr>
        <w:t xml:space="preserve"> significant difference</w:t>
      </w:r>
      <w:r w:rsidR="006046C2">
        <w:rPr>
          <w:rFonts w:ascii="Garamond" w:hAnsi="Garamond"/>
        </w:rPr>
        <w:t>s</w:t>
      </w:r>
      <w:r>
        <w:rPr>
          <w:rFonts w:ascii="Garamond" w:hAnsi="Garamond"/>
        </w:rPr>
        <w:t xml:space="preserve"> </w:t>
      </w:r>
      <w:r w:rsidR="00DE722C" w:rsidRPr="00F90A54">
        <w:rPr>
          <w:rFonts w:ascii="Garamond" w:hAnsi="Garamond"/>
        </w:rPr>
        <w:t>between th</w:t>
      </w:r>
      <w:r w:rsidR="006046C2">
        <w:rPr>
          <w:rFonts w:ascii="Garamond" w:hAnsi="Garamond"/>
        </w:rPr>
        <w:t>e types of intervenors</w:t>
      </w:r>
      <w:r w:rsidR="00DE722C" w:rsidRPr="00F90A54">
        <w:rPr>
          <w:rFonts w:ascii="Garamond" w:hAnsi="Garamond"/>
        </w:rPr>
        <w:t xml:space="preserve"> </w:t>
      </w:r>
      <w:r w:rsidR="00AD736E">
        <w:rPr>
          <w:rFonts w:ascii="Garamond" w:hAnsi="Garamond"/>
        </w:rPr>
        <w:t>were</w:t>
      </w:r>
      <w:r w:rsidR="006046C2">
        <w:rPr>
          <w:rFonts w:ascii="Garamond" w:hAnsi="Garamond"/>
        </w:rPr>
        <w:t xml:space="preserve"> </w:t>
      </w:r>
      <w:r w:rsidR="00DE722C" w:rsidRPr="00F90A54">
        <w:rPr>
          <w:rFonts w:ascii="Garamond" w:hAnsi="Garamond"/>
        </w:rPr>
        <w:t xml:space="preserve">when and how denials of intervention </w:t>
      </w:r>
      <w:r w:rsidR="006046C2">
        <w:rPr>
          <w:rFonts w:ascii="Garamond" w:hAnsi="Garamond"/>
        </w:rPr>
        <w:t>were</w:t>
      </w:r>
      <w:r w:rsidR="00DE722C" w:rsidRPr="00F90A54">
        <w:rPr>
          <w:rFonts w:ascii="Garamond" w:hAnsi="Garamond"/>
        </w:rPr>
        <w:t xml:space="preserve"> reviewed on appeal. </w:t>
      </w:r>
      <w:r>
        <w:rPr>
          <w:rFonts w:ascii="Garamond" w:hAnsi="Garamond"/>
        </w:rPr>
        <w:t>Intervenors of right could appeal a rejection immediately and the decision would be reviewed de novo or for abuse of discretion. By contrast, rejected permissive intervenors either could not appeal or had to wait until the case proceeded to final judgment.</w:t>
      </w:r>
      <w:r w:rsidRPr="00F90A54">
        <w:rPr>
          <w:rStyle w:val="FootnoteReference"/>
          <w:rFonts w:ascii="Garamond" w:hAnsi="Garamond"/>
        </w:rPr>
        <w:footnoteReference w:id="37"/>
      </w:r>
      <w:r w:rsidR="00DE722C" w:rsidRPr="00F90A54">
        <w:rPr>
          <w:rFonts w:ascii="Garamond" w:hAnsi="Garamond"/>
        </w:rPr>
        <w:t xml:space="preserve"> </w:t>
      </w:r>
    </w:p>
    <w:p w14:paraId="37BA1E63" w14:textId="3285DC7E" w:rsidR="006046C2" w:rsidRDefault="00DE722C" w:rsidP="001F4A3F">
      <w:pPr>
        <w:ind w:firstLine="360"/>
        <w:jc w:val="both"/>
        <w:rPr>
          <w:rFonts w:ascii="Garamond" w:hAnsi="Garamond"/>
        </w:rPr>
      </w:pPr>
      <w:r w:rsidRPr="00F90A54">
        <w:rPr>
          <w:rFonts w:ascii="Garamond" w:hAnsi="Garamond"/>
        </w:rPr>
        <w:lastRenderedPageBreak/>
        <w:t xml:space="preserve">Today, courts allow </w:t>
      </w:r>
      <w:r w:rsidR="000F27D2">
        <w:rPr>
          <w:rFonts w:ascii="Garamond" w:hAnsi="Garamond"/>
        </w:rPr>
        <w:t>both types of intervenors to appeal</w:t>
      </w:r>
      <w:r w:rsidRPr="00F90A54">
        <w:rPr>
          <w:rFonts w:ascii="Garamond" w:hAnsi="Garamond"/>
        </w:rPr>
        <w:t>.</w:t>
      </w:r>
      <w:r w:rsidRPr="00F90A54">
        <w:rPr>
          <w:rStyle w:val="FootnoteReference"/>
          <w:rFonts w:ascii="Garamond" w:hAnsi="Garamond"/>
        </w:rPr>
        <w:footnoteReference w:id="38"/>
      </w:r>
      <w:r w:rsidRPr="00F90A54">
        <w:rPr>
          <w:rFonts w:ascii="Garamond" w:hAnsi="Garamond"/>
        </w:rPr>
        <w:t xml:space="preserve"> And in the circuits </w:t>
      </w:r>
      <w:proofErr w:type="spellStart"/>
      <w:r w:rsidRPr="00F90A54">
        <w:rPr>
          <w:rFonts w:ascii="Garamond" w:hAnsi="Garamond"/>
        </w:rPr>
        <w:t>where</w:t>
      </w:r>
      <w:r w:rsidR="006046C2">
        <w:rPr>
          <w:rFonts w:ascii="Garamond" w:hAnsi="Garamond"/>
        </w:rPr>
        <w:t xml:space="preserve"> </w:t>
      </w:r>
      <w:r w:rsidRPr="00F90A54">
        <w:rPr>
          <w:rFonts w:ascii="Garamond" w:hAnsi="Garamond"/>
        </w:rPr>
        <w:t>as</w:t>
      </w:r>
      <w:proofErr w:type="spellEnd"/>
      <w:r w:rsidRPr="00F90A54">
        <w:rPr>
          <w:rFonts w:ascii="Garamond" w:hAnsi="Garamond"/>
        </w:rPr>
        <w:t>-of-right intervention is reviewed for abuse of discretion, the two forms often receive the same standard of review.</w:t>
      </w:r>
      <w:r w:rsidRPr="00F90A54">
        <w:rPr>
          <w:rStyle w:val="FootnoteReference"/>
          <w:rFonts w:ascii="Garamond" w:hAnsi="Garamond"/>
        </w:rPr>
        <w:footnoteReference w:id="39"/>
      </w:r>
      <w:r w:rsidRPr="00F90A54">
        <w:rPr>
          <w:rFonts w:ascii="Garamond" w:hAnsi="Garamond"/>
        </w:rPr>
        <w:t xml:space="preserve"> </w:t>
      </w:r>
      <w:r w:rsidR="0022124F" w:rsidRPr="00F90A54">
        <w:rPr>
          <w:rFonts w:ascii="Garamond" w:hAnsi="Garamond"/>
        </w:rPr>
        <w:t>P</w:t>
      </w:r>
      <w:r w:rsidRPr="00F90A54">
        <w:rPr>
          <w:rFonts w:ascii="Garamond" w:hAnsi="Garamond"/>
        </w:rPr>
        <w:t xml:space="preserve">ermissive intervenors </w:t>
      </w:r>
      <w:r w:rsidR="006046C2">
        <w:rPr>
          <w:rFonts w:ascii="Garamond" w:hAnsi="Garamond"/>
        </w:rPr>
        <w:t xml:space="preserve">must still </w:t>
      </w:r>
      <w:r w:rsidRPr="00F90A54">
        <w:rPr>
          <w:rFonts w:ascii="Garamond" w:hAnsi="Garamond"/>
        </w:rPr>
        <w:t xml:space="preserve">wait </w:t>
      </w:r>
      <w:r w:rsidR="006046C2">
        <w:rPr>
          <w:rFonts w:ascii="Garamond" w:hAnsi="Garamond"/>
        </w:rPr>
        <w:t xml:space="preserve">for </w:t>
      </w:r>
      <w:r w:rsidRPr="00F90A54">
        <w:rPr>
          <w:rFonts w:ascii="Garamond" w:hAnsi="Garamond"/>
        </w:rPr>
        <w:t>final judgment</w:t>
      </w:r>
      <w:r w:rsidR="006046C2">
        <w:rPr>
          <w:rFonts w:ascii="Garamond" w:hAnsi="Garamond"/>
        </w:rPr>
        <w:t xml:space="preserve"> as a matter of doctrine. But o</w:t>
      </w:r>
      <w:r w:rsidR="0022124F" w:rsidRPr="00F90A54">
        <w:rPr>
          <w:rFonts w:ascii="Garamond" w:hAnsi="Garamond"/>
        </w:rPr>
        <w:t>utsiders usually seek both forms of intervention</w:t>
      </w:r>
      <w:r w:rsidR="006046C2">
        <w:rPr>
          <w:rFonts w:ascii="Garamond" w:hAnsi="Garamond"/>
        </w:rPr>
        <w:t xml:space="preserve"> </w:t>
      </w:r>
      <w:r w:rsidR="0022124F" w:rsidRPr="00F90A54">
        <w:rPr>
          <w:rFonts w:ascii="Garamond" w:hAnsi="Garamond"/>
        </w:rPr>
        <w:t xml:space="preserve">and courts review </w:t>
      </w:r>
      <w:r w:rsidR="006046C2">
        <w:rPr>
          <w:rFonts w:ascii="Garamond" w:hAnsi="Garamond"/>
        </w:rPr>
        <w:t>both claims when asserted together.</w:t>
      </w:r>
      <w:r w:rsidR="0022124F" w:rsidRPr="00F90A54">
        <w:rPr>
          <w:rStyle w:val="FootnoteReference"/>
          <w:rFonts w:ascii="Garamond" w:hAnsi="Garamond"/>
        </w:rPr>
        <w:footnoteReference w:id="40"/>
      </w:r>
      <w:r w:rsidR="0022124F" w:rsidRPr="00F90A54">
        <w:rPr>
          <w:rFonts w:ascii="Garamond" w:hAnsi="Garamond"/>
        </w:rPr>
        <w:t xml:space="preserve"> </w:t>
      </w:r>
    </w:p>
    <w:p w14:paraId="1BC2DBFC" w14:textId="77777777" w:rsidR="007D49EB" w:rsidRDefault="0022124F" w:rsidP="007D49EB">
      <w:pPr>
        <w:ind w:firstLine="360"/>
        <w:jc w:val="both"/>
        <w:rPr>
          <w:rFonts w:ascii="Garamond" w:hAnsi="Garamond"/>
        </w:rPr>
      </w:pPr>
      <w:r w:rsidRPr="00F90A54">
        <w:rPr>
          <w:rFonts w:ascii="Garamond" w:hAnsi="Garamond"/>
        </w:rPr>
        <w:t xml:space="preserve">Importantly, however, courts do </w:t>
      </w:r>
      <w:r w:rsidRPr="00F90A54">
        <w:rPr>
          <w:rFonts w:ascii="Garamond" w:hAnsi="Garamond"/>
          <w:i/>
          <w:iCs/>
        </w:rPr>
        <w:t>not</w:t>
      </w:r>
      <w:r w:rsidRPr="00F90A54">
        <w:rPr>
          <w:rFonts w:ascii="Garamond" w:hAnsi="Garamond"/>
        </w:rPr>
        <w:t xml:space="preserve"> allow an immediate appeal when courts </w:t>
      </w:r>
      <w:r w:rsidRPr="00F90A54">
        <w:rPr>
          <w:rFonts w:ascii="Garamond" w:hAnsi="Garamond"/>
          <w:i/>
          <w:iCs/>
        </w:rPr>
        <w:t xml:space="preserve">grant </w:t>
      </w:r>
      <w:r w:rsidRPr="00F90A54">
        <w:rPr>
          <w:rFonts w:ascii="Garamond" w:hAnsi="Garamond"/>
        </w:rPr>
        <w:t xml:space="preserve">permissive intervention, but deny </w:t>
      </w:r>
      <w:r w:rsidR="002A2113">
        <w:rPr>
          <w:rFonts w:ascii="Garamond" w:hAnsi="Garamond"/>
        </w:rPr>
        <w:t>or decline to address intervention of right</w:t>
      </w:r>
      <w:r w:rsidRPr="00F90A54">
        <w:rPr>
          <w:rFonts w:ascii="Garamond" w:hAnsi="Garamond"/>
        </w:rPr>
        <w:t>.</w:t>
      </w:r>
      <w:r w:rsidR="00DE722C" w:rsidRPr="00F90A54">
        <w:rPr>
          <w:rStyle w:val="FootnoteReference"/>
          <w:rFonts w:ascii="Garamond" w:hAnsi="Garamond"/>
        </w:rPr>
        <w:footnoteReference w:id="41"/>
      </w:r>
      <w:r w:rsidR="00DE722C" w:rsidRPr="00F90A54">
        <w:rPr>
          <w:rFonts w:ascii="Garamond" w:hAnsi="Garamond"/>
        </w:rPr>
        <w:t xml:space="preserve"> That matters significantly when it comes to the third difference</w:t>
      </w:r>
      <w:r w:rsidR="002A2113">
        <w:rPr>
          <w:rFonts w:ascii="Garamond" w:hAnsi="Garamond"/>
        </w:rPr>
        <w:t xml:space="preserve">: </w:t>
      </w:r>
      <w:r w:rsidR="00DE722C" w:rsidRPr="00F90A54">
        <w:rPr>
          <w:rFonts w:ascii="Garamond" w:hAnsi="Garamond"/>
        </w:rPr>
        <w:t>conditions that courts may place on the intervenor’s participation. The canonical line has been that, once admitted, intervenors of right “assume the status of full participants in a lawsuit and are normally treated as if they were original parties.”</w:t>
      </w:r>
      <w:r w:rsidR="00DE722C" w:rsidRPr="00F90A54">
        <w:rPr>
          <w:rStyle w:val="FootnoteReference"/>
          <w:rFonts w:ascii="Garamond" w:hAnsi="Garamond"/>
        </w:rPr>
        <w:footnoteReference w:id="42"/>
      </w:r>
      <w:r w:rsidR="00DE722C" w:rsidRPr="00F90A54">
        <w:rPr>
          <w:rFonts w:ascii="Garamond" w:hAnsi="Garamond"/>
        </w:rPr>
        <w:t xml:space="preserve"> Supposedly, this meant that courts could not bar intervenors of right from engaging in significant party behavior like raising additional claims or legal defenses, adding parties, taking discovery, and </w:t>
      </w:r>
      <w:r w:rsidR="00DE722C" w:rsidRPr="00F90A54">
        <w:rPr>
          <w:rFonts w:ascii="Garamond" w:hAnsi="Garamond"/>
        </w:rPr>
        <w:lastRenderedPageBreak/>
        <w:t>appealing adverse decisions.</w:t>
      </w:r>
      <w:r w:rsidR="00DE722C" w:rsidRPr="00F90A54">
        <w:rPr>
          <w:rStyle w:val="FootnoteReference"/>
          <w:rFonts w:ascii="Garamond" w:hAnsi="Garamond"/>
        </w:rPr>
        <w:footnoteReference w:id="43"/>
      </w:r>
      <w:r w:rsidR="00DE722C" w:rsidRPr="00F90A54">
        <w:rPr>
          <w:rFonts w:ascii="Garamond" w:hAnsi="Garamond"/>
        </w:rPr>
        <w:t xml:space="preserve"> Conversely, district courts had broad, if not unlimited, discretion to prescribe how permissive intervenors could participate.</w:t>
      </w:r>
      <w:r w:rsidR="00DE722C" w:rsidRPr="00F90A54">
        <w:rPr>
          <w:rStyle w:val="FootnoteReference"/>
          <w:rFonts w:ascii="Garamond" w:hAnsi="Garamond"/>
        </w:rPr>
        <w:footnoteReference w:id="44"/>
      </w:r>
      <w:r w:rsidR="00DE722C" w:rsidRPr="00F90A54">
        <w:rPr>
          <w:rFonts w:ascii="Garamond" w:hAnsi="Garamond"/>
        </w:rPr>
        <w:t xml:space="preserve"> </w:t>
      </w:r>
    </w:p>
    <w:p w14:paraId="68DB0B18" w14:textId="77777777" w:rsidR="007D49EB" w:rsidRDefault="007D49EB" w:rsidP="007D49EB">
      <w:pPr>
        <w:ind w:firstLine="360"/>
        <w:jc w:val="both"/>
        <w:rPr>
          <w:rFonts w:ascii="Garamond" w:hAnsi="Garamond"/>
        </w:rPr>
      </w:pPr>
      <w:r>
        <w:rPr>
          <w:rFonts w:ascii="Garamond" w:hAnsi="Garamond"/>
        </w:rPr>
        <w:t xml:space="preserve">Now, many courts claim the power to condition </w:t>
      </w:r>
      <w:r w:rsidR="00DE722C" w:rsidRPr="00F90A54">
        <w:rPr>
          <w:rFonts w:ascii="Garamond" w:hAnsi="Garamond"/>
        </w:rPr>
        <w:t>intervention of right</w:t>
      </w:r>
      <w:r>
        <w:rPr>
          <w:rFonts w:ascii="Garamond" w:hAnsi="Garamond"/>
        </w:rPr>
        <w:t>. But even they</w:t>
      </w:r>
      <w:r w:rsidR="00DE722C" w:rsidRPr="00F90A54">
        <w:rPr>
          <w:rFonts w:ascii="Garamond" w:hAnsi="Garamond"/>
        </w:rPr>
        <w:t xml:space="preserve"> have been hesitant to impose significant hurdles.</w:t>
      </w:r>
      <w:r w:rsidR="00DE722C" w:rsidRPr="00F90A54">
        <w:rPr>
          <w:rStyle w:val="FootnoteReference"/>
          <w:rFonts w:ascii="Garamond" w:hAnsi="Garamond"/>
        </w:rPr>
        <w:footnoteReference w:id="45"/>
      </w:r>
      <w:r w:rsidR="00DE722C" w:rsidRPr="00F90A54">
        <w:rPr>
          <w:rFonts w:ascii="Garamond" w:hAnsi="Garamond"/>
        </w:rPr>
        <w:t xml:space="preserve"> Many of the </w:t>
      </w:r>
      <w:proofErr w:type="gramStart"/>
      <w:r w:rsidR="00DE722C" w:rsidRPr="00F90A54">
        <w:rPr>
          <w:rFonts w:ascii="Garamond" w:hAnsi="Garamond"/>
        </w:rPr>
        <w:t>limits</w:t>
      </w:r>
      <w:proofErr w:type="gramEnd"/>
      <w:r w:rsidR="00DE722C" w:rsidRPr="00F90A54">
        <w:rPr>
          <w:rFonts w:ascii="Garamond" w:hAnsi="Garamond"/>
        </w:rPr>
        <w:t xml:space="preserve"> courts impose dovetail with the limits courts impose on </w:t>
      </w:r>
      <w:r w:rsidR="00DD006D" w:rsidRPr="00F90A54">
        <w:rPr>
          <w:rFonts w:ascii="Garamond" w:hAnsi="Garamond"/>
        </w:rPr>
        <w:t>all</w:t>
      </w:r>
      <w:r w:rsidR="00DE722C" w:rsidRPr="00F90A54">
        <w:rPr>
          <w:rFonts w:ascii="Garamond" w:hAnsi="Garamond"/>
        </w:rPr>
        <w:t xml:space="preserve"> part</w:t>
      </w:r>
      <w:r w:rsidR="00DD006D" w:rsidRPr="00F90A54">
        <w:rPr>
          <w:rFonts w:ascii="Garamond" w:hAnsi="Garamond"/>
        </w:rPr>
        <w:t>ies</w:t>
      </w:r>
      <w:r w:rsidR="00DE722C" w:rsidRPr="00F90A54">
        <w:rPr>
          <w:rFonts w:ascii="Garamond" w:hAnsi="Garamond"/>
        </w:rPr>
        <w:t>—like limiting discovery,</w:t>
      </w:r>
      <w:r w:rsidR="00CA6EDB">
        <w:rPr>
          <w:rFonts w:ascii="Garamond" w:hAnsi="Garamond"/>
        </w:rPr>
        <w:t xml:space="preserve"> </w:t>
      </w:r>
      <w:r w:rsidR="00DE722C" w:rsidRPr="00F90A54">
        <w:rPr>
          <w:rFonts w:ascii="Garamond" w:hAnsi="Garamond"/>
        </w:rPr>
        <w:t>declining to hold non-mandatory evidentiary hearings, or imposing page limits.</w:t>
      </w:r>
      <w:r w:rsidR="00DE722C" w:rsidRPr="00F90A54">
        <w:rPr>
          <w:rStyle w:val="FootnoteReference"/>
          <w:rFonts w:ascii="Garamond" w:hAnsi="Garamond"/>
        </w:rPr>
        <w:footnoteReference w:id="46"/>
      </w:r>
      <w:r w:rsidR="00DE722C" w:rsidRPr="00F90A54">
        <w:rPr>
          <w:rFonts w:ascii="Garamond" w:hAnsi="Garamond"/>
        </w:rPr>
        <w:t xml:space="preserve"> And courts of appeals review restrictions on intervention of right for their reasonableness, like the restrictions on other parties.</w:t>
      </w:r>
      <w:r w:rsidR="00DE722C" w:rsidRPr="00F90A54">
        <w:rPr>
          <w:rStyle w:val="FootnoteReference"/>
          <w:rFonts w:ascii="Garamond" w:hAnsi="Garamond"/>
        </w:rPr>
        <w:footnoteReference w:id="47"/>
      </w:r>
      <w:r>
        <w:rPr>
          <w:rFonts w:ascii="Garamond" w:hAnsi="Garamond"/>
        </w:rPr>
        <w:t xml:space="preserve"> </w:t>
      </w:r>
    </w:p>
    <w:p w14:paraId="7597C55F" w14:textId="1598A76E" w:rsidR="00DE722C" w:rsidRPr="00F90A54" w:rsidRDefault="007D49EB" w:rsidP="007D49EB">
      <w:pPr>
        <w:ind w:firstLine="360"/>
        <w:jc w:val="both"/>
        <w:rPr>
          <w:rFonts w:ascii="Garamond" w:hAnsi="Garamond"/>
        </w:rPr>
      </w:pPr>
      <w:r>
        <w:rPr>
          <w:rFonts w:ascii="Garamond" w:hAnsi="Garamond"/>
        </w:rPr>
        <w:t>Notably, e</w:t>
      </w:r>
      <w:r w:rsidR="00DE722C" w:rsidRPr="00F90A54">
        <w:rPr>
          <w:rFonts w:ascii="Garamond" w:hAnsi="Garamond"/>
        </w:rPr>
        <w:t>ven in th</w:t>
      </w:r>
      <w:r>
        <w:rPr>
          <w:rFonts w:ascii="Garamond" w:hAnsi="Garamond"/>
        </w:rPr>
        <w:t>is</w:t>
      </w:r>
      <w:r w:rsidR="00DE722C" w:rsidRPr="00F90A54">
        <w:rPr>
          <w:rFonts w:ascii="Garamond" w:hAnsi="Garamond"/>
        </w:rPr>
        <w:t xml:space="preserve"> one remaining significant difference between the two categories, the decision is left to the district court’s discretion. </w:t>
      </w:r>
      <w:r w:rsidR="006D52F3">
        <w:rPr>
          <w:rFonts w:ascii="Garamond" w:hAnsi="Garamond"/>
        </w:rPr>
        <w:t>There is no general requirement that</w:t>
      </w:r>
      <w:r w:rsidR="00DE722C" w:rsidRPr="00F90A54">
        <w:rPr>
          <w:rFonts w:ascii="Garamond" w:hAnsi="Garamond"/>
        </w:rPr>
        <w:t xml:space="preserve"> district courts determine </w:t>
      </w:r>
      <w:r w:rsidR="006D52F3">
        <w:rPr>
          <w:rFonts w:ascii="Garamond" w:hAnsi="Garamond"/>
        </w:rPr>
        <w:t xml:space="preserve">an intervenor’s </w:t>
      </w:r>
      <w:r w:rsidR="00DE722C" w:rsidRPr="00F90A54">
        <w:rPr>
          <w:rFonts w:ascii="Garamond" w:hAnsi="Garamond"/>
        </w:rPr>
        <w:t xml:space="preserve">right to participate before analyzing whether the court would grant permissive—even significantly limited—intervention. </w:t>
      </w:r>
    </w:p>
    <w:p w14:paraId="5A7BD308" w14:textId="77777777" w:rsidR="00DE722C" w:rsidRPr="00F90A54" w:rsidRDefault="00DE722C" w:rsidP="00DE722C">
      <w:pPr>
        <w:ind w:firstLine="360"/>
        <w:rPr>
          <w:rFonts w:ascii="Garamond" w:hAnsi="Garamond"/>
        </w:rPr>
      </w:pPr>
    </w:p>
    <w:p w14:paraId="5B5BCE1E" w14:textId="77777777" w:rsidR="00DE722C" w:rsidRPr="00F90A54" w:rsidRDefault="00DE722C" w:rsidP="00D9403B">
      <w:pPr>
        <w:pStyle w:val="Heading3"/>
        <w:keepNext/>
      </w:pPr>
      <w:bookmarkStart w:id="4" w:name="_Toc143336548"/>
      <w:r w:rsidRPr="00F90A54">
        <w:t>Interest</w:t>
      </w:r>
      <w:bookmarkEnd w:id="4"/>
    </w:p>
    <w:p w14:paraId="6BFF4A89" w14:textId="77777777" w:rsidR="00DE722C" w:rsidRPr="00F90A54" w:rsidRDefault="00DE722C" w:rsidP="00D9403B">
      <w:pPr>
        <w:keepNext/>
        <w:ind w:left="360" w:hanging="360"/>
        <w:rPr>
          <w:rFonts w:ascii="Garamond" w:hAnsi="Garamond"/>
        </w:rPr>
      </w:pPr>
    </w:p>
    <w:p w14:paraId="3BDB4A5A" w14:textId="506D1592" w:rsidR="00DE722C" w:rsidRPr="00F90A54" w:rsidRDefault="00DE722C" w:rsidP="001F4A3F">
      <w:pPr>
        <w:ind w:firstLine="360"/>
        <w:jc w:val="both"/>
        <w:rPr>
          <w:rFonts w:ascii="Garamond" w:hAnsi="Garamond"/>
        </w:rPr>
      </w:pPr>
      <w:r w:rsidRPr="00F90A54">
        <w:rPr>
          <w:rFonts w:ascii="Garamond" w:hAnsi="Garamond"/>
        </w:rPr>
        <w:t>Th</w:t>
      </w:r>
      <w:r w:rsidR="002B5213" w:rsidRPr="00F90A54">
        <w:rPr>
          <w:rFonts w:ascii="Garamond" w:hAnsi="Garamond"/>
        </w:rPr>
        <w:t>e</w:t>
      </w:r>
      <w:r w:rsidRPr="00F90A54">
        <w:rPr>
          <w:rFonts w:ascii="Garamond" w:hAnsi="Garamond"/>
        </w:rPr>
        <w:t xml:space="preserve"> “interest” component of the test for </w:t>
      </w:r>
      <w:r w:rsidR="00D30652" w:rsidRPr="00F90A54">
        <w:rPr>
          <w:rFonts w:ascii="Garamond" w:hAnsi="Garamond"/>
        </w:rPr>
        <w:t xml:space="preserve">as-of-right </w:t>
      </w:r>
      <w:r w:rsidRPr="00F90A54">
        <w:rPr>
          <w:rFonts w:ascii="Garamond" w:hAnsi="Garamond"/>
        </w:rPr>
        <w:t>intervention has been the subject of significant scholarly attention</w:t>
      </w:r>
      <w:r w:rsidR="00AC6AA1" w:rsidRPr="00F90A54">
        <w:rPr>
          <w:rFonts w:ascii="Garamond" w:hAnsi="Garamond"/>
        </w:rPr>
        <w:t>, so t</w:t>
      </w:r>
      <w:r w:rsidRPr="00F90A54">
        <w:rPr>
          <w:rFonts w:ascii="Garamond" w:hAnsi="Garamond"/>
        </w:rPr>
        <w:t xml:space="preserve">his section </w:t>
      </w:r>
      <w:r w:rsidR="00AC6AA1" w:rsidRPr="00F90A54">
        <w:rPr>
          <w:rFonts w:ascii="Garamond" w:hAnsi="Garamond"/>
        </w:rPr>
        <w:t xml:space="preserve">mainly </w:t>
      </w:r>
      <w:r w:rsidRPr="00F90A54">
        <w:rPr>
          <w:rFonts w:ascii="Garamond" w:hAnsi="Garamond"/>
        </w:rPr>
        <w:t>summarizes and updates that commentary. The</w:t>
      </w:r>
      <w:r w:rsidR="00AC6AA1" w:rsidRPr="00F90A54">
        <w:rPr>
          <w:rFonts w:ascii="Garamond" w:hAnsi="Garamond"/>
        </w:rPr>
        <w:t xml:space="preserve"> main takeaway</w:t>
      </w:r>
      <w:r w:rsidRPr="00F90A54">
        <w:rPr>
          <w:rFonts w:ascii="Garamond" w:hAnsi="Garamond"/>
        </w:rPr>
        <w:t xml:space="preserve"> is that there are few </w:t>
      </w:r>
      <w:r w:rsidR="007D49EB">
        <w:rPr>
          <w:rFonts w:ascii="Garamond" w:hAnsi="Garamond"/>
        </w:rPr>
        <w:t>guidelines</w:t>
      </w:r>
      <w:r w:rsidRPr="00F90A54">
        <w:rPr>
          <w:rFonts w:ascii="Garamond" w:hAnsi="Garamond"/>
        </w:rPr>
        <w:t xml:space="preserve"> governing what </w:t>
      </w:r>
      <w:r w:rsidR="00D30652" w:rsidRPr="00F90A54">
        <w:rPr>
          <w:rFonts w:ascii="Garamond" w:hAnsi="Garamond"/>
        </w:rPr>
        <w:t xml:space="preserve">constitutes </w:t>
      </w:r>
      <w:r w:rsidRPr="00F90A54">
        <w:rPr>
          <w:rFonts w:ascii="Garamond" w:hAnsi="Garamond"/>
        </w:rPr>
        <w:t xml:space="preserve">an interest under Rule 24. </w:t>
      </w:r>
    </w:p>
    <w:p w14:paraId="66C03DC7" w14:textId="75FE1C15" w:rsidR="00DE722C" w:rsidRPr="00F90A54" w:rsidRDefault="00DE722C" w:rsidP="001F4A3F">
      <w:pPr>
        <w:ind w:firstLine="360"/>
        <w:jc w:val="both"/>
        <w:rPr>
          <w:rFonts w:ascii="Garamond" w:hAnsi="Garamond"/>
        </w:rPr>
      </w:pPr>
      <w:r w:rsidRPr="00F90A54">
        <w:rPr>
          <w:rFonts w:ascii="Garamond" w:hAnsi="Garamond"/>
        </w:rPr>
        <w:lastRenderedPageBreak/>
        <w:t xml:space="preserve">Before the </w:t>
      </w:r>
      <w:r w:rsidR="00AC6AA1" w:rsidRPr="00F90A54">
        <w:rPr>
          <w:rFonts w:ascii="Garamond" w:hAnsi="Garamond"/>
        </w:rPr>
        <w:t>modern</w:t>
      </w:r>
      <w:r w:rsidRPr="00F90A54">
        <w:rPr>
          <w:rFonts w:ascii="Garamond" w:hAnsi="Garamond"/>
        </w:rPr>
        <w:t xml:space="preserve"> amendments to the rule, the </w:t>
      </w:r>
      <w:r w:rsidR="00AC6AA1" w:rsidRPr="00F90A54">
        <w:rPr>
          <w:rFonts w:ascii="Garamond" w:hAnsi="Garamond"/>
        </w:rPr>
        <w:t>“</w:t>
      </w:r>
      <w:r w:rsidRPr="00F90A54">
        <w:rPr>
          <w:rFonts w:ascii="Garamond" w:hAnsi="Garamond"/>
        </w:rPr>
        <w:t>interest</w:t>
      </w:r>
      <w:r w:rsidR="00AC6AA1" w:rsidRPr="00F90A54">
        <w:rPr>
          <w:rFonts w:ascii="Garamond" w:hAnsi="Garamond"/>
        </w:rPr>
        <w:t>”</w:t>
      </w:r>
      <w:r w:rsidRPr="00F90A54">
        <w:rPr>
          <w:rFonts w:ascii="Garamond" w:hAnsi="Garamond"/>
        </w:rPr>
        <w:t xml:space="preserve"> necessary to intervene seemed to comport with a narrow, technical understanding of the term.</w:t>
      </w:r>
      <w:r w:rsidRPr="00F90A54">
        <w:rPr>
          <w:rStyle w:val="FootnoteReference"/>
          <w:rFonts w:ascii="Garamond" w:hAnsi="Garamond"/>
        </w:rPr>
        <w:footnoteReference w:id="48"/>
      </w:r>
      <w:r w:rsidRPr="00F90A54">
        <w:rPr>
          <w:rFonts w:ascii="Garamond" w:hAnsi="Garamond"/>
        </w:rPr>
        <w:t xml:space="preserve"> </w:t>
      </w:r>
      <w:r w:rsidR="00E77CE4">
        <w:rPr>
          <w:rFonts w:ascii="Garamond" w:hAnsi="Garamond"/>
        </w:rPr>
        <w:t>Caleb</w:t>
      </w:r>
      <w:r w:rsidRPr="00F90A54">
        <w:rPr>
          <w:rFonts w:ascii="Garamond" w:hAnsi="Garamond"/>
        </w:rPr>
        <w:t xml:space="preserve"> Nelson, who thoroughly canvased the history of the interest requirement, concluded that courts “typically [did] not </w:t>
      </w:r>
      <w:proofErr w:type="spellStart"/>
      <w:r w:rsidRPr="00F90A54">
        <w:rPr>
          <w:rFonts w:ascii="Garamond" w:hAnsi="Garamond"/>
        </w:rPr>
        <w:t>authoriz</w:t>
      </w:r>
      <w:proofErr w:type="spellEnd"/>
      <w:r w:rsidRPr="00F90A54">
        <w:rPr>
          <w:rFonts w:ascii="Garamond" w:hAnsi="Garamond"/>
        </w:rPr>
        <w:t>[e] intervention by people who lacked any relevant legal claims.”</w:t>
      </w:r>
      <w:r w:rsidRPr="00F90A54">
        <w:rPr>
          <w:rStyle w:val="FootnoteReference"/>
          <w:rFonts w:ascii="Garamond" w:hAnsi="Garamond"/>
        </w:rPr>
        <w:footnoteReference w:id="49"/>
      </w:r>
    </w:p>
    <w:p w14:paraId="36D424A3" w14:textId="24A319A3" w:rsidR="003617D0" w:rsidRPr="00F90A54" w:rsidRDefault="00C96ED2" w:rsidP="001F4A3F">
      <w:pPr>
        <w:ind w:firstLine="360"/>
        <w:jc w:val="both"/>
        <w:rPr>
          <w:rFonts w:ascii="Garamond" w:hAnsi="Garamond"/>
        </w:rPr>
      </w:pPr>
      <w:r>
        <w:rPr>
          <w:rFonts w:ascii="Garamond" w:hAnsi="Garamond"/>
        </w:rPr>
        <w:t xml:space="preserve">In 1966, </w:t>
      </w:r>
      <w:r w:rsidR="00AC6AA1" w:rsidRPr="00F90A54">
        <w:rPr>
          <w:rFonts w:ascii="Garamond" w:hAnsi="Garamond"/>
        </w:rPr>
        <w:t>Rule 24’s text was significantly revised</w:t>
      </w:r>
      <w:r w:rsidR="00DE722C" w:rsidRPr="00F90A54">
        <w:rPr>
          <w:rFonts w:ascii="Garamond" w:hAnsi="Garamond"/>
        </w:rPr>
        <w:t>.</w:t>
      </w:r>
      <w:r w:rsidR="0031222E" w:rsidRPr="00F90A54">
        <w:rPr>
          <w:rStyle w:val="FootnoteReference"/>
          <w:rFonts w:ascii="Garamond" w:hAnsi="Garamond"/>
        </w:rPr>
        <w:footnoteReference w:id="50"/>
      </w:r>
      <w:r w:rsidR="00DE722C" w:rsidRPr="00F90A54">
        <w:rPr>
          <w:rFonts w:ascii="Garamond" w:hAnsi="Garamond"/>
        </w:rPr>
        <w:t xml:space="preserve"> </w:t>
      </w:r>
      <w:r>
        <w:rPr>
          <w:rFonts w:ascii="Garamond" w:hAnsi="Garamond"/>
        </w:rPr>
        <w:t>I</w:t>
      </w:r>
      <w:r w:rsidR="00DE722C" w:rsidRPr="00F90A54">
        <w:rPr>
          <w:rFonts w:ascii="Garamond" w:hAnsi="Garamond"/>
        </w:rPr>
        <w:t xml:space="preserve">t is unclear that the </w:t>
      </w:r>
      <w:r w:rsidR="00EB1817">
        <w:rPr>
          <w:rFonts w:ascii="Garamond" w:hAnsi="Garamond"/>
        </w:rPr>
        <w:t xml:space="preserve">new </w:t>
      </w:r>
      <w:r w:rsidR="00AC6AA1" w:rsidRPr="00F90A54">
        <w:rPr>
          <w:rFonts w:ascii="Garamond" w:hAnsi="Garamond"/>
        </w:rPr>
        <w:t>language</w:t>
      </w:r>
      <w:r w:rsidR="00DE722C" w:rsidRPr="00F90A54">
        <w:rPr>
          <w:rFonts w:ascii="Garamond" w:hAnsi="Garamond"/>
        </w:rPr>
        <w:t xml:space="preserve"> meant to expand the interest an outsider </w:t>
      </w:r>
      <w:r w:rsidR="008C464D">
        <w:rPr>
          <w:rFonts w:ascii="Garamond" w:hAnsi="Garamond"/>
        </w:rPr>
        <w:t>could use</w:t>
      </w:r>
      <w:r w:rsidR="00DE722C" w:rsidRPr="00F90A54">
        <w:rPr>
          <w:rFonts w:ascii="Garamond" w:hAnsi="Garamond"/>
        </w:rPr>
        <w:t xml:space="preserve"> to intervene</w:t>
      </w:r>
      <w:r>
        <w:rPr>
          <w:rFonts w:ascii="Garamond" w:hAnsi="Garamond"/>
        </w:rPr>
        <w:t>, but s</w:t>
      </w:r>
      <w:r w:rsidR="0031222E" w:rsidRPr="00F90A54">
        <w:rPr>
          <w:rFonts w:ascii="Garamond" w:hAnsi="Garamond"/>
        </w:rPr>
        <w:t xml:space="preserve">ome </w:t>
      </w:r>
      <w:r>
        <w:rPr>
          <w:rFonts w:ascii="Garamond" w:hAnsi="Garamond"/>
        </w:rPr>
        <w:t xml:space="preserve">courts interpreted </w:t>
      </w:r>
      <w:r w:rsidR="00DE722C" w:rsidRPr="00F90A54">
        <w:rPr>
          <w:rFonts w:ascii="Garamond" w:hAnsi="Garamond"/>
        </w:rPr>
        <w:t xml:space="preserve">stray statements from the Supreme Court </w:t>
      </w:r>
      <w:r>
        <w:rPr>
          <w:rFonts w:ascii="Garamond" w:hAnsi="Garamond"/>
        </w:rPr>
        <w:t xml:space="preserve">as </w:t>
      </w:r>
      <w:r w:rsidR="00DE722C" w:rsidRPr="00F90A54">
        <w:rPr>
          <w:rFonts w:ascii="Garamond" w:hAnsi="Garamond"/>
        </w:rPr>
        <w:t>support</w:t>
      </w:r>
      <w:r>
        <w:rPr>
          <w:rFonts w:ascii="Garamond" w:hAnsi="Garamond"/>
        </w:rPr>
        <w:t>ing</w:t>
      </w:r>
      <w:r w:rsidR="00DE722C" w:rsidRPr="00F90A54">
        <w:rPr>
          <w:rFonts w:ascii="Garamond" w:hAnsi="Garamond"/>
        </w:rPr>
        <w:t xml:space="preserve"> a broader reading. For example, in </w:t>
      </w:r>
      <w:r w:rsidR="00DE722C" w:rsidRPr="00F90A54">
        <w:rPr>
          <w:rFonts w:ascii="Garamond" w:hAnsi="Garamond"/>
          <w:i/>
          <w:iCs/>
        </w:rPr>
        <w:t>Donaldson v. United States</w:t>
      </w:r>
      <w:r w:rsidR="00DE722C" w:rsidRPr="00F90A54">
        <w:rPr>
          <w:rFonts w:ascii="Garamond" w:hAnsi="Garamond"/>
        </w:rPr>
        <w:t>, the Court described an “interest” as that which is “significantly protectable</w:t>
      </w:r>
      <w:r w:rsidR="0031222E" w:rsidRPr="00F90A54">
        <w:rPr>
          <w:rFonts w:ascii="Garamond" w:hAnsi="Garamond"/>
        </w:rPr>
        <w:t>.</w:t>
      </w:r>
      <w:r w:rsidR="00DE722C" w:rsidRPr="00F90A54">
        <w:rPr>
          <w:rFonts w:ascii="Garamond" w:hAnsi="Garamond"/>
        </w:rPr>
        <w:t>”</w:t>
      </w:r>
      <w:r w:rsidR="0031222E" w:rsidRPr="00F90A54">
        <w:rPr>
          <w:rStyle w:val="FootnoteReference"/>
          <w:rFonts w:ascii="Garamond" w:hAnsi="Garamond"/>
        </w:rPr>
        <w:footnoteReference w:id="51"/>
      </w:r>
      <w:r w:rsidR="00E77CE4">
        <w:rPr>
          <w:rFonts w:ascii="Garamond" w:hAnsi="Garamond"/>
        </w:rPr>
        <w:t xml:space="preserve"> This </w:t>
      </w:r>
      <w:r w:rsidR="00D836A7">
        <w:rPr>
          <w:rFonts w:ascii="Garamond" w:hAnsi="Garamond"/>
        </w:rPr>
        <w:t>novel</w:t>
      </w:r>
      <w:r w:rsidR="00E77CE4">
        <w:rPr>
          <w:rFonts w:ascii="Garamond" w:hAnsi="Garamond"/>
        </w:rPr>
        <w:t xml:space="preserve"> phrase was arguably broader than the usual description of an interest as merely protectable or legal, but the phrase’s breadth had never been clearly defined.</w:t>
      </w:r>
      <w:r w:rsidR="00DE722C" w:rsidRPr="00F90A54">
        <w:rPr>
          <w:rStyle w:val="FootnoteReference"/>
          <w:rFonts w:ascii="Garamond" w:hAnsi="Garamond"/>
        </w:rPr>
        <w:footnoteReference w:id="52"/>
      </w:r>
      <w:r w:rsidR="00DE722C" w:rsidRPr="00F90A54">
        <w:rPr>
          <w:rFonts w:ascii="Garamond" w:hAnsi="Garamond"/>
        </w:rPr>
        <w:t xml:space="preserve"> </w:t>
      </w:r>
      <w:r w:rsidR="003617D0" w:rsidRPr="00F90A54">
        <w:rPr>
          <w:rFonts w:ascii="Garamond" w:hAnsi="Garamond"/>
        </w:rPr>
        <w:t xml:space="preserve">Making matters worse, the Supreme Court’s next intervention decision, </w:t>
      </w:r>
      <w:proofErr w:type="spellStart"/>
      <w:r w:rsidR="003617D0" w:rsidRPr="00F90A54">
        <w:rPr>
          <w:rFonts w:ascii="Garamond" w:hAnsi="Garamond"/>
          <w:i/>
          <w:iCs/>
        </w:rPr>
        <w:t>Trbovich</w:t>
      </w:r>
      <w:proofErr w:type="spellEnd"/>
      <w:r w:rsidR="003617D0" w:rsidRPr="00F90A54">
        <w:rPr>
          <w:rFonts w:ascii="Garamond" w:hAnsi="Garamond"/>
          <w:i/>
          <w:iCs/>
        </w:rPr>
        <w:t xml:space="preserve"> v. United Mine Workers</w:t>
      </w:r>
      <w:r w:rsidR="003617D0" w:rsidRPr="00F90A54">
        <w:rPr>
          <w:rFonts w:ascii="Garamond" w:hAnsi="Garamond"/>
        </w:rPr>
        <w:t xml:space="preserve">, assumed the intervenor’s interest even though the underlying statute did not provide </w:t>
      </w:r>
      <w:r w:rsidR="00E77CE4">
        <w:rPr>
          <w:rFonts w:ascii="Garamond" w:hAnsi="Garamond"/>
        </w:rPr>
        <w:t>him</w:t>
      </w:r>
      <w:r w:rsidR="003617D0" w:rsidRPr="00F90A54">
        <w:rPr>
          <w:rFonts w:ascii="Garamond" w:hAnsi="Garamond"/>
        </w:rPr>
        <w:t xml:space="preserve"> with a cause of action.</w:t>
      </w:r>
      <w:r w:rsidR="003617D0" w:rsidRPr="00F90A54">
        <w:rPr>
          <w:rStyle w:val="FootnoteReference"/>
          <w:rFonts w:ascii="Garamond" w:hAnsi="Garamond"/>
        </w:rPr>
        <w:footnoteReference w:id="53"/>
      </w:r>
      <w:r w:rsidR="003617D0" w:rsidRPr="00F90A54">
        <w:rPr>
          <w:rFonts w:ascii="Garamond" w:hAnsi="Garamond"/>
        </w:rPr>
        <w:t xml:space="preserve"> This suggested that, whatever a </w:t>
      </w:r>
      <w:r w:rsidR="00E77CE4">
        <w:rPr>
          <w:rFonts w:ascii="Garamond" w:hAnsi="Garamond"/>
        </w:rPr>
        <w:t>“</w:t>
      </w:r>
      <w:r w:rsidR="003617D0" w:rsidRPr="00F90A54">
        <w:rPr>
          <w:rFonts w:ascii="Garamond" w:hAnsi="Garamond"/>
        </w:rPr>
        <w:t>significantly protectable</w:t>
      </w:r>
      <w:r w:rsidR="00E77CE4">
        <w:rPr>
          <w:rFonts w:ascii="Garamond" w:hAnsi="Garamond"/>
        </w:rPr>
        <w:t>”</w:t>
      </w:r>
      <w:r w:rsidR="003617D0" w:rsidRPr="00F90A54">
        <w:rPr>
          <w:rFonts w:ascii="Garamond" w:hAnsi="Garamond"/>
        </w:rPr>
        <w:t xml:space="preserve"> interest might be, it </w:t>
      </w:r>
      <w:r w:rsidR="00AC6AA1" w:rsidRPr="00F90A54">
        <w:rPr>
          <w:rFonts w:ascii="Garamond" w:hAnsi="Garamond"/>
        </w:rPr>
        <w:t>is</w:t>
      </w:r>
      <w:r w:rsidR="003617D0" w:rsidRPr="00F90A54">
        <w:rPr>
          <w:rFonts w:ascii="Garamond" w:hAnsi="Garamond"/>
        </w:rPr>
        <w:t xml:space="preserve"> not tied to whether the person ha</w:t>
      </w:r>
      <w:r w:rsidR="00AC6AA1" w:rsidRPr="00F90A54">
        <w:rPr>
          <w:rFonts w:ascii="Garamond" w:hAnsi="Garamond"/>
        </w:rPr>
        <w:t>s</w:t>
      </w:r>
      <w:r w:rsidR="003617D0" w:rsidRPr="00F90A54">
        <w:rPr>
          <w:rFonts w:ascii="Garamond" w:hAnsi="Garamond"/>
        </w:rPr>
        <w:t xml:space="preserve"> a legal right protected by a legal remedy.</w:t>
      </w:r>
    </w:p>
    <w:p w14:paraId="6EF609C9" w14:textId="6131F2B2" w:rsidR="00DE722C" w:rsidRPr="00F90A54" w:rsidRDefault="00DE722C" w:rsidP="001F4A3F">
      <w:pPr>
        <w:ind w:firstLine="360"/>
        <w:jc w:val="both"/>
        <w:rPr>
          <w:rFonts w:ascii="Garamond" w:hAnsi="Garamond"/>
        </w:rPr>
      </w:pPr>
      <w:r w:rsidRPr="00F90A54">
        <w:rPr>
          <w:rFonts w:ascii="Garamond" w:hAnsi="Garamond"/>
        </w:rPr>
        <w:t xml:space="preserve">Without further guidance, </w:t>
      </w:r>
      <w:r w:rsidR="00145F67" w:rsidRPr="00F90A54">
        <w:rPr>
          <w:rFonts w:ascii="Garamond" w:hAnsi="Garamond"/>
        </w:rPr>
        <w:t xml:space="preserve">federal district and appellate </w:t>
      </w:r>
      <w:r w:rsidRPr="00F90A54">
        <w:rPr>
          <w:rFonts w:ascii="Garamond" w:hAnsi="Garamond"/>
        </w:rPr>
        <w:t>courts have recognized an expanding assortment of interests qualifying third parties for a right to intervene, especially in public</w:t>
      </w:r>
      <w:r w:rsidR="00E77CE4">
        <w:rPr>
          <w:rFonts w:ascii="Garamond" w:hAnsi="Garamond"/>
        </w:rPr>
        <w:t>-</w:t>
      </w:r>
      <w:r w:rsidRPr="00F90A54">
        <w:rPr>
          <w:rFonts w:ascii="Garamond" w:hAnsi="Garamond"/>
        </w:rPr>
        <w:t>law cases.</w:t>
      </w:r>
      <w:r w:rsidRPr="00F90A54">
        <w:rPr>
          <w:rStyle w:val="FootnoteReference"/>
          <w:rFonts w:ascii="Garamond" w:hAnsi="Garamond"/>
        </w:rPr>
        <w:footnoteReference w:id="54"/>
      </w:r>
      <w:r w:rsidRPr="00F90A54">
        <w:rPr>
          <w:rFonts w:ascii="Garamond" w:hAnsi="Garamond"/>
        </w:rPr>
        <w:t xml:space="preserve"> For example, some courts recognize that beneficiaries of a regulatory scheme have a right to intervene to defend their </w:t>
      </w:r>
      <w:r w:rsidR="00A13809" w:rsidRPr="00F90A54">
        <w:rPr>
          <w:rFonts w:ascii="Garamond" w:hAnsi="Garamond"/>
        </w:rPr>
        <w:t xml:space="preserve">economic </w:t>
      </w:r>
      <w:r w:rsidR="00C02D6A" w:rsidRPr="00F90A54">
        <w:rPr>
          <w:rFonts w:ascii="Garamond" w:hAnsi="Garamond"/>
        </w:rPr>
        <w:t xml:space="preserve">and professional </w:t>
      </w:r>
      <w:r w:rsidRPr="00F90A54">
        <w:rPr>
          <w:rFonts w:ascii="Garamond" w:hAnsi="Garamond"/>
        </w:rPr>
        <w:t>interests.</w:t>
      </w:r>
      <w:r w:rsidRPr="00F90A54">
        <w:rPr>
          <w:rStyle w:val="FootnoteReference"/>
          <w:rFonts w:ascii="Garamond" w:hAnsi="Garamond"/>
        </w:rPr>
        <w:footnoteReference w:id="55"/>
      </w:r>
      <w:r w:rsidRPr="00F90A54">
        <w:rPr>
          <w:rFonts w:ascii="Garamond" w:hAnsi="Garamond"/>
        </w:rPr>
        <w:t xml:space="preserve"> Other</w:t>
      </w:r>
      <w:r w:rsidR="00C02D6A" w:rsidRPr="00F90A54">
        <w:rPr>
          <w:rFonts w:ascii="Garamond" w:hAnsi="Garamond"/>
        </w:rPr>
        <w:t xml:space="preserve"> courts</w:t>
      </w:r>
      <w:r w:rsidRPr="00F90A54">
        <w:rPr>
          <w:rFonts w:ascii="Garamond" w:hAnsi="Garamond"/>
        </w:rPr>
        <w:t xml:space="preserve"> have held that those who advocated for a law to </w:t>
      </w:r>
      <w:r w:rsidRPr="00F90A54">
        <w:rPr>
          <w:rFonts w:ascii="Garamond" w:hAnsi="Garamond"/>
        </w:rPr>
        <w:lastRenderedPageBreak/>
        <w:t>pass can intervene to defend its legality.</w:t>
      </w:r>
      <w:r w:rsidRPr="00F90A54">
        <w:rPr>
          <w:rStyle w:val="FootnoteReference"/>
          <w:rFonts w:ascii="Garamond" w:hAnsi="Garamond"/>
        </w:rPr>
        <w:footnoteReference w:id="56"/>
      </w:r>
      <w:r w:rsidRPr="00F90A54">
        <w:rPr>
          <w:rFonts w:ascii="Garamond" w:hAnsi="Garamond"/>
        </w:rPr>
        <w:t xml:space="preserve"> Parents may </w:t>
      </w:r>
      <w:r w:rsidR="00E5195D" w:rsidRPr="00F90A54">
        <w:rPr>
          <w:rFonts w:ascii="Garamond" w:hAnsi="Garamond"/>
        </w:rPr>
        <w:t xml:space="preserve">intervene to protect their </w:t>
      </w:r>
      <w:r w:rsidRPr="00F90A54">
        <w:rPr>
          <w:rFonts w:ascii="Garamond" w:hAnsi="Garamond"/>
        </w:rPr>
        <w:t>interest “in a sound educational system.”</w:t>
      </w:r>
      <w:r w:rsidRPr="00F90A54">
        <w:rPr>
          <w:rStyle w:val="FootnoteReference"/>
          <w:rFonts w:ascii="Garamond" w:hAnsi="Garamond"/>
        </w:rPr>
        <w:footnoteReference w:id="57"/>
      </w:r>
      <w:r w:rsidRPr="00F90A54">
        <w:rPr>
          <w:rFonts w:ascii="Garamond" w:hAnsi="Garamond"/>
        </w:rPr>
        <w:t xml:space="preserve"> Nonprofits may have an interest in preserving their time and resources.</w:t>
      </w:r>
      <w:r w:rsidRPr="00F90A54">
        <w:rPr>
          <w:rStyle w:val="FootnoteReference"/>
          <w:rFonts w:ascii="Garamond" w:hAnsi="Garamond"/>
        </w:rPr>
        <w:footnoteReference w:id="58"/>
      </w:r>
      <w:r w:rsidRPr="00F90A54">
        <w:rPr>
          <w:rFonts w:ascii="Garamond" w:hAnsi="Garamond"/>
        </w:rPr>
        <w:t xml:space="preserve"> The press may have an interest in informing the public.</w:t>
      </w:r>
      <w:r w:rsidRPr="00F90A54">
        <w:rPr>
          <w:rStyle w:val="FootnoteReference"/>
          <w:rFonts w:ascii="Garamond" w:hAnsi="Garamond"/>
        </w:rPr>
        <w:footnoteReference w:id="59"/>
      </w:r>
      <w:r w:rsidRPr="00F90A54">
        <w:rPr>
          <w:rFonts w:ascii="Garamond" w:hAnsi="Garamond"/>
        </w:rPr>
        <w:t xml:space="preserve"> Companies may have an interest in avoiding a more burdensome standard for liability.</w:t>
      </w:r>
      <w:r w:rsidRPr="00F90A54">
        <w:rPr>
          <w:rStyle w:val="FootnoteReference"/>
          <w:rFonts w:ascii="Garamond" w:hAnsi="Garamond"/>
        </w:rPr>
        <w:footnoteReference w:id="60"/>
      </w:r>
      <w:r w:rsidRPr="00F90A54">
        <w:rPr>
          <w:rFonts w:ascii="Garamond" w:hAnsi="Garamond"/>
        </w:rPr>
        <w:t xml:space="preserve"> And environmentalists may have an interest in protecting natural areas </w:t>
      </w:r>
      <w:r w:rsidR="00A03CBA" w:rsidRPr="00F90A54">
        <w:rPr>
          <w:rFonts w:ascii="Garamond" w:hAnsi="Garamond"/>
        </w:rPr>
        <w:t>or</w:t>
      </w:r>
      <w:r w:rsidRPr="00F90A54">
        <w:rPr>
          <w:rFonts w:ascii="Garamond" w:hAnsi="Garamond"/>
        </w:rPr>
        <w:t xml:space="preserve"> wildlife.</w:t>
      </w:r>
      <w:r w:rsidRPr="00F90A54">
        <w:rPr>
          <w:rStyle w:val="FootnoteReference"/>
          <w:rFonts w:ascii="Garamond" w:hAnsi="Garamond"/>
        </w:rPr>
        <w:footnoteReference w:id="61"/>
      </w:r>
      <w:r w:rsidRPr="00F90A54">
        <w:rPr>
          <w:rFonts w:ascii="Garamond" w:hAnsi="Garamond"/>
        </w:rPr>
        <w:t xml:space="preserve"> </w:t>
      </w:r>
    </w:p>
    <w:p w14:paraId="7D51A3DB" w14:textId="2192774C" w:rsidR="00A03CBA" w:rsidRPr="00F90A54" w:rsidRDefault="00DE722C" w:rsidP="001F4A3F">
      <w:pPr>
        <w:ind w:firstLine="360"/>
        <w:jc w:val="both"/>
        <w:rPr>
          <w:rFonts w:ascii="Garamond" w:hAnsi="Garamond"/>
        </w:rPr>
      </w:pPr>
      <w:r w:rsidRPr="00F90A54">
        <w:rPr>
          <w:rFonts w:ascii="Garamond" w:hAnsi="Garamond"/>
        </w:rPr>
        <w:t>This expansion has come at the cost of coherence and consistency.</w:t>
      </w:r>
      <w:r w:rsidRPr="00F90A54">
        <w:rPr>
          <w:rStyle w:val="FootnoteReference"/>
          <w:rFonts w:ascii="Garamond" w:hAnsi="Garamond"/>
        </w:rPr>
        <w:footnoteReference w:id="62"/>
      </w:r>
      <w:r w:rsidRPr="00F90A54">
        <w:rPr>
          <w:rFonts w:ascii="Garamond" w:hAnsi="Garamond"/>
        </w:rPr>
        <w:t xml:space="preserve"> For example, take </w:t>
      </w:r>
      <w:r w:rsidR="00A03CBA" w:rsidRPr="00F90A54">
        <w:rPr>
          <w:rFonts w:ascii="Garamond" w:hAnsi="Garamond"/>
        </w:rPr>
        <w:t xml:space="preserve">whether a company benefiting from a challenged regulatory scheme can intervene. That interest might be seen to be purely financial; at bottom, it’s about whether the company will continue to profit from the regulation. Some courts might say that Rule 24 </w:t>
      </w:r>
      <w:r w:rsidRPr="00F90A54">
        <w:rPr>
          <w:rFonts w:ascii="Garamond" w:hAnsi="Garamond"/>
        </w:rPr>
        <w:t>“requires a showing of something more than a mere economic interest”</w:t>
      </w:r>
      <w:r w:rsidR="00A03CBA" w:rsidRPr="00F90A54">
        <w:rPr>
          <w:rFonts w:ascii="Garamond" w:hAnsi="Garamond"/>
        </w:rPr>
        <w:t xml:space="preserve"> and deny the motion.</w:t>
      </w:r>
      <w:r w:rsidRPr="00F90A54">
        <w:rPr>
          <w:rStyle w:val="FootnoteReference"/>
          <w:rFonts w:ascii="Garamond" w:hAnsi="Garamond"/>
        </w:rPr>
        <w:footnoteReference w:id="63"/>
      </w:r>
      <w:r w:rsidRPr="00F90A54">
        <w:rPr>
          <w:rFonts w:ascii="Garamond" w:hAnsi="Garamond"/>
        </w:rPr>
        <w:t xml:space="preserve"> </w:t>
      </w:r>
      <w:r w:rsidR="00A03CBA" w:rsidRPr="00F90A54">
        <w:rPr>
          <w:rFonts w:ascii="Garamond" w:hAnsi="Garamond"/>
        </w:rPr>
        <w:t>Other courts</w:t>
      </w:r>
      <w:r w:rsidRPr="00F90A54">
        <w:rPr>
          <w:rFonts w:ascii="Garamond" w:hAnsi="Garamond"/>
        </w:rPr>
        <w:t xml:space="preserve">—even in the same circuit—will </w:t>
      </w:r>
      <w:r w:rsidR="00A03CBA" w:rsidRPr="00F90A54">
        <w:rPr>
          <w:rFonts w:ascii="Garamond" w:hAnsi="Garamond"/>
        </w:rPr>
        <w:t>conclude</w:t>
      </w:r>
      <w:r w:rsidRPr="00F90A54">
        <w:rPr>
          <w:rFonts w:ascii="Garamond" w:hAnsi="Garamond"/>
        </w:rPr>
        <w:t xml:space="preserve"> that an “interest in preventing an economic injury is certainly sufficient”</w:t>
      </w:r>
      <w:r w:rsidR="00A03CBA" w:rsidRPr="00F90A54">
        <w:rPr>
          <w:rFonts w:ascii="Garamond" w:hAnsi="Garamond"/>
        </w:rPr>
        <w:t xml:space="preserve"> and grant it.</w:t>
      </w:r>
      <w:r w:rsidRPr="00F90A54">
        <w:rPr>
          <w:rStyle w:val="FootnoteReference"/>
          <w:rFonts w:ascii="Garamond" w:hAnsi="Garamond"/>
        </w:rPr>
        <w:footnoteReference w:id="64"/>
      </w:r>
      <w:r w:rsidRPr="00F90A54">
        <w:rPr>
          <w:rFonts w:ascii="Garamond" w:hAnsi="Garamond"/>
        </w:rPr>
        <w:t xml:space="preserve"> </w:t>
      </w:r>
      <w:r w:rsidR="003E0586" w:rsidRPr="00F90A54">
        <w:rPr>
          <w:rFonts w:ascii="Garamond" w:hAnsi="Garamond"/>
        </w:rPr>
        <w:t xml:space="preserve">And both courts will likely be applying current circuit precedent. </w:t>
      </w:r>
    </w:p>
    <w:p w14:paraId="6FE24C8B" w14:textId="42CB0742" w:rsidR="00DE722C" w:rsidRPr="00F90A54" w:rsidRDefault="003E0586" w:rsidP="001F4A3F">
      <w:pPr>
        <w:ind w:firstLine="360"/>
        <w:jc w:val="both"/>
        <w:rPr>
          <w:rFonts w:ascii="Garamond" w:hAnsi="Garamond"/>
        </w:rPr>
      </w:pPr>
      <w:r w:rsidRPr="00F90A54">
        <w:rPr>
          <w:rFonts w:ascii="Garamond" w:hAnsi="Garamond"/>
        </w:rPr>
        <w:t>It is little wonder then why</w:t>
      </w:r>
      <w:r w:rsidR="00DE722C" w:rsidRPr="00F90A54">
        <w:rPr>
          <w:rFonts w:ascii="Garamond" w:hAnsi="Garamond"/>
        </w:rPr>
        <w:t xml:space="preserve"> courts openly acknowledge that the </w:t>
      </w:r>
      <w:r w:rsidRPr="00F90A54">
        <w:rPr>
          <w:rFonts w:ascii="Garamond" w:hAnsi="Garamond"/>
        </w:rPr>
        <w:t xml:space="preserve">interest </w:t>
      </w:r>
      <w:r w:rsidR="00DE722C" w:rsidRPr="00F90A54">
        <w:rPr>
          <w:rFonts w:ascii="Garamond" w:hAnsi="Garamond"/>
        </w:rPr>
        <w:t xml:space="preserve">test is often </w:t>
      </w:r>
      <w:r w:rsidRPr="00F90A54">
        <w:rPr>
          <w:rFonts w:ascii="Garamond" w:hAnsi="Garamond"/>
        </w:rPr>
        <w:t>up</w:t>
      </w:r>
      <w:r w:rsidR="00DE722C" w:rsidRPr="00F90A54">
        <w:rPr>
          <w:rFonts w:ascii="Garamond" w:hAnsi="Garamond"/>
        </w:rPr>
        <w:t xml:space="preserve"> to the court’s discretion. As one court put it, </w:t>
      </w:r>
      <w:r w:rsidR="00E445A0" w:rsidRPr="00F90A54">
        <w:rPr>
          <w:rFonts w:ascii="Garamond" w:hAnsi="Garamond"/>
        </w:rPr>
        <w:t>judges</w:t>
      </w:r>
      <w:r w:rsidR="00DE722C" w:rsidRPr="00F90A54">
        <w:rPr>
          <w:rFonts w:ascii="Garamond" w:hAnsi="Garamond"/>
        </w:rPr>
        <w:t xml:space="preserve"> “pay lip service” to the test and then “regularly manage to manipulate (ignore?) the language to reach the result required by practical considerations.”</w:t>
      </w:r>
      <w:r w:rsidR="00DE722C" w:rsidRPr="00F90A54">
        <w:rPr>
          <w:rStyle w:val="FootnoteReference"/>
          <w:rFonts w:ascii="Garamond" w:hAnsi="Garamond"/>
        </w:rPr>
        <w:footnoteReference w:id="65"/>
      </w:r>
      <w:r w:rsidR="00DE722C" w:rsidRPr="00F90A54">
        <w:rPr>
          <w:rFonts w:ascii="Garamond" w:hAnsi="Garamond"/>
        </w:rPr>
        <w:t xml:space="preserve"> </w:t>
      </w:r>
    </w:p>
    <w:p w14:paraId="2FB53B01" w14:textId="677A83BD" w:rsidR="00D01004" w:rsidRPr="00F90A54" w:rsidRDefault="00E319CA" w:rsidP="001F4A3F">
      <w:pPr>
        <w:ind w:firstLine="360"/>
        <w:jc w:val="both"/>
        <w:rPr>
          <w:rFonts w:ascii="Garamond" w:hAnsi="Garamond"/>
        </w:rPr>
      </w:pPr>
      <w:r w:rsidRPr="00F90A54">
        <w:rPr>
          <w:rFonts w:ascii="Garamond" w:hAnsi="Garamond"/>
        </w:rPr>
        <w:t>To cabin the interest analysis, some courts have compared the interest requirement to the injury-in-fact test for Article III standing.</w:t>
      </w:r>
      <w:r w:rsidR="00DE722C" w:rsidRPr="00F90A54">
        <w:rPr>
          <w:rFonts w:ascii="Garamond" w:hAnsi="Garamond"/>
        </w:rPr>
        <w:t xml:space="preserve"> </w:t>
      </w:r>
      <w:r w:rsidRPr="00F90A54">
        <w:rPr>
          <w:rFonts w:ascii="Garamond" w:hAnsi="Garamond"/>
        </w:rPr>
        <w:t xml:space="preserve">The strategy appears to be that if </w:t>
      </w:r>
      <w:r w:rsidRPr="00F90A54">
        <w:rPr>
          <w:rFonts w:ascii="Garamond" w:hAnsi="Garamond"/>
        </w:rPr>
        <w:lastRenderedPageBreak/>
        <w:t>standing curbed ideological litigation, it will also curb ideological intervention.</w:t>
      </w:r>
      <w:r w:rsidRPr="00F90A54">
        <w:rPr>
          <w:rStyle w:val="FootnoteReference"/>
          <w:rFonts w:ascii="Garamond" w:hAnsi="Garamond"/>
        </w:rPr>
        <w:footnoteReference w:id="66"/>
      </w:r>
      <w:r w:rsidRPr="00F90A54">
        <w:rPr>
          <w:rFonts w:ascii="Garamond" w:hAnsi="Garamond"/>
        </w:rPr>
        <w:t xml:space="preserve"> </w:t>
      </w:r>
      <w:r w:rsidR="00F87083" w:rsidRPr="00F90A54">
        <w:rPr>
          <w:rFonts w:ascii="Garamond" w:hAnsi="Garamond"/>
        </w:rPr>
        <w:t xml:space="preserve">This has sparked a separate debate about whether </w:t>
      </w:r>
      <w:r w:rsidR="003C3511" w:rsidRPr="00F90A54">
        <w:rPr>
          <w:rFonts w:ascii="Garamond" w:hAnsi="Garamond"/>
        </w:rPr>
        <w:t>Article III standing is independent of or intertwined</w:t>
      </w:r>
      <w:r w:rsidR="002301D2" w:rsidRPr="00F90A54">
        <w:rPr>
          <w:rFonts w:ascii="Garamond" w:hAnsi="Garamond"/>
        </w:rPr>
        <w:t xml:space="preserve"> </w:t>
      </w:r>
      <w:r w:rsidR="003C3511" w:rsidRPr="00F90A54">
        <w:rPr>
          <w:rFonts w:ascii="Garamond" w:hAnsi="Garamond"/>
        </w:rPr>
        <w:t>with Rule 24’s requirements</w:t>
      </w:r>
      <w:r w:rsidR="002301D2" w:rsidRPr="00F90A54">
        <w:rPr>
          <w:rFonts w:ascii="Garamond" w:hAnsi="Garamond"/>
        </w:rPr>
        <w:t xml:space="preserve"> (or whether intervenor standing is required at all when </w:t>
      </w:r>
      <w:r w:rsidR="00484C6E">
        <w:rPr>
          <w:rFonts w:ascii="Garamond" w:hAnsi="Garamond"/>
        </w:rPr>
        <w:t>the outsider</w:t>
      </w:r>
      <w:r w:rsidR="002301D2" w:rsidRPr="00F90A54">
        <w:rPr>
          <w:rFonts w:ascii="Garamond" w:hAnsi="Garamond"/>
        </w:rPr>
        <w:t xml:space="preserve"> seek</w:t>
      </w:r>
      <w:r w:rsidR="00484C6E">
        <w:rPr>
          <w:rFonts w:ascii="Garamond" w:hAnsi="Garamond"/>
        </w:rPr>
        <w:t>s</w:t>
      </w:r>
      <w:r w:rsidR="002301D2" w:rsidRPr="00F90A54">
        <w:rPr>
          <w:rFonts w:ascii="Garamond" w:hAnsi="Garamond"/>
        </w:rPr>
        <w:t xml:space="preserve"> the same relief as a party)</w:t>
      </w:r>
      <w:r w:rsidR="003C3511" w:rsidRPr="00F90A54">
        <w:rPr>
          <w:rFonts w:ascii="Garamond" w:hAnsi="Garamond"/>
        </w:rPr>
        <w:t>.</w:t>
      </w:r>
      <w:r w:rsidR="00DE722C" w:rsidRPr="00F90A54">
        <w:rPr>
          <w:rStyle w:val="FootnoteReference"/>
          <w:rFonts w:ascii="Garamond" w:hAnsi="Garamond"/>
        </w:rPr>
        <w:footnoteReference w:id="67"/>
      </w:r>
      <w:r w:rsidR="00DE722C" w:rsidRPr="00F90A54">
        <w:rPr>
          <w:rFonts w:ascii="Garamond" w:hAnsi="Garamond"/>
        </w:rPr>
        <w:t xml:space="preserve"> </w:t>
      </w:r>
    </w:p>
    <w:p w14:paraId="579F5952" w14:textId="171B95D8" w:rsidR="00DE722C" w:rsidRPr="00F90A54" w:rsidRDefault="00D01004" w:rsidP="001F4A3F">
      <w:pPr>
        <w:ind w:firstLine="360"/>
        <w:jc w:val="both"/>
        <w:rPr>
          <w:rFonts w:ascii="Garamond" w:hAnsi="Garamond"/>
        </w:rPr>
      </w:pPr>
      <w:r w:rsidRPr="00F90A54">
        <w:rPr>
          <w:rFonts w:ascii="Garamond" w:hAnsi="Garamond"/>
        </w:rPr>
        <w:t>B</w:t>
      </w:r>
      <w:r w:rsidR="00FA5E91" w:rsidRPr="00F90A54">
        <w:rPr>
          <w:rFonts w:ascii="Garamond" w:hAnsi="Garamond"/>
        </w:rPr>
        <w:t xml:space="preserve">ut </w:t>
      </w:r>
      <w:r w:rsidRPr="00F90A54">
        <w:rPr>
          <w:rFonts w:ascii="Garamond" w:hAnsi="Garamond"/>
        </w:rPr>
        <w:t xml:space="preserve">the comparison hasn’t worked to reduce judicial discretion in </w:t>
      </w:r>
      <w:r w:rsidR="00FA5E91" w:rsidRPr="00F90A54">
        <w:rPr>
          <w:rFonts w:ascii="Garamond" w:hAnsi="Garamond"/>
        </w:rPr>
        <w:t xml:space="preserve">recognizing interests for intervention; it </w:t>
      </w:r>
      <w:r w:rsidR="00484C6E">
        <w:rPr>
          <w:rFonts w:ascii="Garamond" w:hAnsi="Garamond"/>
        </w:rPr>
        <w:t xml:space="preserve">has </w:t>
      </w:r>
      <w:r w:rsidR="00FA5E91" w:rsidRPr="00F90A54">
        <w:rPr>
          <w:rFonts w:ascii="Garamond" w:hAnsi="Garamond"/>
        </w:rPr>
        <w:t>merely trade</w:t>
      </w:r>
      <w:r w:rsidR="00484C6E">
        <w:rPr>
          <w:rFonts w:ascii="Garamond" w:hAnsi="Garamond"/>
        </w:rPr>
        <w:t>d</w:t>
      </w:r>
      <w:r w:rsidR="00FA5E91" w:rsidRPr="00F90A54">
        <w:rPr>
          <w:rFonts w:ascii="Garamond" w:hAnsi="Garamond"/>
        </w:rPr>
        <w:t xml:space="preserve"> one vague element for another. It is unclear, for instance, whether the injury-in-fact requirement encompasses fewer or more interests than Rule 24. </w:t>
      </w:r>
      <w:r w:rsidR="00DE722C" w:rsidRPr="00F90A54">
        <w:rPr>
          <w:rFonts w:ascii="Garamond" w:hAnsi="Garamond"/>
        </w:rPr>
        <w:t>Some courts have held that “so little is required for Article III standing that if no more were required for intervention as a matter of right, intervention would be too easy and clutter too many lawsuits with too many parties.”</w:t>
      </w:r>
      <w:r w:rsidR="00DE722C" w:rsidRPr="00F90A54">
        <w:rPr>
          <w:rStyle w:val="FootnoteReference"/>
          <w:rFonts w:ascii="Garamond" w:hAnsi="Garamond"/>
        </w:rPr>
        <w:footnoteReference w:id="68"/>
      </w:r>
      <w:r w:rsidR="00DE722C" w:rsidRPr="00F90A54">
        <w:rPr>
          <w:rFonts w:ascii="Garamond" w:hAnsi="Garamond"/>
        </w:rPr>
        <w:t xml:space="preserve"> After</w:t>
      </w:r>
      <w:r w:rsidR="00DD1A5F" w:rsidRPr="00F90A54">
        <w:rPr>
          <w:rFonts w:ascii="Garamond" w:hAnsi="Garamond"/>
        </w:rPr>
        <w:t xml:space="preserve"> </w:t>
      </w:r>
      <w:r w:rsidR="00DE722C" w:rsidRPr="00F90A54">
        <w:rPr>
          <w:rFonts w:ascii="Garamond" w:hAnsi="Garamond"/>
        </w:rPr>
        <w:t>all, litigants have standing to recover even nominal damages—but it appears that no court has held that an intervenor has an interest in recovering a single dollar judgment.</w:t>
      </w:r>
      <w:r w:rsidR="00DE722C" w:rsidRPr="00F90A54">
        <w:rPr>
          <w:rStyle w:val="FootnoteReference"/>
          <w:rFonts w:ascii="Garamond" w:hAnsi="Garamond"/>
        </w:rPr>
        <w:footnoteReference w:id="69"/>
      </w:r>
      <w:r w:rsidR="00DE722C" w:rsidRPr="00F90A54">
        <w:rPr>
          <w:rFonts w:ascii="Garamond" w:hAnsi="Garamond"/>
        </w:rPr>
        <w:t xml:space="preserve"> </w:t>
      </w:r>
    </w:p>
    <w:p w14:paraId="17327D20" w14:textId="77777777" w:rsidR="00DE722C" w:rsidRPr="00F90A54" w:rsidRDefault="00DE722C" w:rsidP="00DE722C">
      <w:pPr>
        <w:ind w:firstLine="360"/>
        <w:rPr>
          <w:rFonts w:ascii="Garamond" w:hAnsi="Garamond"/>
        </w:rPr>
      </w:pPr>
    </w:p>
    <w:p w14:paraId="06F70268" w14:textId="11625052" w:rsidR="00DE722C" w:rsidRPr="00F90A54" w:rsidRDefault="00DE722C" w:rsidP="00D9403B">
      <w:pPr>
        <w:pStyle w:val="Heading3"/>
        <w:keepNext/>
      </w:pPr>
      <w:bookmarkStart w:id="5" w:name="_Toc143336549"/>
      <w:r w:rsidRPr="00F90A54">
        <w:t>Impair</w:t>
      </w:r>
      <w:r w:rsidR="00210D0B" w:rsidRPr="00F90A54">
        <w:t>ment</w:t>
      </w:r>
      <w:bookmarkEnd w:id="5"/>
    </w:p>
    <w:p w14:paraId="4D23F1B9" w14:textId="77777777" w:rsidR="00DE722C" w:rsidRPr="00F90A54" w:rsidRDefault="00DE722C" w:rsidP="00D9403B">
      <w:pPr>
        <w:keepNext/>
        <w:ind w:left="360" w:hanging="360"/>
        <w:rPr>
          <w:rFonts w:ascii="Garamond" w:hAnsi="Garamond"/>
        </w:rPr>
      </w:pPr>
    </w:p>
    <w:p w14:paraId="76FD2AE8" w14:textId="04A95D69" w:rsidR="00DE722C" w:rsidRPr="00F90A54" w:rsidRDefault="00DE722C" w:rsidP="001F4A3F">
      <w:pPr>
        <w:ind w:firstLine="360"/>
        <w:jc w:val="both"/>
        <w:rPr>
          <w:rFonts w:ascii="Garamond" w:hAnsi="Garamond"/>
        </w:rPr>
      </w:pPr>
      <w:r w:rsidRPr="00F90A54">
        <w:rPr>
          <w:rFonts w:ascii="Garamond" w:hAnsi="Garamond"/>
        </w:rPr>
        <w:t>The next factor in the Rule 24 analysis is whether the applicant’s interest “is so situated that disposing of the action may as a practical matter impair or impede the movant’s ability to protect its interest.”</w:t>
      </w:r>
      <w:r w:rsidRPr="00F90A54">
        <w:rPr>
          <w:rStyle w:val="FootnoteReference"/>
          <w:rFonts w:ascii="Garamond" w:hAnsi="Garamond"/>
        </w:rPr>
        <w:footnoteReference w:id="70"/>
      </w:r>
      <w:r w:rsidRPr="00F90A54">
        <w:rPr>
          <w:rFonts w:ascii="Garamond" w:hAnsi="Garamond"/>
        </w:rPr>
        <w:t xml:space="preserve"> This factor </w:t>
      </w:r>
      <w:r w:rsidR="00FA5E91" w:rsidRPr="00F90A54">
        <w:rPr>
          <w:rFonts w:ascii="Garamond" w:hAnsi="Garamond"/>
        </w:rPr>
        <w:t>also</w:t>
      </w:r>
      <w:r w:rsidRPr="00F90A54">
        <w:rPr>
          <w:rFonts w:ascii="Garamond" w:hAnsi="Garamond"/>
        </w:rPr>
        <w:t xml:space="preserve"> fails to </w:t>
      </w:r>
      <w:r w:rsidR="00FA5E91" w:rsidRPr="00F90A54">
        <w:rPr>
          <w:rFonts w:ascii="Garamond" w:hAnsi="Garamond"/>
        </w:rPr>
        <w:t>limit</w:t>
      </w:r>
      <w:r w:rsidRPr="00F90A54">
        <w:rPr>
          <w:rFonts w:ascii="Garamond" w:hAnsi="Garamond"/>
        </w:rPr>
        <w:t xml:space="preserve"> judicial discretion to determine who has a right to intervene. </w:t>
      </w:r>
    </w:p>
    <w:p w14:paraId="6B209EC8" w14:textId="29C24D95" w:rsidR="00D66C84" w:rsidRPr="00F90A54" w:rsidRDefault="00551A0B" w:rsidP="001F4A3F">
      <w:pPr>
        <w:ind w:firstLine="360"/>
        <w:jc w:val="both"/>
        <w:rPr>
          <w:rFonts w:ascii="Garamond" w:hAnsi="Garamond"/>
        </w:rPr>
      </w:pPr>
      <w:r>
        <w:rPr>
          <w:rFonts w:ascii="Garamond" w:hAnsi="Garamond"/>
        </w:rPr>
        <w:t>C</w:t>
      </w:r>
      <w:r w:rsidR="00DE722C" w:rsidRPr="00F90A54">
        <w:rPr>
          <w:rFonts w:ascii="Garamond" w:hAnsi="Garamond"/>
        </w:rPr>
        <w:t xml:space="preserve">ourts have struggled to articulate a consistent standard for when an interest may be practically impaired. </w:t>
      </w:r>
      <w:r w:rsidR="00D66C84" w:rsidRPr="00F90A54">
        <w:rPr>
          <w:rFonts w:ascii="Garamond" w:hAnsi="Garamond"/>
        </w:rPr>
        <w:t>How “practical” does the impairment need to be? Does it matter if the intervenor could sue on their own in a separate action to protect their rights?</w:t>
      </w:r>
      <w:r w:rsidR="00D66C84" w:rsidRPr="00F90A54">
        <w:rPr>
          <w:rStyle w:val="FootnoteReference"/>
          <w:rFonts w:ascii="Garamond" w:hAnsi="Garamond"/>
        </w:rPr>
        <w:footnoteReference w:id="71"/>
      </w:r>
      <w:r w:rsidR="00D66C84" w:rsidRPr="00F90A54">
        <w:rPr>
          <w:rFonts w:ascii="Garamond" w:hAnsi="Garamond"/>
        </w:rPr>
        <w:t xml:space="preserve"> Is it sufficient that the pending case might result in adverse precedent?</w:t>
      </w:r>
      <w:r w:rsidR="00D66C84" w:rsidRPr="00F90A54">
        <w:rPr>
          <w:rStyle w:val="FootnoteReference"/>
          <w:rFonts w:ascii="Garamond" w:hAnsi="Garamond"/>
        </w:rPr>
        <w:footnoteReference w:id="72"/>
      </w:r>
      <w:r w:rsidR="00D66C84" w:rsidRPr="00F90A54">
        <w:rPr>
          <w:rFonts w:ascii="Garamond" w:hAnsi="Garamond"/>
        </w:rPr>
        <w:t xml:space="preserve"> The </w:t>
      </w:r>
      <w:r w:rsidR="00D66C84" w:rsidRPr="00F90A54">
        <w:rPr>
          <w:rFonts w:ascii="Garamond" w:hAnsi="Garamond"/>
        </w:rPr>
        <w:lastRenderedPageBreak/>
        <w:t xml:space="preserve">answers have varied, so that this factor has also opened the door to substantial judicial discretion. </w:t>
      </w:r>
    </w:p>
    <w:p w14:paraId="4248891B" w14:textId="77777777" w:rsidR="00DE722C" w:rsidRPr="00F90A54" w:rsidRDefault="00DE722C" w:rsidP="00DE722C">
      <w:pPr>
        <w:ind w:left="360" w:hanging="360"/>
        <w:rPr>
          <w:rFonts w:ascii="Garamond" w:hAnsi="Garamond"/>
        </w:rPr>
      </w:pPr>
    </w:p>
    <w:p w14:paraId="73C0B2E3" w14:textId="77777777" w:rsidR="00DE722C" w:rsidRPr="00F90A54" w:rsidRDefault="00DE722C" w:rsidP="00D9403B">
      <w:pPr>
        <w:pStyle w:val="Heading3"/>
        <w:keepNext/>
      </w:pPr>
      <w:bookmarkStart w:id="6" w:name="_Toc143336550"/>
      <w:r w:rsidRPr="00F90A54">
        <w:t>Adequate Representation</w:t>
      </w:r>
      <w:bookmarkEnd w:id="6"/>
    </w:p>
    <w:p w14:paraId="429BA5C0" w14:textId="77777777" w:rsidR="00DE722C" w:rsidRPr="00F90A54" w:rsidRDefault="00DE722C" w:rsidP="00D9403B">
      <w:pPr>
        <w:keepNext/>
        <w:ind w:left="360" w:hanging="360"/>
        <w:rPr>
          <w:rFonts w:ascii="Garamond" w:hAnsi="Garamond"/>
        </w:rPr>
      </w:pPr>
    </w:p>
    <w:p w14:paraId="6832972E" w14:textId="1632CBD7" w:rsidR="00DE722C" w:rsidRPr="00F90A54" w:rsidRDefault="00DE722C" w:rsidP="001F4A3F">
      <w:pPr>
        <w:ind w:firstLine="360"/>
        <w:jc w:val="both"/>
        <w:rPr>
          <w:rFonts w:ascii="Garamond" w:hAnsi="Garamond"/>
        </w:rPr>
      </w:pPr>
      <w:r w:rsidRPr="00F90A54">
        <w:rPr>
          <w:rFonts w:ascii="Garamond" w:hAnsi="Garamond"/>
        </w:rPr>
        <w:t>The final factor in the Rule 24 analysis grants a right to intervene “unless existing parties adequately represent [the outsider’s] interest.”</w:t>
      </w:r>
      <w:r w:rsidRPr="00F90A54">
        <w:rPr>
          <w:rStyle w:val="FootnoteReference"/>
          <w:rFonts w:ascii="Garamond" w:hAnsi="Garamond"/>
        </w:rPr>
        <w:footnoteReference w:id="73"/>
      </w:r>
      <w:r w:rsidRPr="00F90A54">
        <w:rPr>
          <w:rFonts w:ascii="Garamond" w:hAnsi="Garamond"/>
        </w:rPr>
        <w:t xml:space="preserve"> </w:t>
      </w:r>
      <w:r w:rsidR="00E445A0" w:rsidRPr="00F90A54">
        <w:rPr>
          <w:rFonts w:ascii="Garamond" w:hAnsi="Garamond"/>
        </w:rPr>
        <w:t xml:space="preserve">The adequate-representation requirement has become </w:t>
      </w:r>
      <w:r w:rsidRPr="00F90A54">
        <w:rPr>
          <w:rFonts w:ascii="Garamond" w:hAnsi="Garamond"/>
        </w:rPr>
        <w:t xml:space="preserve">the most problematic factor for those seeking a reliable rule for public law cases that involve a governmental actor, like suits for nationwide injunctions. </w:t>
      </w:r>
      <w:r w:rsidR="00990BD3" w:rsidRPr="00F90A54">
        <w:rPr>
          <w:rFonts w:ascii="Garamond" w:hAnsi="Garamond"/>
        </w:rPr>
        <w:t xml:space="preserve">This is </w:t>
      </w:r>
      <w:r w:rsidR="00E445A0" w:rsidRPr="00F90A54">
        <w:rPr>
          <w:rFonts w:ascii="Garamond" w:hAnsi="Garamond"/>
        </w:rPr>
        <w:t xml:space="preserve">because courts have read several conflicting </w:t>
      </w:r>
      <w:r w:rsidRPr="00F90A54">
        <w:rPr>
          <w:rFonts w:ascii="Garamond" w:hAnsi="Garamond"/>
        </w:rPr>
        <w:t>extra-textual presumptions</w:t>
      </w:r>
      <w:r w:rsidR="00E445A0" w:rsidRPr="00F90A54">
        <w:rPr>
          <w:rFonts w:ascii="Garamond" w:hAnsi="Garamond"/>
        </w:rPr>
        <w:t xml:space="preserve"> and exceptions</w:t>
      </w:r>
      <w:r w:rsidR="00990BD3" w:rsidRPr="00F90A54">
        <w:rPr>
          <w:rFonts w:ascii="Garamond" w:hAnsi="Garamond"/>
        </w:rPr>
        <w:t xml:space="preserve"> </w:t>
      </w:r>
      <w:r w:rsidR="00E445A0" w:rsidRPr="00F90A54">
        <w:rPr>
          <w:rFonts w:ascii="Garamond" w:hAnsi="Garamond"/>
        </w:rPr>
        <w:t>i</w:t>
      </w:r>
      <w:r w:rsidRPr="00F90A54">
        <w:rPr>
          <w:rFonts w:ascii="Garamond" w:hAnsi="Garamond"/>
        </w:rPr>
        <w:t xml:space="preserve">nto the rule </w:t>
      </w:r>
      <w:r w:rsidR="00E445A0" w:rsidRPr="00F90A54">
        <w:rPr>
          <w:rFonts w:ascii="Garamond" w:hAnsi="Garamond"/>
        </w:rPr>
        <w:t>that obscure who has a right to intervene.</w:t>
      </w:r>
      <w:r w:rsidRPr="00F90A54">
        <w:rPr>
          <w:rFonts w:ascii="Garamond" w:hAnsi="Garamond"/>
        </w:rPr>
        <w:t xml:space="preserve"> </w:t>
      </w:r>
    </w:p>
    <w:p w14:paraId="77DEB725" w14:textId="41E6DD7E" w:rsidR="00DE722C" w:rsidRPr="00F90A54" w:rsidRDefault="00990BD3" w:rsidP="001F4A3F">
      <w:pPr>
        <w:ind w:firstLine="360"/>
        <w:jc w:val="both"/>
        <w:rPr>
          <w:rFonts w:ascii="Garamond" w:hAnsi="Garamond"/>
        </w:rPr>
      </w:pPr>
      <w:r w:rsidRPr="00F90A54">
        <w:rPr>
          <w:rFonts w:ascii="Garamond" w:hAnsi="Garamond"/>
        </w:rPr>
        <w:t>Historically, c</w:t>
      </w:r>
      <w:r w:rsidR="00DE722C" w:rsidRPr="00F90A54">
        <w:rPr>
          <w:rFonts w:ascii="Garamond" w:hAnsi="Garamond"/>
        </w:rPr>
        <w:t xml:space="preserve">ourts often required more from </w:t>
      </w:r>
      <w:r w:rsidR="00476964" w:rsidRPr="00F90A54">
        <w:rPr>
          <w:rFonts w:ascii="Garamond" w:hAnsi="Garamond"/>
        </w:rPr>
        <w:t>non</w:t>
      </w:r>
      <w:r w:rsidR="00DE722C" w:rsidRPr="00F90A54">
        <w:rPr>
          <w:rFonts w:ascii="Garamond" w:hAnsi="Garamond"/>
        </w:rPr>
        <w:t xml:space="preserve">parties seeking to intervene in suits brought by or against a governmental entity, particularly the federal government. They frequently assumed that the government represented a broader “public interest” that incorporated </w:t>
      </w:r>
      <w:r w:rsidR="00767417" w:rsidRPr="00F90A54">
        <w:rPr>
          <w:rFonts w:ascii="Garamond" w:hAnsi="Garamond"/>
        </w:rPr>
        <w:t>some subset of individual</w:t>
      </w:r>
      <w:r w:rsidR="00DE722C" w:rsidRPr="00F90A54">
        <w:rPr>
          <w:rFonts w:ascii="Garamond" w:hAnsi="Garamond"/>
        </w:rPr>
        <w:t xml:space="preserve"> interests.</w:t>
      </w:r>
      <w:r w:rsidR="00DE722C" w:rsidRPr="00F90A54">
        <w:rPr>
          <w:rStyle w:val="FootnoteReference"/>
          <w:rFonts w:ascii="Garamond" w:hAnsi="Garamond"/>
        </w:rPr>
        <w:footnoteReference w:id="74"/>
      </w:r>
      <w:r w:rsidR="00DE722C" w:rsidRPr="00F90A54">
        <w:rPr>
          <w:rFonts w:ascii="Garamond" w:hAnsi="Garamond"/>
        </w:rPr>
        <w:t xml:space="preserve"> Litigants then had to meet a higher threshold to intervene by substantiating claims that the government was acting with “gross negligence or bad faith” rather than showing that the parties were merely acting on behalf of a different or adverse interest—the standard that often applied in </w:t>
      </w:r>
      <w:r w:rsidR="00767417" w:rsidRPr="00F90A54">
        <w:rPr>
          <w:rFonts w:ascii="Garamond" w:hAnsi="Garamond"/>
        </w:rPr>
        <w:t>cases between private parties</w:t>
      </w:r>
      <w:r w:rsidR="00DE722C" w:rsidRPr="00F90A54">
        <w:rPr>
          <w:rFonts w:ascii="Garamond" w:hAnsi="Garamond"/>
        </w:rPr>
        <w:t>.</w:t>
      </w:r>
      <w:r w:rsidR="00DE722C" w:rsidRPr="00F90A54">
        <w:rPr>
          <w:rStyle w:val="FootnoteReference"/>
          <w:rFonts w:ascii="Garamond" w:hAnsi="Garamond"/>
        </w:rPr>
        <w:footnoteReference w:id="75"/>
      </w:r>
      <w:r w:rsidR="00DE722C" w:rsidRPr="00F90A54">
        <w:rPr>
          <w:rFonts w:ascii="Garamond" w:hAnsi="Garamond"/>
        </w:rPr>
        <w:t xml:space="preserve"> </w:t>
      </w:r>
    </w:p>
    <w:p w14:paraId="42D09878" w14:textId="286332B8" w:rsidR="00DE722C" w:rsidRPr="00F90A54" w:rsidRDefault="00DE722C" w:rsidP="00D24894">
      <w:pPr>
        <w:ind w:firstLine="360"/>
        <w:jc w:val="both"/>
        <w:rPr>
          <w:rFonts w:ascii="Garamond" w:hAnsi="Garamond"/>
        </w:rPr>
      </w:pPr>
      <w:r w:rsidRPr="00F90A54">
        <w:rPr>
          <w:rFonts w:ascii="Garamond" w:hAnsi="Garamond"/>
        </w:rPr>
        <w:t xml:space="preserve">The 1966 amendments did not significantly </w:t>
      </w:r>
      <w:r w:rsidR="00BB756D">
        <w:rPr>
          <w:rFonts w:ascii="Garamond" w:hAnsi="Garamond"/>
        </w:rPr>
        <w:t>revise</w:t>
      </w:r>
      <w:r w:rsidRPr="00F90A54">
        <w:rPr>
          <w:rFonts w:ascii="Garamond" w:hAnsi="Garamond"/>
        </w:rPr>
        <w:t xml:space="preserve"> the text of the adequate-representation requirement.</w:t>
      </w:r>
      <w:r w:rsidRPr="00F90A54">
        <w:rPr>
          <w:rStyle w:val="FootnoteReference"/>
          <w:rFonts w:ascii="Garamond" w:hAnsi="Garamond"/>
        </w:rPr>
        <w:footnoteReference w:id="76"/>
      </w:r>
      <w:r w:rsidRPr="00F90A54">
        <w:rPr>
          <w:rFonts w:ascii="Garamond" w:hAnsi="Garamond"/>
        </w:rPr>
        <w:t xml:space="preserve"> But</w:t>
      </w:r>
      <w:r w:rsidR="00767417" w:rsidRPr="00F90A54">
        <w:rPr>
          <w:rFonts w:ascii="Garamond" w:hAnsi="Garamond"/>
        </w:rPr>
        <w:t xml:space="preserve"> starting </w:t>
      </w:r>
      <w:r w:rsidR="00D24894">
        <w:rPr>
          <w:rFonts w:ascii="Garamond" w:hAnsi="Garamond"/>
        </w:rPr>
        <w:t>mere months after the rule went into effect</w:t>
      </w:r>
      <w:r w:rsidR="00767417" w:rsidRPr="00F90A54">
        <w:rPr>
          <w:rFonts w:ascii="Garamond" w:hAnsi="Garamond"/>
        </w:rPr>
        <w:t xml:space="preserve">, </w:t>
      </w:r>
      <w:r w:rsidRPr="00F90A54">
        <w:rPr>
          <w:rFonts w:ascii="Garamond" w:hAnsi="Garamond"/>
        </w:rPr>
        <w:t xml:space="preserve">the Supreme Court </w:t>
      </w:r>
      <w:r w:rsidR="00767417" w:rsidRPr="00F90A54">
        <w:rPr>
          <w:rFonts w:ascii="Garamond" w:hAnsi="Garamond"/>
        </w:rPr>
        <w:t xml:space="preserve">issued a </w:t>
      </w:r>
      <w:r w:rsidR="00CB1065">
        <w:rPr>
          <w:rFonts w:ascii="Garamond" w:hAnsi="Garamond"/>
        </w:rPr>
        <w:t>decision</w:t>
      </w:r>
      <w:r w:rsidR="00767417" w:rsidRPr="00F90A54">
        <w:rPr>
          <w:rFonts w:ascii="Garamond" w:hAnsi="Garamond"/>
        </w:rPr>
        <w:t xml:space="preserve"> </w:t>
      </w:r>
      <w:r w:rsidRPr="00F90A54">
        <w:rPr>
          <w:rFonts w:ascii="Garamond" w:hAnsi="Garamond"/>
        </w:rPr>
        <w:t>suggest</w:t>
      </w:r>
      <w:r w:rsidR="00767417" w:rsidRPr="00F90A54">
        <w:rPr>
          <w:rFonts w:ascii="Garamond" w:hAnsi="Garamond"/>
        </w:rPr>
        <w:t>ing</w:t>
      </w:r>
      <w:r w:rsidRPr="00F90A54">
        <w:rPr>
          <w:rFonts w:ascii="Garamond" w:hAnsi="Garamond"/>
        </w:rPr>
        <w:t xml:space="preserve"> that the presumption no longer applied. In </w:t>
      </w:r>
      <w:r w:rsidRPr="00F90A54">
        <w:rPr>
          <w:rFonts w:ascii="Garamond" w:hAnsi="Garamond"/>
          <w:i/>
          <w:iCs/>
        </w:rPr>
        <w:t>Cascade Natural Gas Corporation v. El Paso Natural Gas Corporation</w:t>
      </w:r>
      <w:r w:rsidRPr="00F90A54">
        <w:rPr>
          <w:rFonts w:ascii="Garamond" w:hAnsi="Garamond"/>
        </w:rPr>
        <w:t>, the Court granted intervention to several commercial entities in an antitrust enforcement action.</w:t>
      </w:r>
      <w:r w:rsidRPr="00F90A54">
        <w:rPr>
          <w:rStyle w:val="FootnoteReference"/>
          <w:rFonts w:ascii="Garamond" w:hAnsi="Garamond"/>
        </w:rPr>
        <w:footnoteReference w:id="77"/>
      </w:r>
      <w:r w:rsidRPr="00F90A54">
        <w:rPr>
          <w:rFonts w:ascii="Garamond" w:hAnsi="Garamond"/>
          <w:i/>
          <w:iCs/>
        </w:rPr>
        <w:t xml:space="preserve"> </w:t>
      </w:r>
      <w:r w:rsidRPr="00F90A54">
        <w:rPr>
          <w:rFonts w:ascii="Garamond" w:hAnsi="Garamond"/>
        </w:rPr>
        <w:t xml:space="preserve">The whole of the Court’s analysis was </w:t>
      </w:r>
      <w:r w:rsidR="00767417" w:rsidRPr="00F90A54">
        <w:rPr>
          <w:rFonts w:ascii="Garamond" w:hAnsi="Garamond"/>
        </w:rPr>
        <w:t xml:space="preserve">an </w:t>
      </w:r>
      <w:r w:rsidRPr="00F90A54">
        <w:rPr>
          <w:rFonts w:ascii="Garamond" w:hAnsi="Garamond"/>
        </w:rPr>
        <w:t xml:space="preserve">assertion that </w:t>
      </w:r>
      <w:r w:rsidR="00767417" w:rsidRPr="00F90A54">
        <w:rPr>
          <w:rFonts w:ascii="Garamond" w:hAnsi="Garamond"/>
        </w:rPr>
        <w:t xml:space="preserve">it </w:t>
      </w:r>
      <w:r w:rsidRPr="00F90A54">
        <w:rPr>
          <w:rFonts w:ascii="Garamond" w:hAnsi="Garamond"/>
        </w:rPr>
        <w:t>had “conclude[d] that the new Rule 24(a)(2) is broad enough to include [one of the intervenors]” because “the ‘existing parties’ have fallen short of representing its interests.”</w:t>
      </w:r>
      <w:r w:rsidRPr="00F90A54">
        <w:rPr>
          <w:rStyle w:val="FootnoteReference"/>
          <w:rFonts w:ascii="Garamond" w:hAnsi="Garamond"/>
        </w:rPr>
        <w:footnoteReference w:id="78"/>
      </w:r>
      <w:r w:rsidRPr="00F90A54">
        <w:rPr>
          <w:rFonts w:ascii="Garamond" w:hAnsi="Garamond"/>
        </w:rPr>
        <w:t xml:space="preserve"> </w:t>
      </w:r>
    </w:p>
    <w:p w14:paraId="57760351" w14:textId="0FB081EC" w:rsidR="00DE722C" w:rsidRPr="00F90A54" w:rsidRDefault="00DE722C" w:rsidP="001F4A3F">
      <w:pPr>
        <w:ind w:firstLine="360"/>
        <w:jc w:val="both"/>
        <w:rPr>
          <w:rFonts w:ascii="Garamond" w:hAnsi="Garamond"/>
        </w:rPr>
      </w:pPr>
      <w:r w:rsidRPr="00F90A54">
        <w:rPr>
          <w:rFonts w:ascii="Garamond" w:hAnsi="Garamond"/>
        </w:rPr>
        <w:lastRenderedPageBreak/>
        <w:t xml:space="preserve">A few years later, the Court decided </w:t>
      </w:r>
      <w:proofErr w:type="spellStart"/>
      <w:r w:rsidRPr="00F90A54">
        <w:rPr>
          <w:rFonts w:ascii="Garamond" w:hAnsi="Garamond"/>
          <w:i/>
          <w:iCs/>
        </w:rPr>
        <w:t>Trbovich</w:t>
      </w:r>
      <w:proofErr w:type="spellEnd"/>
      <w:r w:rsidRPr="00F90A54">
        <w:rPr>
          <w:rFonts w:ascii="Garamond" w:hAnsi="Garamond"/>
          <w:i/>
          <w:iCs/>
        </w:rPr>
        <w:t xml:space="preserve"> v. United Mine Workers</w:t>
      </w:r>
      <w:r w:rsidRPr="00F90A54">
        <w:rPr>
          <w:rFonts w:ascii="Garamond" w:hAnsi="Garamond"/>
        </w:rPr>
        <w:t>.</w:t>
      </w:r>
      <w:r w:rsidRPr="00F90A54">
        <w:rPr>
          <w:rStyle w:val="FootnoteReference"/>
          <w:rFonts w:ascii="Garamond" w:hAnsi="Garamond"/>
        </w:rPr>
        <w:footnoteReference w:id="79"/>
      </w:r>
      <w:r w:rsidRPr="00F90A54">
        <w:rPr>
          <w:rFonts w:ascii="Garamond" w:hAnsi="Garamond"/>
        </w:rPr>
        <w:t xml:space="preserve"> The case involved a private party, Mike </w:t>
      </w:r>
      <w:proofErr w:type="spellStart"/>
      <w:r w:rsidRPr="00F90A54">
        <w:rPr>
          <w:rFonts w:ascii="Garamond" w:hAnsi="Garamond"/>
        </w:rPr>
        <w:t>Trbovich</w:t>
      </w:r>
      <w:proofErr w:type="spellEnd"/>
      <w:r w:rsidRPr="00F90A54">
        <w:rPr>
          <w:rFonts w:ascii="Garamond" w:hAnsi="Garamond"/>
        </w:rPr>
        <w:t xml:space="preserve">, seeking to intervene in a government enforcement action regarding a union election. </w:t>
      </w:r>
      <w:proofErr w:type="spellStart"/>
      <w:r w:rsidRPr="00F90A54">
        <w:rPr>
          <w:rFonts w:ascii="Garamond" w:hAnsi="Garamond"/>
        </w:rPr>
        <w:t>Trbovich</w:t>
      </w:r>
      <w:proofErr w:type="spellEnd"/>
      <w:r w:rsidRPr="00F90A54">
        <w:rPr>
          <w:rFonts w:ascii="Garamond" w:hAnsi="Garamond"/>
        </w:rPr>
        <w:t xml:space="preserve"> </w:t>
      </w:r>
      <w:r w:rsidR="00767417" w:rsidRPr="00F90A54">
        <w:rPr>
          <w:rFonts w:ascii="Garamond" w:hAnsi="Garamond"/>
        </w:rPr>
        <w:t>moved</w:t>
      </w:r>
      <w:r w:rsidRPr="00F90A54">
        <w:rPr>
          <w:rFonts w:ascii="Garamond" w:hAnsi="Garamond"/>
        </w:rPr>
        <w:t xml:space="preserve"> to intervene to present additional claims and evidence in favor of overturning the election.</w:t>
      </w:r>
      <w:r w:rsidRPr="00F90A54">
        <w:rPr>
          <w:rStyle w:val="FootnoteReference"/>
          <w:rFonts w:ascii="Garamond" w:hAnsi="Garamond"/>
        </w:rPr>
        <w:footnoteReference w:id="80"/>
      </w:r>
      <w:r w:rsidRPr="00F90A54">
        <w:rPr>
          <w:rFonts w:ascii="Garamond" w:hAnsi="Garamond"/>
        </w:rPr>
        <w:t xml:space="preserve"> Under </w:t>
      </w:r>
      <w:proofErr w:type="gramStart"/>
      <w:r w:rsidRPr="00F90A54">
        <w:rPr>
          <w:rFonts w:ascii="Garamond" w:hAnsi="Garamond"/>
        </w:rPr>
        <w:t>pre-</w:t>
      </w:r>
      <w:r w:rsidRPr="00F90A54">
        <w:rPr>
          <w:rFonts w:ascii="Garamond" w:hAnsi="Garamond"/>
          <w:i/>
          <w:iCs/>
        </w:rPr>
        <w:t>Cascade</w:t>
      </w:r>
      <w:proofErr w:type="gramEnd"/>
      <w:r w:rsidRPr="00F90A54">
        <w:rPr>
          <w:rFonts w:ascii="Garamond" w:hAnsi="Garamond"/>
        </w:rPr>
        <w:t xml:space="preserve"> doctrine, </w:t>
      </w:r>
      <w:proofErr w:type="spellStart"/>
      <w:r w:rsidRPr="00F90A54">
        <w:rPr>
          <w:rFonts w:ascii="Garamond" w:hAnsi="Garamond"/>
        </w:rPr>
        <w:t>Trbovich</w:t>
      </w:r>
      <w:proofErr w:type="spellEnd"/>
      <w:r w:rsidRPr="00F90A54">
        <w:rPr>
          <w:rFonts w:ascii="Garamond" w:hAnsi="Garamond"/>
        </w:rPr>
        <w:t xml:space="preserve"> would have needed to show that the Secretary was colluding with the union or committing some malfeasance in its prosecution of the suit. But the Court confirmed that was no longer the case. </w:t>
      </w:r>
      <w:r w:rsidR="00FA6B22" w:rsidRPr="00F90A54">
        <w:rPr>
          <w:rFonts w:ascii="Garamond" w:hAnsi="Garamond"/>
        </w:rPr>
        <w:t>T</w:t>
      </w:r>
      <w:r w:rsidRPr="00F90A54">
        <w:rPr>
          <w:rFonts w:ascii="Garamond" w:hAnsi="Garamond"/>
        </w:rPr>
        <w:t>he Court explained that, under the statute, the Secretary had “the duty to serve two distinct interests, which are related, but not identical.”</w:t>
      </w:r>
      <w:r w:rsidRPr="00F90A54">
        <w:rPr>
          <w:rStyle w:val="FootnoteReference"/>
          <w:rFonts w:ascii="Garamond" w:hAnsi="Garamond"/>
        </w:rPr>
        <w:footnoteReference w:id="81"/>
      </w:r>
      <w:r w:rsidRPr="00F90A54">
        <w:rPr>
          <w:rFonts w:ascii="Garamond" w:hAnsi="Garamond"/>
        </w:rPr>
        <w:t xml:space="preserve"> </w:t>
      </w:r>
      <w:r w:rsidR="00FA6B22" w:rsidRPr="00F90A54">
        <w:rPr>
          <w:rFonts w:ascii="Garamond" w:hAnsi="Garamond"/>
        </w:rPr>
        <w:t>One of those interests was as “the union members’ lawyer.”</w:t>
      </w:r>
      <w:r w:rsidR="00FA6B22" w:rsidRPr="00F90A54">
        <w:rPr>
          <w:rStyle w:val="FootnoteReference"/>
          <w:rFonts w:ascii="Garamond" w:hAnsi="Garamond"/>
        </w:rPr>
        <w:t xml:space="preserve"> </w:t>
      </w:r>
      <w:r w:rsidR="00FA6B22" w:rsidRPr="00F90A54">
        <w:rPr>
          <w:rStyle w:val="FootnoteReference"/>
          <w:rFonts w:ascii="Garamond" w:hAnsi="Garamond"/>
        </w:rPr>
        <w:footnoteReference w:id="82"/>
      </w:r>
      <w:r w:rsidR="00FA6B22" w:rsidRPr="00F90A54">
        <w:rPr>
          <w:rFonts w:ascii="Garamond" w:hAnsi="Garamond"/>
        </w:rPr>
        <w:t xml:space="preserve"> The other was a competing “obligation to protect the vital public interest in assuring free and democratic union elections that transcends the narrower interest of the complaining union member.”</w:t>
      </w:r>
      <w:r w:rsidR="00FA6B22" w:rsidRPr="00F90A54">
        <w:rPr>
          <w:rStyle w:val="FootnoteReference"/>
          <w:rFonts w:ascii="Garamond" w:hAnsi="Garamond"/>
        </w:rPr>
        <w:footnoteReference w:id="83"/>
      </w:r>
      <w:r w:rsidR="00FA6B22" w:rsidRPr="00F90A54">
        <w:rPr>
          <w:rFonts w:ascii="Garamond" w:hAnsi="Garamond"/>
        </w:rPr>
        <w:t xml:space="preserve"> Because </w:t>
      </w:r>
      <w:proofErr w:type="spellStart"/>
      <w:r w:rsidR="00FA6B22" w:rsidRPr="00F90A54">
        <w:rPr>
          <w:rFonts w:ascii="Garamond" w:hAnsi="Garamond"/>
        </w:rPr>
        <w:t>Trbovich</w:t>
      </w:r>
      <w:proofErr w:type="spellEnd"/>
      <w:r w:rsidR="00FA6B22" w:rsidRPr="00F90A54">
        <w:rPr>
          <w:rFonts w:ascii="Garamond" w:hAnsi="Garamond"/>
        </w:rPr>
        <w:t xml:space="preserve"> did not share those two interests, </w:t>
      </w:r>
      <w:r w:rsidRPr="00F90A54">
        <w:rPr>
          <w:rFonts w:ascii="Garamond" w:hAnsi="Garamond"/>
        </w:rPr>
        <w:t xml:space="preserve">the Court understood that </w:t>
      </w:r>
      <w:r w:rsidR="00FA6B22" w:rsidRPr="00F90A54">
        <w:rPr>
          <w:rFonts w:ascii="Garamond" w:hAnsi="Garamond"/>
        </w:rPr>
        <w:t>he</w:t>
      </w:r>
      <w:r w:rsidRPr="00F90A54">
        <w:rPr>
          <w:rFonts w:ascii="Garamond" w:hAnsi="Garamond"/>
        </w:rPr>
        <w:t xml:space="preserve"> might have a different “approach to the conduct of the litigation.”</w:t>
      </w:r>
      <w:r w:rsidRPr="00F90A54">
        <w:rPr>
          <w:rStyle w:val="FootnoteReference"/>
          <w:rFonts w:ascii="Garamond" w:hAnsi="Garamond"/>
        </w:rPr>
        <w:footnoteReference w:id="84"/>
      </w:r>
      <w:r w:rsidRPr="00F90A54">
        <w:rPr>
          <w:rFonts w:ascii="Garamond" w:hAnsi="Garamond"/>
        </w:rPr>
        <w:t xml:space="preserve"> </w:t>
      </w:r>
    </w:p>
    <w:p w14:paraId="656A1E74" w14:textId="18504E9D" w:rsidR="00DE722C" w:rsidRPr="00F90A54" w:rsidRDefault="00DE722C" w:rsidP="001F4A3F">
      <w:pPr>
        <w:ind w:firstLine="360"/>
        <w:jc w:val="both"/>
        <w:rPr>
          <w:rFonts w:ascii="Garamond" w:hAnsi="Garamond"/>
        </w:rPr>
      </w:pPr>
      <w:r w:rsidRPr="00F90A54">
        <w:rPr>
          <w:rFonts w:ascii="Garamond" w:hAnsi="Garamond"/>
        </w:rPr>
        <w:t>That analysis appeared to eliminate the heightened requirement that had previously applied. Merely asserting a distinct interest, the Court concluded, rendered it “clear” that “there [</w:t>
      </w:r>
      <w:proofErr w:type="spellStart"/>
      <w:r w:rsidRPr="00F90A54">
        <w:rPr>
          <w:rFonts w:ascii="Garamond" w:hAnsi="Garamond"/>
        </w:rPr>
        <w:t>wa</w:t>
      </w:r>
      <w:proofErr w:type="spellEnd"/>
      <w:r w:rsidRPr="00F90A54">
        <w:rPr>
          <w:rFonts w:ascii="Garamond" w:hAnsi="Garamond"/>
        </w:rPr>
        <w:t>]s sufficient doubt about the adequacy of representation to warrant intervention.”</w:t>
      </w:r>
      <w:r w:rsidRPr="00F90A54">
        <w:rPr>
          <w:rStyle w:val="FootnoteReference"/>
          <w:rFonts w:ascii="Garamond" w:hAnsi="Garamond"/>
        </w:rPr>
        <w:footnoteReference w:id="85"/>
      </w:r>
      <w:r w:rsidRPr="00F90A54">
        <w:rPr>
          <w:rFonts w:ascii="Garamond" w:hAnsi="Garamond"/>
        </w:rPr>
        <w:t xml:space="preserve"> The only reason provided for </w:t>
      </w:r>
      <w:r w:rsidR="00A50F63" w:rsidRPr="00F90A54">
        <w:rPr>
          <w:rFonts w:ascii="Garamond" w:hAnsi="Garamond"/>
        </w:rPr>
        <w:t>this</w:t>
      </w:r>
      <w:r w:rsidRPr="00F90A54">
        <w:rPr>
          <w:rFonts w:ascii="Garamond" w:hAnsi="Garamond"/>
        </w:rPr>
        <w:t xml:space="preserve"> departure from previous practice was the text of Rule 24(a)(2)</w:t>
      </w:r>
      <w:r w:rsidR="00A50F63" w:rsidRPr="00F90A54">
        <w:rPr>
          <w:rFonts w:ascii="Garamond" w:hAnsi="Garamond"/>
        </w:rPr>
        <w:t>:</w:t>
      </w:r>
      <w:r w:rsidRPr="00F90A54">
        <w:rPr>
          <w:rFonts w:ascii="Garamond" w:hAnsi="Garamond"/>
        </w:rPr>
        <w:t xml:space="preserve"> “The requirement of the Rule is satisfied if the applicant shows that representation of his interest ‘may be’ inadequate; and the burden of making that showing should be treated as minimal.”</w:t>
      </w:r>
      <w:r w:rsidRPr="00F90A54">
        <w:rPr>
          <w:rStyle w:val="FootnoteReference"/>
          <w:rFonts w:ascii="Garamond" w:hAnsi="Garamond"/>
        </w:rPr>
        <w:footnoteReference w:id="86"/>
      </w:r>
      <w:r w:rsidRPr="00F90A54">
        <w:rPr>
          <w:rFonts w:ascii="Garamond" w:hAnsi="Garamond"/>
        </w:rPr>
        <w:t xml:space="preserve"> </w:t>
      </w:r>
    </w:p>
    <w:p w14:paraId="55AB5C81" w14:textId="320DF621" w:rsidR="00DE722C" w:rsidRPr="00F90A54" w:rsidRDefault="00DE722C" w:rsidP="00175BB9">
      <w:pPr>
        <w:ind w:firstLine="360"/>
        <w:jc w:val="both"/>
        <w:rPr>
          <w:rFonts w:ascii="Garamond" w:eastAsia="Times New Roman" w:hAnsi="Garamond"/>
        </w:rPr>
      </w:pPr>
      <w:r w:rsidRPr="00F90A54">
        <w:rPr>
          <w:rFonts w:ascii="Garamond" w:hAnsi="Garamond"/>
        </w:rPr>
        <w:t xml:space="preserve">After </w:t>
      </w:r>
      <w:r w:rsidRPr="00F90A54">
        <w:rPr>
          <w:rFonts w:ascii="Garamond" w:hAnsi="Garamond"/>
          <w:i/>
          <w:iCs/>
        </w:rPr>
        <w:t>Cascade</w:t>
      </w:r>
      <w:r w:rsidRPr="00F90A54">
        <w:rPr>
          <w:rFonts w:ascii="Garamond" w:hAnsi="Garamond"/>
        </w:rPr>
        <w:t xml:space="preserve"> and </w:t>
      </w:r>
      <w:proofErr w:type="spellStart"/>
      <w:r w:rsidRPr="00F90A54">
        <w:rPr>
          <w:rFonts w:ascii="Garamond" w:hAnsi="Garamond"/>
          <w:i/>
          <w:iCs/>
        </w:rPr>
        <w:t>Trbovich</w:t>
      </w:r>
      <w:proofErr w:type="spellEnd"/>
      <w:r w:rsidRPr="00F90A54">
        <w:rPr>
          <w:rFonts w:ascii="Garamond" w:hAnsi="Garamond"/>
        </w:rPr>
        <w:t xml:space="preserve">, it was unclear whether the heightened adequate-representation requirement still applied when private parties sought to intervene in suits involving the government. </w:t>
      </w:r>
      <w:r w:rsidR="0029512B" w:rsidRPr="00F90A54">
        <w:rPr>
          <w:rFonts w:ascii="Garamond" w:hAnsi="Garamond"/>
        </w:rPr>
        <w:t>At first, lower courts responded in</w:t>
      </w:r>
      <w:r w:rsidR="00D24894">
        <w:rPr>
          <w:rFonts w:ascii="Garamond" w:hAnsi="Garamond"/>
        </w:rPr>
        <w:t xml:space="preserve"> one of two</w:t>
      </w:r>
      <w:r w:rsidR="0029512B" w:rsidRPr="00F90A54">
        <w:rPr>
          <w:rFonts w:ascii="Garamond" w:hAnsi="Garamond"/>
        </w:rPr>
        <w:t xml:space="preserve"> ways</w:t>
      </w:r>
      <w:r w:rsidR="00112A20" w:rsidRPr="00F90A54">
        <w:rPr>
          <w:rFonts w:ascii="Garamond" w:hAnsi="Garamond"/>
        </w:rPr>
        <w:t>.</w:t>
      </w:r>
      <w:r w:rsidR="0029512B" w:rsidRPr="00F90A54">
        <w:rPr>
          <w:rFonts w:ascii="Garamond" w:hAnsi="Garamond"/>
        </w:rPr>
        <w:t xml:space="preserve"> </w:t>
      </w:r>
      <w:r w:rsidR="00112A20" w:rsidRPr="00F90A54">
        <w:rPr>
          <w:rFonts w:ascii="Garamond" w:hAnsi="Garamond"/>
        </w:rPr>
        <w:t>T</w:t>
      </w:r>
      <w:r w:rsidR="0029512B" w:rsidRPr="00F90A54">
        <w:rPr>
          <w:rFonts w:ascii="Garamond" w:hAnsi="Garamond"/>
        </w:rPr>
        <w:t xml:space="preserve">hey either recognized that </w:t>
      </w:r>
      <w:proofErr w:type="spellStart"/>
      <w:r w:rsidR="0029512B" w:rsidRPr="00F90A54">
        <w:rPr>
          <w:rFonts w:ascii="Garamond" w:hAnsi="Garamond"/>
          <w:i/>
          <w:iCs/>
        </w:rPr>
        <w:t>Trbovich</w:t>
      </w:r>
      <w:proofErr w:type="spellEnd"/>
      <w:r w:rsidR="0029512B" w:rsidRPr="00F90A54">
        <w:rPr>
          <w:rFonts w:ascii="Garamond" w:hAnsi="Garamond"/>
        </w:rPr>
        <w:t xml:space="preserve"> abrogated the presumption or ignored that the case </w:t>
      </w:r>
      <w:r w:rsidR="00D24894">
        <w:rPr>
          <w:rFonts w:ascii="Garamond" w:hAnsi="Garamond"/>
        </w:rPr>
        <w:t xml:space="preserve">went </w:t>
      </w:r>
      <w:r w:rsidR="0029512B" w:rsidRPr="00F90A54">
        <w:rPr>
          <w:rFonts w:ascii="Garamond" w:hAnsi="Garamond"/>
        </w:rPr>
        <w:t xml:space="preserve">so far. </w:t>
      </w:r>
      <w:r w:rsidR="00D24894">
        <w:rPr>
          <w:rFonts w:ascii="Garamond" w:hAnsi="Garamond"/>
        </w:rPr>
        <w:t>Courts</w:t>
      </w:r>
      <w:r w:rsidR="0029512B" w:rsidRPr="00F90A54">
        <w:rPr>
          <w:rFonts w:ascii="Garamond" w:hAnsi="Garamond"/>
        </w:rPr>
        <w:t xml:space="preserve"> in the first camp </w:t>
      </w:r>
      <w:r w:rsidR="00CB1065">
        <w:rPr>
          <w:rFonts w:ascii="Garamond" w:hAnsi="Garamond"/>
        </w:rPr>
        <w:t xml:space="preserve">have </w:t>
      </w:r>
      <w:r w:rsidRPr="00F90A54">
        <w:rPr>
          <w:rFonts w:ascii="Garamond" w:eastAsia="Times New Roman" w:hAnsi="Garamond"/>
        </w:rPr>
        <w:t>appl</w:t>
      </w:r>
      <w:r w:rsidR="00CB1065">
        <w:rPr>
          <w:rFonts w:ascii="Garamond" w:eastAsia="Times New Roman" w:hAnsi="Garamond"/>
        </w:rPr>
        <w:t>ied</w:t>
      </w:r>
      <w:r w:rsidR="0029512B" w:rsidRPr="00F90A54">
        <w:rPr>
          <w:rFonts w:ascii="Garamond" w:eastAsia="Times New Roman" w:hAnsi="Garamond"/>
        </w:rPr>
        <w:t xml:space="preserve"> </w:t>
      </w:r>
      <w:r w:rsidRPr="00F90A54">
        <w:rPr>
          <w:rFonts w:ascii="Garamond" w:eastAsia="Times New Roman" w:hAnsi="Garamond"/>
        </w:rPr>
        <w:t>the minimal adequate-representation test, recognizing a right to intervene when the outsider identifie</w:t>
      </w:r>
      <w:r w:rsidR="0029512B" w:rsidRPr="00F90A54">
        <w:rPr>
          <w:rFonts w:ascii="Garamond" w:eastAsia="Times New Roman" w:hAnsi="Garamond"/>
        </w:rPr>
        <w:t>s</w:t>
      </w:r>
      <w:r w:rsidRPr="00F90A54">
        <w:rPr>
          <w:rFonts w:ascii="Garamond" w:eastAsia="Times New Roman" w:hAnsi="Garamond"/>
        </w:rPr>
        <w:t xml:space="preserve"> an </w:t>
      </w:r>
      <w:r w:rsidRPr="00F90A54">
        <w:rPr>
          <w:rFonts w:ascii="Garamond" w:eastAsia="Times New Roman" w:hAnsi="Garamond"/>
        </w:rPr>
        <w:lastRenderedPageBreak/>
        <w:t>interest distinct from the parties.</w:t>
      </w:r>
      <w:r w:rsidR="0029512B" w:rsidRPr="00F90A54">
        <w:rPr>
          <w:rFonts w:ascii="Garamond" w:eastAsia="Times New Roman" w:hAnsi="Garamond"/>
          <w:vertAlign w:val="superscript"/>
        </w:rPr>
        <w:footnoteReference w:id="87"/>
      </w:r>
      <w:r w:rsidR="00E452D7" w:rsidRPr="00F90A54">
        <w:rPr>
          <w:rFonts w:ascii="Garamond" w:eastAsia="Times New Roman" w:hAnsi="Garamond"/>
        </w:rPr>
        <w:t xml:space="preserve"> </w:t>
      </w:r>
      <w:r w:rsidR="00112A20" w:rsidRPr="00F90A54">
        <w:rPr>
          <w:rFonts w:ascii="Garamond" w:eastAsia="Times New Roman" w:hAnsi="Garamond"/>
        </w:rPr>
        <w:t>C</w:t>
      </w:r>
      <w:r w:rsidR="00090EFC" w:rsidRPr="00F90A54">
        <w:rPr>
          <w:rFonts w:ascii="Garamond" w:eastAsia="Times New Roman" w:hAnsi="Garamond"/>
        </w:rPr>
        <w:t xml:space="preserve">ourts in the second camp have simply continued to apply the presumption. </w:t>
      </w:r>
      <w:r w:rsidRPr="00F90A54">
        <w:rPr>
          <w:rFonts w:ascii="Garamond" w:eastAsia="Times New Roman" w:hAnsi="Garamond"/>
        </w:rPr>
        <w:t>The Fifth Circuit</w:t>
      </w:r>
      <w:r w:rsidR="00D24894">
        <w:rPr>
          <w:rFonts w:ascii="Garamond" w:eastAsia="Times New Roman" w:hAnsi="Garamond"/>
        </w:rPr>
        <w:t>, for instance,</w:t>
      </w:r>
      <w:r w:rsidRPr="00F90A54">
        <w:rPr>
          <w:rFonts w:ascii="Garamond" w:eastAsia="Times New Roman" w:hAnsi="Garamond"/>
        </w:rPr>
        <w:t xml:space="preserve"> acknowledged </w:t>
      </w:r>
      <w:proofErr w:type="spellStart"/>
      <w:r w:rsidRPr="00F90A54">
        <w:rPr>
          <w:rFonts w:ascii="Garamond" w:eastAsia="Times New Roman" w:hAnsi="Garamond"/>
          <w:i/>
          <w:iCs/>
        </w:rPr>
        <w:t>Trbovich</w:t>
      </w:r>
      <w:proofErr w:type="spellEnd"/>
      <w:r w:rsidRPr="00F90A54">
        <w:rPr>
          <w:rFonts w:ascii="Garamond" w:eastAsia="Times New Roman" w:hAnsi="Garamond"/>
        </w:rPr>
        <w:t>, but then held that “[t]he policy against private intervention in government litigation … militates against the allowance of (a)(2) intervention.”</w:t>
      </w:r>
      <w:r w:rsidRPr="00F90A54">
        <w:rPr>
          <w:rFonts w:ascii="Garamond" w:eastAsia="Times New Roman" w:hAnsi="Garamond"/>
          <w:vertAlign w:val="superscript"/>
        </w:rPr>
        <w:footnoteReference w:id="88"/>
      </w:r>
      <w:r w:rsidRPr="00F90A54">
        <w:rPr>
          <w:rFonts w:ascii="Garamond" w:eastAsia="Times New Roman" w:hAnsi="Garamond"/>
        </w:rPr>
        <w:t xml:space="preserve"> </w:t>
      </w:r>
    </w:p>
    <w:p w14:paraId="2A08A066" w14:textId="58D74754" w:rsidR="00DE722C" w:rsidRPr="00F90A54" w:rsidRDefault="00DE722C" w:rsidP="001F4A3F">
      <w:pPr>
        <w:ind w:firstLine="360"/>
        <w:jc w:val="both"/>
        <w:rPr>
          <w:rFonts w:ascii="Garamond" w:eastAsia="Times New Roman" w:hAnsi="Garamond"/>
        </w:rPr>
      </w:pPr>
      <w:r w:rsidRPr="00F90A54">
        <w:rPr>
          <w:rFonts w:ascii="Garamond" w:eastAsia="Times New Roman" w:hAnsi="Garamond"/>
        </w:rPr>
        <w:t xml:space="preserve">The Supreme Court </w:t>
      </w:r>
      <w:r w:rsidR="00090EFC" w:rsidRPr="00F90A54">
        <w:rPr>
          <w:rFonts w:ascii="Garamond" w:eastAsia="Times New Roman" w:hAnsi="Garamond"/>
        </w:rPr>
        <w:t xml:space="preserve">has </w:t>
      </w:r>
      <w:r w:rsidRPr="00F90A54">
        <w:rPr>
          <w:rFonts w:ascii="Garamond" w:eastAsia="Times New Roman" w:hAnsi="Garamond"/>
        </w:rPr>
        <w:t xml:space="preserve">remained silent in the decades </w:t>
      </w:r>
      <w:r w:rsidR="00090EFC" w:rsidRPr="00F90A54">
        <w:rPr>
          <w:rFonts w:ascii="Garamond" w:eastAsia="Times New Roman" w:hAnsi="Garamond"/>
        </w:rPr>
        <w:t xml:space="preserve">since </w:t>
      </w:r>
      <w:proofErr w:type="spellStart"/>
      <w:r w:rsidRPr="00F90A54">
        <w:rPr>
          <w:rFonts w:ascii="Garamond" w:eastAsia="Times New Roman" w:hAnsi="Garamond"/>
          <w:i/>
          <w:iCs/>
        </w:rPr>
        <w:t>Trbovich</w:t>
      </w:r>
      <w:proofErr w:type="spellEnd"/>
      <w:r w:rsidRPr="00F90A54">
        <w:rPr>
          <w:rFonts w:ascii="Garamond" w:eastAsia="Times New Roman" w:hAnsi="Garamond"/>
        </w:rPr>
        <w:t xml:space="preserve"> on the nature of </w:t>
      </w:r>
      <w:r w:rsidR="00090EFC" w:rsidRPr="00F90A54">
        <w:rPr>
          <w:rFonts w:ascii="Garamond" w:eastAsia="Times New Roman" w:hAnsi="Garamond"/>
        </w:rPr>
        <w:t xml:space="preserve">the </w:t>
      </w:r>
      <w:r w:rsidRPr="00F90A54">
        <w:rPr>
          <w:rFonts w:ascii="Garamond" w:eastAsia="Times New Roman" w:hAnsi="Garamond"/>
        </w:rPr>
        <w:t>adequate</w:t>
      </w:r>
      <w:r w:rsidR="00090EFC" w:rsidRPr="00F90A54">
        <w:rPr>
          <w:rFonts w:ascii="Garamond" w:eastAsia="Times New Roman" w:hAnsi="Garamond"/>
        </w:rPr>
        <w:t>-</w:t>
      </w:r>
      <w:r w:rsidRPr="00F90A54">
        <w:rPr>
          <w:rFonts w:ascii="Garamond" w:eastAsia="Times New Roman" w:hAnsi="Garamond"/>
        </w:rPr>
        <w:t>representation</w:t>
      </w:r>
      <w:r w:rsidR="00090EFC" w:rsidRPr="00F90A54">
        <w:rPr>
          <w:rFonts w:ascii="Garamond" w:eastAsia="Times New Roman" w:hAnsi="Garamond"/>
        </w:rPr>
        <w:t xml:space="preserve"> requirement</w:t>
      </w:r>
      <w:r w:rsidRPr="00F90A54">
        <w:rPr>
          <w:rFonts w:ascii="Garamond" w:eastAsia="Times New Roman" w:hAnsi="Garamond"/>
        </w:rPr>
        <w:t>.</w:t>
      </w:r>
      <w:r w:rsidR="00105489" w:rsidRPr="00F90A54">
        <w:rPr>
          <w:rStyle w:val="FootnoteReference"/>
          <w:rFonts w:ascii="Garamond" w:eastAsia="Times New Roman" w:hAnsi="Garamond"/>
        </w:rPr>
        <w:footnoteReference w:id="89"/>
      </w:r>
      <w:r w:rsidRPr="00F90A54">
        <w:rPr>
          <w:rFonts w:ascii="Garamond" w:eastAsia="Times New Roman" w:hAnsi="Garamond"/>
        </w:rPr>
        <w:t xml:space="preserve"> In the absence of guidance, </w:t>
      </w:r>
      <w:r w:rsidRPr="00F90A54">
        <w:rPr>
          <w:rFonts w:ascii="Garamond" w:eastAsia="Times New Roman" w:hAnsi="Garamond"/>
          <w:i/>
          <w:iCs/>
        </w:rPr>
        <w:t>Cascade</w:t>
      </w:r>
      <w:r w:rsidRPr="00F90A54">
        <w:rPr>
          <w:rFonts w:ascii="Garamond" w:eastAsia="Times New Roman" w:hAnsi="Garamond"/>
        </w:rPr>
        <w:t>’s</w:t>
      </w:r>
      <w:r w:rsidRPr="00F90A54">
        <w:rPr>
          <w:rFonts w:ascii="Garamond" w:eastAsia="Times New Roman" w:hAnsi="Garamond"/>
          <w:i/>
          <w:iCs/>
        </w:rPr>
        <w:t xml:space="preserve"> </w:t>
      </w:r>
      <w:r w:rsidRPr="00F90A54">
        <w:rPr>
          <w:rFonts w:ascii="Garamond" w:eastAsia="Times New Roman" w:hAnsi="Garamond"/>
        </w:rPr>
        <w:t xml:space="preserve">and </w:t>
      </w:r>
      <w:proofErr w:type="spellStart"/>
      <w:r w:rsidRPr="00F90A54">
        <w:rPr>
          <w:rFonts w:ascii="Garamond" w:eastAsia="Times New Roman" w:hAnsi="Garamond"/>
          <w:i/>
          <w:iCs/>
        </w:rPr>
        <w:t>Trbovich</w:t>
      </w:r>
      <w:r w:rsidRPr="00F90A54">
        <w:rPr>
          <w:rFonts w:ascii="Garamond" w:eastAsia="Times New Roman" w:hAnsi="Garamond"/>
        </w:rPr>
        <w:t>’s</w:t>
      </w:r>
      <w:proofErr w:type="spellEnd"/>
      <w:r w:rsidRPr="00F90A54">
        <w:rPr>
          <w:rFonts w:ascii="Garamond" w:eastAsia="Times New Roman" w:hAnsi="Garamond"/>
        </w:rPr>
        <w:t xml:space="preserve"> quasi-abrogation </w:t>
      </w:r>
      <w:r w:rsidR="00090EFC" w:rsidRPr="00F90A54">
        <w:rPr>
          <w:rFonts w:ascii="Garamond" w:eastAsia="Times New Roman" w:hAnsi="Garamond"/>
        </w:rPr>
        <w:t xml:space="preserve">has </w:t>
      </w:r>
      <w:r w:rsidRPr="00F90A54">
        <w:rPr>
          <w:rFonts w:ascii="Garamond" w:eastAsia="Times New Roman" w:hAnsi="Garamond"/>
        </w:rPr>
        <w:t>resulted in a constellation of intervention tests. Many courts continue to apply a presumption that the government represent</w:t>
      </w:r>
      <w:r w:rsidR="00090EFC" w:rsidRPr="00F90A54">
        <w:rPr>
          <w:rFonts w:ascii="Garamond" w:eastAsia="Times New Roman" w:hAnsi="Garamond"/>
        </w:rPr>
        <w:t xml:space="preserve">s </w:t>
      </w:r>
      <w:r w:rsidRPr="00F90A54">
        <w:rPr>
          <w:rFonts w:ascii="Garamond" w:eastAsia="Times New Roman" w:hAnsi="Garamond"/>
        </w:rPr>
        <w:t>individual interests, even in circuits that ha</w:t>
      </w:r>
      <w:r w:rsidR="00090EFC" w:rsidRPr="00F90A54">
        <w:rPr>
          <w:rFonts w:ascii="Garamond" w:eastAsia="Times New Roman" w:hAnsi="Garamond"/>
        </w:rPr>
        <w:t>ve</w:t>
      </w:r>
      <w:r w:rsidRPr="00F90A54">
        <w:rPr>
          <w:rFonts w:ascii="Garamond" w:eastAsia="Times New Roman" w:hAnsi="Garamond"/>
        </w:rPr>
        <w:t xml:space="preserve"> read </w:t>
      </w:r>
      <w:proofErr w:type="spellStart"/>
      <w:r w:rsidRPr="00F90A54">
        <w:rPr>
          <w:rFonts w:ascii="Garamond" w:eastAsia="Times New Roman" w:hAnsi="Garamond"/>
          <w:i/>
          <w:iCs/>
        </w:rPr>
        <w:t>Trbovich</w:t>
      </w:r>
      <w:proofErr w:type="spellEnd"/>
      <w:r w:rsidRPr="00F90A54">
        <w:rPr>
          <w:rFonts w:ascii="Garamond" w:eastAsia="Times New Roman" w:hAnsi="Garamond"/>
        </w:rPr>
        <w:t xml:space="preserve"> to roll back th</w:t>
      </w:r>
      <w:r w:rsidR="00090EFC" w:rsidRPr="00F90A54">
        <w:rPr>
          <w:rFonts w:ascii="Garamond" w:eastAsia="Times New Roman" w:hAnsi="Garamond"/>
        </w:rPr>
        <w:t xml:space="preserve">at same </w:t>
      </w:r>
      <w:r w:rsidRPr="00F90A54">
        <w:rPr>
          <w:rFonts w:ascii="Garamond" w:eastAsia="Times New Roman" w:hAnsi="Garamond"/>
        </w:rPr>
        <w:t>presumption.</w:t>
      </w:r>
      <w:r w:rsidRPr="00F90A54">
        <w:rPr>
          <w:rFonts w:ascii="Garamond" w:eastAsia="Times New Roman" w:hAnsi="Garamond"/>
          <w:vertAlign w:val="superscript"/>
        </w:rPr>
        <w:footnoteReference w:id="90"/>
      </w:r>
      <w:r w:rsidRPr="00F90A54">
        <w:rPr>
          <w:rFonts w:ascii="Garamond" w:eastAsia="Times New Roman" w:hAnsi="Garamond"/>
        </w:rPr>
        <w:t xml:space="preserve"> </w:t>
      </w:r>
      <w:r w:rsidR="00DA4F95" w:rsidRPr="00F90A54">
        <w:rPr>
          <w:rFonts w:ascii="Garamond" w:eastAsia="Times New Roman" w:hAnsi="Garamond"/>
        </w:rPr>
        <w:t>For instance, just two years</w:t>
      </w:r>
      <w:r w:rsidRPr="00F90A54">
        <w:rPr>
          <w:rFonts w:ascii="Garamond" w:eastAsia="Times New Roman" w:hAnsi="Garamond"/>
        </w:rPr>
        <w:t xml:space="preserve"> after the D.C. Circuit held that a private interest of a “different scope” could show inadequate representation by the government, </w:t>
      </w:r>
      <w:r w:rsidR="00E24170" w:rsidRPr="00F90A54">
        <w:rPr>
          <w:rFonts w:ascii="Garamond" w:eastAsia="Times New Roman" w:hAnsi="Garamond"/>
        </w:rPr>
        <w:t>a different panel</w:t>
      </w:r>
      <w:r w:rsidRPr="00F90A54">
        <w:rPr>
          <w:rFonts w:ascii="Garamond" w:eastAsia="Times New Roman" w:hAnsi="Garamond"/>
        </w:rPr>
        <w:t xml:space="preserve"> held that “a citizen or subdivision of [a] state must overcome </w:t>
      </w:r>
      <w:proofErr w:type="spellStart"/>
      <w:r w:rsidRPr="00F90A54">
        <w:rPr>
          <w:rFonts w:ascii="Garamond" w:eastAsia="Times New Roman" w:hAnsi="Garamond"/>
        </w:rPr>
        <w:t>th</w:t>
      </w:r>
      <w:proofErr w:type="spellEnd"/>
      <w:r w:rsidRPr="00F90A54">
        <w:rPr>
          <w:rFonts w:ascii="Garamond" w:eastAsia="Times New Roman" w:hAnsi="Garamond"/>
        </w:rPr>
        <w:t>[e] presumption of adequate representation</w:t>
      </w:r>
      <w:r w:rsidR="00CB1065">
        <w:rPr>
          <w:rFonts w:ascii="Garamond" w:eastAsia="Times New Roman" w:hAnsi="Garamond"/>
        </w:rPr>
        <w:t>.</w:t>
      </w:r>
      <w:r w:rsidRPr="00F90A54">
        <w:rPr>
          <w:rFonts w:ascii="Garamond" w:eastAsia="Times New Roman" w:hAnsi="Garamond"/>
        </w:rPr>
        <w:t>”</w:t>
      </w:r>
      <w:r w:rsidRPr="00F90A54">
        <w:rPr>
          <w:rFonts w:ascii="Garamond" w:eastAsia="Times New Roman" w:hAnsi="Garamond"/>
          <w:vertAlign w:val="superscript"/>
        </w:rPr>
        <w:footnoteReference w:id="91"/>
      </w:r>
    </w:p>
    <w:p w14:paraId="5E0057E4" w14:textId="44733A79" w:rsidR="00DE722C" w:rsidRPr="00F90A54" w:rsidRDefault="008D4D79" w:rsidP="008D4D79">
      <w:pPr>
        <w:ind w:firstLine="360"/>
        <w:jc w:val="both"/>
        <w:rPr>
          <w:rFonts w:ascii="Garamond" w:eastAsia="Times New Roman" w:hAnsi="Garamond"/>
        </w:rPr>
      </w:pPr>
      <w:r>
        <w:rPr>
          <w:rFonts w:ascii="Garamond" w:eastAsia="Times New Roman" w:hAnsi="Garamond"/>
        </w:rPr>
        <w:t>The confusion has created a spectrum of doctrines that broaden or limit intervention, depending on the doctrine the court chooses to apply.  Some courts</w:t>
      </w:r>
      <w:r w:rsidR="00533577">
        <w:rPr>
          <w:rFonts w:ascii="Garamond" w:eastAsia="Times New Roman" w:hAnsi="Garamond"/>
        </w:rPr>
        <w:t xml:space="preserve"> have recogniz</w:t>
      </w:r>
      <w:r>
        <w:rPr>
          <w:rFonts w:ascii="Garamond" w:eastAsia="Times New Roman" w:hAnsi="Garamond"/>
        </w:rPr>
        <w:t xml:space="preserve">ed </w:t>
      </w:r>
      <w:r w:rsidR="00533577">
        <w:rPr>
          <w:rFonts w:ascii="Garamond" w:eastAsia="Times New Roman" w:hAnsi="Garamond"/>
        </w:rPr>
        <w:t xml:space="preserve">that a personal interest </w:t>
      </w:r>
      <w:r>
        <w:rPr>
          <w:rFonts w:ascii="Garamond" w:eastAsia="Times New Roman" w:hAnsi="Garamond"/>
        </w:rPr>
        <w:t xml:space="preserve">can </w:t>
      </w:r>
      <w:r w:rsidR="00533577" w:rsidRPr="008D4D79">
        <w:rPr>
          <w:rFonts w:ascii="Garamond" w:eastAsia="Times New Roman" w:hAnsi="Garamond"/>
        </w:rPr>
        <w:t>overcome</w:t>
      </w:r>
      <w:r w:rsidR="00533577">
        <w:rPr>
          <w:rFonts w:ascii="Garamond" w:eastAsia="Times New Roman" w:hAnsi="Garamond"/>
        </w:rPr>
        <w:t xml:space="preserve"> the presumption</w:t>
      </w:r>
      <w:r>
        <w:rPr>
          <w:rFonts w:ascii="Garamond" w:eastAsia="Times New Roman" w:hAnsi="Garamond"/>
        </w:rPr>
        <w:t>, rather than negate the presumption’s application in the first instance—a test that often allows more intervention</w:t>
      </w:r>
      <w:r w:rsidR="00533577">
        <w:rPr>
          <w:rFonts w:ascii="Garamond" w:eastAsia="Times New Roman" w:hAnsi="Garamond"/>
        </w:rPr>
        <w:t>.</w:t>
      </w:r>
      <w:r w:rsidR="00DE722C" w:rsidRPr="00F90A54">
        <w:rPr>
          <w:rFonts w:ascii="Garamond" w:eastAsia="Times New Roman" w:hAnsi="Garamond"/>
          <w:vertAlign w:val="superscript"/>
        </w:rPr>
        <w:footnoteReference w:id="92"/>
      </w:r>
      <w:r w:rsidR="00DE722C" w:rsidRPr="00F90A54">
        <w:rPr>
          <w:rFonts w:ascii="Garamond" w:eastAsia="Times New Roman" w:hAnsi="Garamond"/>
        </w:rPr>
        <w:t xml:space="preserve"> </w:t>
      </w:r>
      <w:r>
        <w:rPr>
          <w:rFonts w:ascii="Garamond" w:eastAsia="Times New Roman" w:hAnsi="Garamond"/>
        </w:rPr>
        <w:t xml:space="preserve">Other courts have expanded the analysis by looking to </w:t>
      </w:r>
      <w:r w:rsidR="00DE722C" w:rsidRPr="00F90A54">
        <w:rPr>
          <w:rFonts w:ascii="Garamond" w:eastAsia="Times New Roman" w:hAnsi="Garamond"/>
        </w:rPr>
        <w:t>a</w:t>
      </w:r>
      <w:r>
        <w:rPr>
          <w:rFonts w:ascii="Garamond" w:eastAsia="Times New Roman" w:hAnsi="Garamond"/>
        </w:rPr>
        <w:t xml:space="preserve"> </w:t>
      </w:r>
      <w:r w:rsidR="00DE722C" w:rsidRPr="00F90A54">
        <w:rPr>
          <w:rFonts w:ascii="Garamond" w:eastAsia="Times New Roman" w:hAnsi="Garamond"/>
        </w:rPr>
        <w:t>set of practical factors</w:t>
      </w:r>
      <w:r w:rsidR="006E272D" w:rsidRPr="00F90A54">
        <w:rPr>
          <w:rFonts w:ascii="Garamond" w:eastAsia="Times New Roman" w:hAnsi="Garamond"/>
        </w:rPr>
        <w:t xml:space="preserve"> to see if the presumption should apply</w:t>
      </w:r>
      <w:r w:rsidR="00DE722C" w:rsidRPr="00F90A54">
        <w:rPr>
          <w:rFonts w:ascii="Garamond" w:eastAsia="Times New Roman" w:hAnsi="Garamond"/>
        </w:rPr>
        <w:t xml:space="preserve">, such as whether the government </w:t>
      </w:r>
      <w:r w:rsidR="006E272D" w:rsidRPr="00F90A54">
        <w:rPr>
          <w:rFonts w:ascii="Garamond" w:eastAsia="Times New Roman" w:hAnsi="Garamond"/>
        </w:rPr>
        <w:t>is “capable” and “willing” to make the intervenor’s arguments or whether the intervenor</w:t>
      </w:r>
      <w:r w:rsidR="00DE722C" w:rsidRPr="00F90A54">
        <w:rPr>
          <w:rFonts w:ascii="Garamond" w:eastAsia="Times New Roman" w:hAnsi="Garamond"/>
        </w:rPr>
        <w:t xml:space="preserve"> “offers a necessary element to the proceedings that would be neglected.</w:t>
      </w:r>
      <w:r>
        <w:rPr>
          <w:rFonts w:ascii="Garamond" w:eastAsia="Times New Roman" w:hAnsi="Garamond"/>
        </w:rPr>
        <w:t>”</w:t>
      </w:r>
      <w:r w:rsidR="00DE722C" w:rsidRPr="00F90A54">
        <w:rPr>
          <w:rFonts w:ascii="Garamond" w:eastAsia="Times New Roman" w:hAnsi="Garamond"/>
          <w:vertAlign w:val="superscript"/>
        </w:rPr>
        <w:footnoteReference w:id="93"/>
      </w:r>
      <w:r w:rsidR="00DE722C" w:rsidRPr="00F90A54">
        <w:rPr>
          <w:rFonts w:ascii="Garamond" w:eastAsia="Times New Roman" w:hAnsi="Garamond"/>
        </w:rPr>
        <w:t xml:space="preserve"> </w:t>
      </w:r>
      <w:r>
        <w:rPr>
          <w:rFonts w:ascii="Garamond" w:eastAsia="Times New Roman" w:hAnsi="Garamond"/>
        </w:rPr>
        <w:t xml:space="preserve">Still others </w:t>
      </w:r>
      <w:r>
        <w:rPr>
          <w:rFonts w:ascii="Garamond" w:eastAsia="Times New Roman" w:hAnsi="Garamond"/>
        </w:rPr>
        <w:lastRenderedPageBreak/>
        <w:t>have</w:t>
      </w:r>
      <w:r w:rsidR="006E272D" w:rsidRPr="00F90A54">
        <w:rPr>
          <w:rFonts w:ascii="Garamond" w:eastAsia="Times New Roman" w:hAnsi="Garamond"/>
        </w:rPr>
        <w:t xml:space="preserve"> </w:t>
      </w:r>
      <w:r w:rsidR="00DE722C" w:rsidRPr="00F90A54">
        <w:rPr>
          <w:rFonts w:ascii="Garamond" w:eastAsia="Times New Roman" w:hAnsi="Garamond"/>
        </w:rPr>
        <w:t>require</w:t>
      </w:r>
      <w:r>
        <w:rPr>
          <w:rFonts w:ascii="Garamond" w:eastAsia="Times New Roman" w:hAnsi="Garamond"/>
        </w:rPr>
        <w:t>d</w:t>
      </w:r>
      <w:r w:rsidR="00DE722C" w:rsidRPr="00F90A54">
        <w:rPr>
          <w:rFonts w:ascii="Garamond" w:eastAsia="Times New Roman" w:hAnsi="Garamond"/>
        </w:rPr>
        <w:t xml:space="preserve"> the heightened showing that applied before the 1966 amendment—a showing of an adverse interest, collusion, or malfeasance.</w:t>
      </w:r>
      <w:r w:rsidR="00DE722C" w:rsidRPr="00F90A54">
        <w:rPr>
          <w:rFonts w:ascii="Garamond" w:eastAsia="Times New Roman" w:hAnsi="Garamond"/>
          <w:vertAlign w:val="superscript"/>
        </w:rPr>
        <w:footnoteReference w:id="94"/>
      </w:r>
      <w:r w:rsidR="00DE722C" w:rsidRPr="00F90A54">
        <w:rPr>
          <w:rFonts w:ascii="Garamond" w:eastAsia="Times New Roman" w:hAnsi="Garamond"/>
        </w:rPr>
        <w:t xml:space="preserve"> And </w:t>
      </w:r>
      <w:r w:rsidR="006E272D" w:rsidRPr="00F90A54">
        <w:rPr>
          <w:rFonts w:ascii="Garamond" w:eastAsia="Times New Roman" w:hAnsi="Garamond"/>
        </w:rPr>
        <w:t xml:space="preserve">still </w:t>
      </w:r>
      <w:r w:rsidR="00DE722C" w:rsidRPr="00F90A54">
        <w:rPr>
          <w:rFonts w:ascii="Garamond" w:eastAsia="Times New Roman" w:hAnsi="Garamond"/>
        </w:rPr>
        <w:t>others require “a showing of gross negligence or bad faith,”</w:t>
      </w:r>
      <w:r w:rsidR="00DE722C" w:rsidRPr="00F90A54">
        <w:rPr>
          <w:rFonts w:ascii="Garamond" w:eastAsia="Times New Roman" w:hAnsi="Garamond"/>
          <w:vertAlign w:val="superscript"/>
        </w:rPr>
        <w:footnoteReference w:id="95"/>
      </w:r>
      <w:r w:rsidR="00DE722C" w:rsidRPr="00F90A54">
        <w:rPr>
          <w:rFonts w:ascii="Garamond" w:eastAsia="Times New Roman" w:hAnsi="Garamond"/>
        </w:rPr>
        <w:t xml:space="preserve"> </w:t>
      </w:r>
      <w:r w:rsidR="00DD1A5F" w:rsidRPr="00F90A54">
        <w:rPr>
          <w:rFonts w:ascii="Garamond" w:eastAsia="Times New Roman" w:hAnsi="Garamond"/>
        </w:rPr>
        <w:t>by</w:t>
      </w:r>
      <w:r w:rsidR="00DE722C" w:rsidRPr="00F90A54">
        <w:rPr>
          <w:rFonts w:ascii="Garamond" w:eastAsia="Times New Roman" w:hAnsi="Garamond"/>
        </w:rPr>
        <w:t xml:space="preserve"> the government, which </w:t>
      </w:r>
      <w:r>
        <w:rPr>
          <w:rFonts w:ascii="Garamond" w:eastAsia="Times New Roman" w:hAnsi="Garamond"/>
        </w:rPr>
        <w:t>has been described as</w:t>
      </w:r>
      <w:r w:rsidR="00DE722C" w:rsidRPr="00F90A54">
        <w:rPr>
          <w:rFonts w:ascii="Garamond" w:eastAsia="Times New Roman" w:hAnsi="Garamond"/>
        </w:rPr>
        <w:t xml:space="preserve"> </w:t>
      </w:r>
      <w:r>
        <w:rPr>
          <w:rFonts w:ascii="Garamond" w:eastAsia="Times New Roman" w:hAnsi="Garamond"/>
        </w:rPr>
        <w:t>rendering</w:t>
      </w:r>
      <w:r w:rsidR="00DE722C" w:rsidRPr="00F90A54">
        <w:rPr>
          <w:rFonts w:ascii="Garamond" w:eastAsia="Times New Roman" w:hAnsi="Garamond"/>
        </w:rPr>
        <w:t xml:space="preserve"> </w:t>
      </w:r>
      <w:r>
        <w:rPr>
          <w:rFonts w:ascii="Garamond" w:eastAsia="Times New Roman" w:hAnsi="Garamond"/>
        </w:rPr>
        <w:t>intervention, “</w:t>
      </w:r>
      <w:r w:rsidR="00DE722C" w:rsidRPr="00F90A54">
        <w:rPr>
          <w:rFonts w:ascii="Garamond" w:eastAsia="Times New Roman" w:hAnsi="Garamond"/>
        </w:rPr>
        <w:t>unavailable in all but the most extreme cases.”</w:t>
      </w:r>
      <w:r w:rsidR="00DE722C" w:rsidRPr="00F90A54">
        <w:rPr>
          <w:rFonts w:ascii="Garamond" w:eastAsia="Times New Roman" w:hAnsi="Garamond"/>
          <w:vertAlign w:val="superscript"/>
        </w:rPr>
        <w:footnoteReference w:id="96"/>
      </w:r>
      <w:r w:rsidR="00DE722C" w:rsidRPr="00F90A54">
        <w:rPr>
          <w:rFonts w:ascii="Garamond" w:eastAsia="Times New Roman" w:hAnsi="Garamond"/>
        </w:rPr>
        <w:t xml:space="preserve"> </w:t>
      </w:r>
    </w:p>
    <w:p w14:paraId="38997DF0" w14:textId="3ED9CA4A" w:rsidR="00A41BFE" w:rsidRPr="00F90A54" w:rsidRDefault="006E272D" w:rsidP="001F4A3F">
      <w:pPr>
        <w:ind w:firstLine="360"/>
        <w:jc w:val="both"/>
        <w:rPr>
          <w:rFonts w:ascii="Garamond" w:eastAsia="Times New Roman" w:hAnsi="Garamond"/>
        </w:rPr>
      </w:pPr>
      <w:r w:rsidRPr="00F90A54">
        <w:rPr>
          <w:rFonts w:ascii="Garamond" w:eastAsia="Times New Roman" w:hAnsi="Garamond"/>
        </w:rPr>
        <w:t xml:space="preserve">In addition to this conflict, one </w:t>
      </w:r>
      <w:r w:rsidR="00A41BFE" w:rsidRPr="00F90A54">
        <w:rPr>
          <w:rFonts w:ascii="Garamond" w:eastAsia="Times New Roman" w:hAnsi="Garamond"/>
        </w:rPr>
        <w:t xml:space="preserve">doctrinal development is worth emphasizing given its impact on </w:t>
      </w:r>
      <w:r w:rsidRPr="00F90A54">
        <w:rPr>
          <w:rFonts w:ascii="Garamond" w:eastAsia="Times New Roman" w:hAnsi="Garamond"/>
        </w:rPr>
        <w:t>public-law cases</w:t>
      </w:r>
      <w:r w:rsidR="00A41BFE" w:rsidRPr="00F90A54">
        <w:rPr>
          <w:rFonts w:ascii="Garamond" w:eastAsia="Times New Roman" w:hAnsi="Garamond"/>
        </w:rPr>
        <w:t xml:space="preserve">. Some courts have </w:t>
      </w:r>
      <w:r w:rsidRPr="00F90A54">
        <w:rPr>
          <w:rFonts w:ascii="Garamond" w:eastAsia="Times New Roman" w:hAnsi="Garamond"/>
        </w:rPr>
        <w:t>held</w:t>
      </w:r>
      <w:r w:rsidR="00A41BFE" w:rsidRPr="00F90A54">
        <w:rPr>
          <w:rFonts w:ascii="Garamond" w:eastAsia="Times New Roman" w:hAnsi="Garamond"/>
        </w:rPr>
        <w:t xml:space="preserve"> that </w:t>
      </w:r>
      <w:r w:rsidRPr="00F90A54">
        <w:rPr>
          <w:rFonts w:ascii="Garamond" w:eastAsia="Times New Roman" w:hAnsi="Garamond"/>
        </w:rPr>
        <w:t xml:space="preserve">intervenors can overcome the presumption of adequate representation by showing that </w:t>
      </w:r>
      <w:r w:rsidR="00A41BFE" w:rsidRPr="00F90A54">
        <w:rPr>
          <w:rFonts w:ascii="Garamond" w:eastAsia="Times New Roman" w:hAnsi="Garamond"/>
        </w:rPr>
        <w:t xml:space="preserve">the government </w:t>
      </w:r>
      <w:r w:rsidRPr="00F90A54">
        <w:rPr>
          <w:rFonts w:ascii="Garamond" w:eastAsia="Times New Roman" w:hAnsi="Garamond"/>
        </w:rPr>
        <w:t xml:space="preserve">has </w:t>
      </w:r>
      <w:r w:rsidR="00A41BFE" w:rsidRPr="00F90A54">
        <w:rPr>
          <w:rFonts w:ascii="Garamond" w:eastAsia="Times New Roman" w:hAnsi="Garamond"/>
        </w:rPr>
        <w:t>failed to appeal a ruling that prejudice</w:t>
      </w:r>
      <w:r w:rsidRPr="00F90A54">
        <w:rPr>
          <w:rFonts w:ascii="Garamond" w:eastAsia="Times New Roman" w:hAnsi="Garamond"/>
        </w:rPr>
        <w:t>s</w:t>
      </w:r>
      <w:r w:rsidR="00A41BFE" w:rsidRPr="00F90A54">
        <w:rPr>
          <w:rFonts w:ascii="Garamond" w:eastAsia="Times New Roman" w:hAnsi="Garamond"/>
        </w:rPr>
        <w:t xml:space="preserve"> the proposed intervenor’s interests</w:t>
      </w:r>
      <w:r w:rsidR="00CF25D9" w:rsidRPr="00F90A54">
        <w:rPr>
          <w:rFonts w:ascii="Garamond" w:eastAsia="Times New Roman" w:hAnsi="Garamond"/>
        </w:rPr>
        <w:t>.</w:t>
      </w:r>
      <w:r w:rsidR="00A41BFE" w:rsidRPr="00F90A54">
        <w:rPr>
          <w:rFonts w:ascii="Garamond" w:eastAsia="Times New Roman" w:hAnsi="Garamond"/>
          <w:vertAlign w:val="superscript"/>
        </w:rPr>
        <w:footnoteReference w:id="97"/>
      </w:r>
      <w:r w:rsidR="00A41BFE" w:rsidRPr="00F90A54">
        <w:rPr>
          <w:rFonts w:ascii="Garamond" w:eastAsia="Times New Roman" w:hAnsi="Garamond"/>
        </w:rPr>
        <w:t xml:space="preserve"> Sometimes, even the </w:t>
      </w:r>
      <w:r w:rsidR="00A41BFE" w:rsidRPr="00F90A54">
        <w:rPr>
          <w:rFonts w:ascii="Garamond" w:eastAsia="Times New Roman" w:hAnsi="Garamond"/>
          <w:i/>
          <w:iCs/>
        </w:rPr>
        <w:t>possibility</w:t>
      </w:r>
      <w:r w:rsidR="00A41BFE" w:rsidRPr="00F90A54">
        <w:rPr>
          <w:rFonts w:ascii="Garamond" w:eastAsia="Times New Roman" w:hAnsi="Garamond"/>
        </w:rPr>
        <w:t xml:space="preserve"> that the government will settle or not appeal is enough for an intervenor to be granted the right to defend the </w:t>
      </w:r>
      <w:r w:rsidR="00CF25D9" w:rsidRPr="00F90A54">
        <w:rPr>
          <w:rFonts w:ascii="Garamond" w:eastAsia="Times New Roman" w:hAnsi="Garamond"/>
        </w:rPr>
        <w:t xml:space="preserve">challenged </w:t>
      </w:r>
      <w:r w:rsidR="00A41BFE" w:rsidRPr="00F90A54">
        <w:rPr>
          <w:rFonts w:ascii="Garamond" w:eastAsia="Times New Roman" w:hAnsi="Garamond"/>
        </w:rPr>
        <w:t>policy.</w:t>
      </w:r>
      <w:r w:rsidR="00D94C21" w:rsidRPr="00F90A54">
        <w:rPr>
          <w:rStyle w:val="FootnoteReference"/>
          <w:rFonts w:ascii="Garamond" w:eastAsia="Times New Roman" w:hAnsi="Garamond"/>
        </w:rPr>
        <w:footnoteReference w:id="98"/>
      </w:r>
      <w:r w:rsidR="00A41BFE" w:rsidRPr="00F90A54">
        <w:rPr>
          <w:rFonts w:ascii="Garamond" w:eastAsia="Times New Roman" w:hAnsi="Garamond"/>
        </w:rPr>
        <w:t xml:space="preserve"> </w:t>
      </w:r>
    </w:p>
    <w:p w14:paraId="71A33A88" w14:textId="1FB9D40D" w:rsidR="00DE722C" w:rsidRPr="00F90A54" w:rsidRDefault="00DE722C" w:rsidP="001F4A3F">
      <w:pPr>
        <w:ind w:firstLine="360"/>
        <w:jc w:val="both"/>
        <w:rPr>
          <w:rFonts w:ascii="Garamond" w:eastAsia="Times New Roman" w:hAnsi="Garamond"/>
        </w:rPr>
      </w:pPr>
      <w:r w:rsidRPr="00F90A54">
        <w:rPr>
          <w:rFonts w:ascii="Garamond" w:eastAsia="Times New Roman" w:hAnsi="Garamond"/>
        </w:rPr>
        <w:t xml:space="preserve">In sum, there are few consistent principles that </w:t>
      </w:r>
      <w:r w:rsidR="00741CC4" w:rsidRPr="00F90A54">
        <w:rPr>
          <w:rFonts w:ascii="Garamond" w:eastAsia="Times New Roman" w:hAnsi="Garamond"/>
        </w:rPr>
        <w:t>cabin the adequate-representation analysis, especially</w:t>
      </w:r>
      <w:r w:rsidRPr="00F90A54">
        <w:rPr>
          <w:rFonts w:ascii="Garamond" w:eastAsia="Times New Roman" w:hAnsi="Garamond"/>
        </w:rPr>
        <w:t xml:space="preserve"> when private parties seek to intervene in government suits. Any court evaluating whether </w:t>
      </w:r>
      <w:r w:rsidR="00741CC4" w:rsidRPr="00F90A54">
        <w:rPr>
          <w:rFonts w:ascii="Garamond" w:eastAsia="Times New Roman" w:hAnsi="Garamond"/>
        </w:rPr>
        <w:t>a nonparty can</w:t>
      </w:r>
      <w:r w:rsidRPr="00F90A54">
        <w:rPr>
          <w:rFonts w:ascii="Garamond" w:eastAsia="Times New Roman" w:hAnsi="Garamond"/>
        </w:rPr>
        <w:t xml:space="preserve"> participate has a range of precedents available to it. One set imposes a near-insurmountable barrier. Another presents an easily bypassed hurdle. This dynamic has resulted i</w:t>
      </w:r>
      <w:r w:rsidR="00741CC4" w:rsidRPr="00F90A54">
        <w:rPr>
          <w:rFonts w:ascii="Garamond" w:eastAsia="Times New Roman" w:hAnsi="Garamond"/>
        </w:rPr>
        <w:t>n</w:t>
      </w:r>
      <w:r w:rsidRPr="00F90A54">
        <w:rPr>
          <w:rFonts w:ascii="Garamond" w:eastAsia="Times New Roman" w:hAnsi="Garamond"/>
        </w:rPr>
        <w:t xml:space="preserve"> unconstrained judicial discretion and little guidance to litigants seeking to participate in suits that affect their interests. </w:t>
      </w:r>
    </w:p>
    <w:p w14:paraId="515E8B03" w14:textId="77777777" w:rsidR="001A414A" w:rsidRPr="00F90A54" w:rsidRDefault="001A414A" w:rsidP="00DE722C">
      <w:pPr>
        <w:ind w:firstLine="360"/>
        <w:jc w:val="center"/>
        <w:rPr>
          <w:rFonts w:ascii="Garamond" w:hAnsi="Garamond"/>
        </w:rPr>
      </w:pPr>
    </w:p>
    <w:p w14:paraId="7B72A070" w14:textId="45365B6F" w:rsidR="00DE722C" w:rsidRPr="00F90A54" w:rsidRDefault="00DE722C" w:rsidP="00D9403B">
      <w:pPr>
        <w:keepNext/>
        <w:jc w:val="center"/>
        <w:rPr>
          <w:rFonts w:ascii="Garamond" w:hAnsi="Garamond"/>
        </w:rPr>
      </w:pPr>
      <w:r w:rsidRPr="00F90A54">
        <w:rPr>
          <w:rFonts w:ascii="Garamond" w:hAnsi="Garamond"/>
        </w:rPr>
        <w:t>***</w:t>
      </w:r>
    </w:p>
    <w:p w14:paraId="4F96FF12" w14:textId="77777777" w:rsidR="001A414A" w:rsidRPr="00F90A54" w:rsidRDefault="001A414A" w:rsidP="00D9403B">
      <w:pPr>
        <w:keepNext/>
        <w:ind w:firstLine="360"/>
        <w:jc w:val="center"/>
        <w:rPr>
          <w:rFonts w:ascii="Garamond" w:hAnsi="Garamond"/>
        </w:rPr>
      </w:pPr>
    </w:p>
    <w:p w14:paraId="7781EDD5" w14:textId="2097FCA6" w:rsidR="00DE722C" w:rsidRPr="00F90A54" w:rsidRDefault="00741CC4" w:rsidP="001F4A3F">
      <w:pPr>
        <w:ind w:firstLine="360"/>
        <w:jc w:val="both"/>
        <w:rPr>
          <w:rFonts w:ascii="Garamond" w:hAnsi="Garamond"/>
        </w:rPr>
      </w:pPr>
      <w:r w:rsidRPr="00F90A54">
        <w:rPr>
          <w:rFonts w:ascii="Garamond" w:hAnsi="Garamond"/>
        </w:rPr>
        <w:t>As this section has shown</w:t>
      </w:r>
      <w:r w:rsidR="00DE722C" w:rsidRPr="00F90A54">
        <w:rPr>
          <w:rFonts w:ascii="Garamond" w:hAnsi="Garamond"/>
        </w:rPr>
        <w:t xml:space="preserve">, each element of the </w:t>
      </w:r>
      <w:r w:rsidR="001B53E0" w:rsidRPr="00F90A54">
        <w:rPr>
          <w:rFonts w:ascii="Garamond" w:hAnsi="Garamond"/>
        </w:rPr>
        <w:t xml:space="preserve">Rule 24 </w:t>
      </w:r>
      <w:r w:rsidR="00DE722C" w:rsidRPr="00F90A54">
        <w:rPr>
          <w:rFonts w:ascii="Garamond" w:hAnsi="Garamond"/>
        </w:rPr>
        <w:t xml:space="preserve">test has expanded the discretion available to courts to grant or deny </w:t>
      </w:r>
      <w:r w:rsidR="001B53E0">
        <w:rPr>
          <w:rFonts w:ascii="Garamond" w:hAnsi="Garamond"/>
        </w:rPr>
        <w:t xml:space="preserve">the </w:t>
      </w:r>
      <w:r w:rsidR="00DE722C" w:rsidRPr="00F90A54">
        <w:rPr>
          <w:rFonts w:ascii="Garamond" w:hAnsi="Garamond"/>
        </w:rPr>
        <w:t xml:space="preserve">intervention </w:t>
      </w:r>
      <w:r w:rsidR="001B53E0">
        <w:rPr>
          <w:rFonts w:ascii="Garamond" w:hAnsi="Garamond"/>
        </w:rPr>
        <w:t>of</w:t>
      </w:r>
      <w:r w:rsidR="00DE722C" w:rsidRPr="00F90A54">
        <w:rPr>
          <w:rFonts w:ascii="Garamond" w:hAnsi="Garamond"/>
        </w:rPr>
        <w:t xml:space="preserve"> any </w:t>
      </w:r>
      <w:proofErr w:type="gramStart"/>
      <w:r w:rsidR="00DE722C" w:rsidRPr="00F90A54">
        <w:rPr>
          <w:rFonts w:ascii="Garamond" w:hAnsi="Garamond"/>
        </w:rPr>
        <w:t>particular movant</w:t>
      </w:r>
      <w:proofErr w:type="gramEnd"/>
      <w:r w:rsidR="00DE722C" w:rsidRPr="00F90A54">
        <w:rPr>
          <w:rFonts w:ascii="Garamond" w:hAnsi="Garamond"/>
        </w:rPr>
        <w:t xml:space="preserve"> </w:t>
      </w:r>
      <w:r w:rsidR="00DE722C" w:rsidRPr="00F90A54">
        <w:rPr>
          <w:rFonts w:ascii="Garamond" w:hAnsi="Garamond"/>
        </w:rPr>
        <w:lastRenderedPageBreak/>
        <w:t xml:space="preserve">in any particular case. </w:t>
      </w:r>
      <w:r w:rsidRPr="00F90A54">
        <w:rPr>
          <w:rFonts w:ascii="Garamond" w:hAnsi="Garamond"/>
        </w:rPr>
        <w:t xml:space="preserve">But discretion </w:t>
      </w:r>
      <w:r w:rsidR="000523FE">
        <w:rPr>
          <w:rFonts w:ascii="Garamond" w:hAnsi="Garamond"/>
        </w:rPr>
        <w:t xml:space="preserve">alone </w:t>
      </w:r>
      <w:r w:rsidRPr="00F90A54">
        <w:rPr>
          <w:rFonts w:ascii="Garamond" w:hAnsi="Garamond"/>
        </w:rPr>
        <w:t>does not equate to an unprincipled procedural design. To evaluate that discretion, it is necessary to know the values that a particular procedural rule is meant to promote.</w:t>
      </w:r>
      <w:r w:rsidR="00DE722C" w:rsidRPr="00F90A54">
        <w:rPr>
          <w:rFonts w:ascii="Garamond" w:hAnsi="Garamond"/>
        </w:rPr>
        <w:t xml:space="preserve"> </w:t>
      </w:r>
    </w:p>
    <w:p w14:paraId="4E8DFC0A" w14:textId="77777777" w:rsidR="00DE722C" w:rsidRPr="00F90A54" w:rsidRDefault="00DE722C" w:rsidP="00DE722C">
      <w:pPr>
        <w:ind w:firstLine="360"/>
        <w:rPr>
          <w:rFonts w:ascii="Garamond" w:hAnsi="Garamond"/>
        </w:rPr>
      </w:pPr>
    </w:p>
    <w:p w14:paraId="380AE89F" w14:textId="77777777" w:rsidR="00DE722C" w:rsidRPr="00F90A54" w:rsidRDefault="00DE722C" w:rsidP="00D9403B">
      <w:pPr>
        <w:pStyle w:val="Heading2"/>
        <w:keepNext/>
      </w:pPr>
      <w:bookmarkStart w:id="9" w:name="_Toc143336551"/>
      <w:r w:rsidRPr="00F90A54">
        <w:t>The Values of Intervention</w:t>
      </w:r>
      <w:bookmarkEnd w:id="9"/>
    </w:p>
    <w:p w14:paraId="158ADF33" w14:textId="77777777" w:rsidR="00DE722C" w:rsidRPr="00F90A54" w:rsidRDefault="00DE722C" w:rsidP="00D9403B">
      <w:pPr>
        <w:keepNext/>
        <w:ind w:left="360"/>
        <w:rPr>
          <w:rFonts w:ascii="Garamond" w:hAnsi="Garamond"/>
        </w:rPr>
      </w:pPr>
    </w:p>
    <w:p w14:paraId="0BA16D4A" w14:textId="54FD5B9F" w:rsidR="00DE722C" w:rsidRPr="00F90A54" w:rsidRDefault="0082776E" w:rsidP="001F4A3F">
      <w:pPr>
        <w:ind w:firstLine="360"/>
        <w:jc w:val="both"/>
        <w:rPr>
          <w:rFonts w:ascii="Garamond" w:hAnsi="Garamond"/>
        </w:rPr>
      </w:pPr>
      <w:r w:rsidRPr="00F90A54">
        <w:rPr>
          <w:rFonts w:ascii="Garamond" w:hAnsi="Garamond"/>
        </w:rPr>
        <w:t xml:space="preserve">This part provides an overview </w:t>
      </w:r>
      <w:r>
        <w:rPr>
          <w:rFonts w:ascii="Garamond" w:hAnsi="Garamond"/>
        </w:rPr>
        <w:t xml:space="preserve">of </w:t>
      </w:r>
      <w:r w:rsidR="00DE722C" w:rsidRPr="00F90A54">
        <w:rPr>
          <w:rFonts w:ascii="Garamond" w:hAnsi="Garamond"/>
        </w:rPr>
        <w:t>three competing values animating joinder rules, like Rule 24:</w:t>
      </w:r>
      <w:r w:rsidR="00DE722C" w:rsidRPr="00F90A54">
        <w:rPr>
          <w:rStyle w:val="FootnoteReference"/>
          <w:rFonts w:ascii="Garamond" w:hAnsi="Garamond"/>
        </w:rPr>
        <w:footnoteReference w:id="99"/>
      </w:r>
      <w:r w:rsidR="00DE722C" w:rsidRPr="00F90A54">
        <w:rPr>
          <w:rFonts w:ascii="Garamond" w:hAnsi="Garamond"/>
        </w:rPr>
        <w:t xml:space="preserve"> affording an opportunity for outsiders to meaningfully participate, increasing judicial efficiency, and safeguarding the right of the original parties to control the lawsuit.</w:t>
      </w:r>
      <w:r w:rsidR="00847628" w:rsidRPr="00F90A54">
        <w:rPr>
          <w:rStyle w:val="FootnoteReference"/>
          <w:rFonts w:ascii="Garamond" w:hAnsi="Garamond"/>
        </w:rPr>
        <w:footnoteReference w:id="100"/>
      </w:r>
      <w:r>
        <w:rPr>
          <w:rFonts w:ascii="Garamond" w:hAnsi="Garamond"/>
        </w:rPr>
        <w:t xml:space="preserve"> </w:t>
      </w:r>
    </w:p>
    <w:p w14:paraId="4AEA677B" w14:textId="16B0BEDA" w:rsidR="00DE722C" w:rsidRPr="00F90A54" w:rsidRDefault="00DE722C" w:rsidP="001F4A3F">
      <w:pPr>
        <w:ind w:firstLine="360"/>
        <w:jc w:val="both"/>
        <w:rPr>
          <w:rFonts w:ascii="Garamond" w:hAnsi="Garamond"/>
        </w:rPr>
      </w:pPr>
      <w:r w:rsidRPr="00F90A54">
        <w:rPr>
          <w:rFonts w:ascii="Garamond" w:hAnsi="Garamond"/>
        </w:rPr>
        <w:t xml:space="preserve">1. </w:t>
      </w:r>
      <w:r w:rsidRPr="00F90A54">
        <w:rPr>
          <w:rFonts w:ascii="Garamond" w:hAnsi="Garamond"/>
          <w:i/>
          <w:iCs/>
        </w:rPr>
        <w:t>Meaningful Participation</w:t>
      </w:r>
      <w:r w:rsidRPr="00F90A54">
        <w:rPr>
          <w:rFonts w:ascii="Garamond" w:hAnsi="Garamond"/>
        </w:rPr>
        <w:t xml:space="preserve">. Intervention has always been about affording a meaningful opportunity for outsiders to participate in suits that will affect their interests. As </w:t>
      </w:r>
      <w:r w:rsidR="00E77CE4">
        <w:rPr>
          <w:rFonts w:ascii="Garamond" w:hAnsi="Garamond"/>
        </w:rPr>
        <w:t xml:space="preserve">Judge James </w:t>
      </w:r>
      <w:r w:rsidRPr="00F90A54">
        <w:rPr>
          <w:rFonts w:ascii="Garamond" w:hAnsi="Garamond"/>
        </w:rPr>
        <w:t xml:space="preserve">Moore and </w:t>
      </w:r>
      <w:r w:rsidR="00E77CE4">
        <w:rPr>
          <w:rFonts w:ascii="Garamond" w:hAnsi="Garamond"/>
        </w:rPr>
        <w:t xml:space="preserve">Edward </w:t>
      </w:r>
      <w:r w:rsidRPr="00F90A54">
        <w:rPr>
          <w:rFonts w:ascii="Garamond" w:hAnsi="Garamond"/>
        </w:rPr>
        <w:t>Levi explained shortly after the rules were adopted, Rule 24’s “utility lies in offering protection to non-parties” who may “comprise a large and undefined group with varied interests, often-times of tremendous financial and legal importance.”</w:t>
      </w:r>
      <w:r w:rsidRPr="00F90A54">
        <w:rPr>
          <w:rStyle w:val="FootnoteReference"/>
          <w:rFonts w:ascii="Garamond" w:hAnsi="Garamond"/>
        </w:rPr>
        <w:footnoteReference w:id="101"/>
      </w:r>
      <w:r w:rsidRPr="00F90A54">
        <w:rPr>
          <w:rFonts w:ascii="Garamond" w:hAnsi="Garamond"/>
        </w:rPr>
        <w:t xml:space="preserve"> This principle has only expanded with the rise of public</w:t>
      </w:r>
      <w:r w:rsidR="00F03696" w:rsidRPr="00F90A54">
        <w:rPr>
          <w:rFonts w:ascii="Garamond" w:hAnsi="Garamond"/>
        </w:rPr>
        <w:t>-</w:t>
      </w:r>
      <w:r w:rsidRPr="00F90A54">
        <w:rPr>
          <w:rFonts w:ascii="Garamond" w:hAnsi="Garamond"/>
        </w:rPr>
        <w:t xml:space="preserve">law litigation. As more policies are debated in courts rather than in legislatures or administrative agencies—the traditional avenues for participation in policymaking—some think that </w:t>
      </w:r>
      <w:r w:rsidR="00DC4299" w:rsidRPr="00F90A54">
        <w:rPr>
          <w:rFonts w:ascii="Garamond" w:hAnsi="Garamond"/>
        </w:rPr>
        <w:t xml:space="preserve">courts </w:t>
      </w:r>
      <w:r w:rsidRPr="00F90A54">
        <w:rPr>
          <w:rFonts w:ascii="Garamond" w:hAnsi="Garamond"/>
        </w:rPr>
        <w:t>should hear from the spectrum of interests affected.</w:t>
      </w:r>
      <w:r w:rsidRPr="00F90A54">
        <w:rPr>
          <w:rStyle w:val="FootnoteReference"/>
          <w:rFonts w:ascii="Garamond" w:hAnsi="Garamond"/>
        </w:rPr>
        <w:footnoteReference w:id="102"/>
      </w:r>
      <w:r w:rsidRPr="00F90A54">
        <w:rPr>
          <w:rFonts w:ascii="Garamond" w:hAnsi="Garamond"/>
        </w:rPr>
        <w:t xml:space="preserve"> </w:t>
      </w:r>
    </w:p>
    <w:p w14:paraId="1D90AAFC" w14:textId="0692D5F7" w:rsidR="00DE722C" w:rsidRPr="00F90A54" w:rsidRDefault="00DE722C" w:rsidP="001F4A3F">
      <w:pPr>
        <w:ind w:firstLine="360"/>
        <w:jc w:val="both"/>
        <w:rPr>
          <w:rFonts w:ascii="Garamond" w:hAnsi="Garamond"/>
        </w:rPr>
      </w:pPr>
      <w:r w:rsidRPr="00F90A54">
        <w:rPr>
          <w:rFonts w:ascii="Garamond" w:hAnsi="Garamond"/>
        </w:rPr>
        <w:t>Affording an opportunity for interested outsiders to participate serves both individual and institution</w:t>
      </w:r>
      <w:r w:rsidR="00DC4299" w:rsidRPr="00F90A54">
        <w:rPr>
          <w:rFonts w:ascii="Garamond" w:hAnsi="Garamond"/>
        </w:rPr>
        <w:t xml:space="preserve">al </w:t>
      </w:r>
      <w:r w:rsidRPr="00F90A54">
        <w:rPr>
          <w:rFonts w:ascii="Garamond" w:hAnsi="Garamond"/>
        </w:rPr>
        <w:t>principles. It supports the “deep-rooted historic tradition that everyone should have his own day in court”</w:t>
      </w:r>
      <w:r w:rsidRPr="00F90A54">
        <w:rPr>
          <w:rStyle w:val="FootnoteReference"/>
          <w:rFonts w:ascii="Garamond" w:hAnsi="Garamond"/>
        </w:rPr>
        <w:footnoteReference w:id="103"/>
      </w:r>
      <w:r w:rsidRPr="00F90A54">
        <w:rPr>
          <w:rFonts w:ascii="Garamond" w:hAnsi="Garamond"/>
        </w:rPr>
        <w:t xml:space="preserve"> and affirms the dignity and autonomy of those whose interests are tangled up in the litigation.</w:t>
      </w:r>
      <w:r w:rsidRPr="00F90A54">
        <w:rPr>
          <w:rStyle w:val="FootnoteReference"/>
          <w:rFonts w:ascii="Garamond" w:hAnsi="Garamond"/>
        </w:rPr>
        <w:footnoteReference w:id="104"/>
      </w:r>
      <w:r w:rsidRPr="00F90A54">
        <w:rPr>
          <w:rFonts w:ascii="Garamond" w:hAnsi="Garamond"/>
        </w:rPr>
        <w:t xml:space="preserve"> It also supports </w:t>
      </w:r>
      <w:r w:rsidRPr="00F90A54">
        <w:rPr>
          <w:rFonts w:ascii="Garamond" w:hAnsi="Garamond"/>
        </w:rPr>
        <w:lastRenderedPageBreak/>
        <w:t>the legitimacy of judicial decisions as the products of a fair and comprehensive procedural system.</w:t>
      </w:r>
      <w:r w:rsidRPr="00F90A54">
        <w:rPr>
          <w:rStyle w:val="FootnoteReference"/>
          <w:rFonts w:ascii="Garamond" w:hAnsi="Garamond"/>
        </w:rPr>
        <w:footnoteReference w:id="105"/>
      </w:r>
      <w:r w:rsidRPr="00F90A54">
        <w:rPr>
          <w:rFonts w:ascii="Garamond" w:hAnsi="Garamond"/>
        </w:rPr>
        <w:t xml:space="preserve"> </w:t>
      </w:r>
    </w:p>
    <w:p w14:paraId="51FC3C18" w14:textId="5B45D922" w:rsidR="00DE722C" w:rsidRPr="00F90A54" w:rsidRDefault="00DE722C" w:rsidP="001F4A3F">
      <w:pPr>
        <w:ind w:firstLine="360"/>
        <w:jc w:val="both"/>
        <w:rPr>
          <w:rFonts w:ascii="Garamond" w:hAnsi="Garamond"/>
        </w:rPr>
      </w:pPr>
      <w:r w:rsidRPr="00F90A54">
        <w:rPr>
          <w:rFonts w:ascii="Garamond" w:hAnsi="Garamond"/>
        </w:rPr>
        <w:t xml:space="preserve">The key question, however, is what it means to have a right to participate. </w:t>
      </w:r>
      <w:r w:rsidR="00F0061B" w:rsidRPr="00F90A54">
        <w:rPr>
          <w:rFonts w:ascii="Garamond" w:hAnsi="Garamond"/>
        </w:rPr>
        <w:t>Even proponents of broad intervention acknowledge that participation by nonparties has some limit.</w:t>
      </w:r>
      <w:r w:rsidR="00F0061B" w:rsidRPr="00F90A54">
        <w:rPr>
          <w:rStyle w:val="FootnoteReference"/>
          <w:rFonts w:ascii="Garamond" w:hAnsi="Garamond"/>
        </w:rPr>
        <w:footnoteReference w:id="106"/>
      </w:r>
      <w:r w:rsidR="00F0061B" w:rsidRPr="00F90A54">
        <w:rPr>
          <w:rFonts w:ascii="Garamond" w:hAnsi="Garamond"/>
        </w:rPr>
        <w:t xml:space="preserve"> </w:t>
      </w:r>
      <w:r w:rsidR="00F0061B">
        <w:rPr>
          <w:rFonts w:ascii="Garamond" w:hAnsi="Garamond"/>
        </w:rPr>
        <w:t xml:space="preserve">For instance, in </w:t>
      </w:r>
      <w:r w:rsidRPr="00F90A54">
        <w:rPr>
          <w:rFonts w:ascii="Garamond" w:hAnsi="Garamond"/>
        </w:rPr>
        <w:t xml:space="preserve">aggregate litigation, it </w:t>
      </w:r>
      <w:r w:rsidR="00F0061B">
        <w:rPr>
          <w:rFonts w:ascii="Garamond" w:hAnsi="Garamond"/>
        </w:rPr>
        <w:t>would often be</w:t>
      </w:r>
      <w:r w:rsidRPr="00F90A54">
        <w:rPr>
          <w:rFonts w:ascii="Garamond" w:hAnsi="Garamond"/>
        </w:rPr>
        <w:t xml:space="preserve"> exceedingly difficult (if not impossible) to afford each affected nonparty an equal opportunity to participate on par with the original parties.</w:t>
      </w:r>
      <w:r w:rsidRPr="00F90A54">
        <w:rPr>
          <w:rStyle w:val="FootnoteReference"/>
          <w:rFonts w:ascii="Garamond" w:hAnsi="Garamond"/>
        </w:rPr>
        <w:footnoteReference w:id="107"/>
      </w:r>
      <w:r w:rsidRPr="00F90A54">
        <w:rPr>
          <w:rFonts w:ascii="Garamond" w:hAnsi="Garamond"/>
        </w:rPr>
        <w:t xml:space="preserve"> </w:t>
      </w:r>
    </w:p>
    <w:p w14:paraId="549A478C" w14:textId="78AB3794" w:rsidR="00DE722C" w:rsidRPr="00F90A54" w:rsidRDefault="00DE722C" w:rsidP="001F4A3F">
      <w:pPr>
        <w:ind w:firstLine="360"/>
        <w:jc w:val="both"/>
        <w:rPr>
          <w:rFonts w:ascii="Garamond" w:hAnsi="Garamond"/>
        </w:rPr>
      </w:pPr>
      <w:r w:rsidRPr="00F90A54">
        <w:rPr>
          <w:rFonts w:ascii="Garamond" w:hAnsi="Garamond"/>
        </w:rPr>
        <w:t xml:space="preserve">The principle </w:t>
      </w:r>
      <w:r w:rsidR="00D82778" w:rsidRPr="00F90A54">
        <w:rPr>
          <w:rFonts w:ascii="Garamond" w:hAnsi="Garamond"/>
        </w:rPr>
        <w:t>is thus</w:t>
      </w:r>
      <w:r w:rsidRPr="00F90A54">
        <w:rPr>
          <w:rFonts w:ascii="Garamond" w:hAnsi="Garamond"/>
        </w:rPr>
        <w:t xml:space="preserve"> </w:t>
      </w:r>
      <w:r w:rsidR="00D82778" w:rsidRPr="00F90A54">
        <w:rPr>
          <w:rFonts w:ascii="Garamond" w:hAnsi="Garamond"/>
        </w:rPr>
        <w:t xml:space="preserve">often </w:t>
      </w:r>
      <w:r w:rsidRPr="00F90A54">
        <w:rPr>
          <w:rFonts w:ascii="Garamond" w:hAnsi="Garamond"/>
        </w:rPr>
        <w:t xml:space="preserve">articulated as protecting </w:t>
      </w:r>
      <w:r w:rsidRPr="00F90A54">
        <w:rPr>
          <w:rFonts w:ascii="Garamond" w:hAnsi="Garamond"/>
          <w:i/>
          <w:iCs/>
        </w:rPr>
        <w:t>meaningful</w:t>
      </w:r>
      <w:r w:rsidRPr="00F90A54">
        <w:rPr>
          <w:rFonts w:ascii="Garamond" w:hAnsi="Garamond"/>
        </w:rPr>
        <w:t xml:space="preserve"> participation. Courts and commentators have repeatedly referred to the outsider’s ability to provide an “effective presentation of [their] interests,”</w:t>
      </w:r>
      <w:r w:rsidRPr="00F90A54">
        <w:rPr>
          <w:rStyle w:val="FootnoteReference"/>
          <w:rFonts w:ascii="Garamond" w:hAnsi="Garamond"/>
        </w:rPr>
        <w:footnoteReference w:id="108"/>
      </w:r>
      <w:r w:rsidRPr="00F90A54">
        <w:rPr>
          <w:rFonts w:ascii="Garamond" w:hAnsi="Garamond"/>
        </w:rPr>
        <w:t xml:space="preserve"> or to the court’s responsibility “to give the intervenor a sense that it has at least been heard.”</w:t>
      </w:r>
      <w:r w:rsidRPr="00F90A54">
        <w:rPr>
          <w:rStyle w:val="FootnoteReference"/>
          <w:rFonts w:ascii="Garamond" w:hAnsi="Garamond"/>
        </w:rPr>
        <w:footnoteReference w:id="109"/>
      </w:r>
      <w:r w:rsidRPr="00F90A54">
        <w:rPr>
          <w:rFonts w:ascii="Garamond" w:hAnsi="Garamond"/>
        </w:rPr>
        <w:t xml:space="preserve"> The boundary on these rights is necessarily somewhat </w:t>
      </w:r>
      <w:r w:rsidR="003A491A" w:rsidRPr="00F90A54">
        <w:rPr>
          <w:rFonts w:ascii="Garamond" w:hAnsi="Garamond"/>
        </w:rPr>
        <w:t>context specific</w:t>
      </w:r>
      <w:r w:rsidRPr="00F90A54">
        <w:rPr>
          <w:rFonts w:ascii="Garamond" w:hAnsi="Garamond"/>
        </w:rPr>
        <w:t xml:space="preserve">. </w:t>
      </w:r>
      <w:r w:rsidR="00D82778" w:rsidRPr="00F90A54">
        <w:rPr>
          <w:rFonts w:ascii="Garamond" w:hAnsi="Garamond"/>
        </w:rPr>
        <w:t>It requires that courts provide enough guidance for outsiders to know how to participate.</w:t>
      </w:r>
      <w:r w:rsidR="00D82778" w:rsidRPr="00F90A54">
        <w:rPr>
          <w:rStyle w:val="FootnoteReference"/>
          <w:rFonts w:ascii="Garamond" w:hAnsi="Garamond"/>
        </w:rPr>
        <w:footnoteReference w:id="110"/>
      </w:r>
      <w:r w:rsidR="00AF379F" w:rsidRPr="00F90A54">
        <w:rPr>
          <w:rFonts w:ascii="Garamond" w:hAnsi="Garamond"/>
        </w:rPr>
        <w:t xml:space="preserve"> And the core features of that participation often include the ability </w:t>
      </w:r>
      <w:r w:rsidRPr="00F90A54">
        <w:rPr>
          <w:rFonts w:ascii="Garamond" w:hAnsi="Garamond"/>
        </w:rPr>
        <w:t>to present evidence, raise arguments, participate in settlement negotiations, and appeal adverse decisions.</w:t>
      </w:r>
      <w:r w:rsidRPr="00F90A54">
        <w:rPr>
          <w:rStyle w:val="FootnoteReference"/>
          <w:rFonts w:ascii="Garamond" w:hAnsi="Garamond"/>
        </w:rPr>
        <w:footnoteReference w:id="111"/>
      </w:r>
      <w:r w:rsidRPr="00F90A54">
        <w:rPr>
          <w:rFonts w:ascii="Garamond" w:hAnsi="Garamond"/>
        </w:rPr>
        <w:t xml:space="preserve"> </w:t>
      </w:r>
    </w:p>
    <w:p w14:paraId="3DB7B61A" w14:textId="34008C87" w:rsidR="00DE722C" w:rsidRPr="00F90A54" w:rsidRDefault="00DE722C" w:rsidP="001F4A3F">
      <w:pPr>
        <w:ind w:firstLine="360"/>
        <w:jc w:val="both"/>
        <w:rPr>
          <w:rFonts w:ascii="Garamond" w:hAnsi="Garamond"/>
        </w:rPr>
      </w:pPr>
      <w:r w:rsidRPr="00F90A54">
        <w:rPr>
          <w:rFonts w:ascii="Garamond" w:hAnsi="Garamond"/>
        </w:rPr>
        <w:t>In this way, intervention stands in stark contrast to amicus curiae participation. Amici are not parties to the case—their role is generally to serve the interests of the court by presenting additional arguments not raised or fleshed out by the parties.</w:t>
      </w:r>
      <w:r w:rsidRPr="00F90A54">
        <w:rPr>
          <w:rStyle w:val="FootnoteReference"/>
          <w:rFonts w:ascii="Garamond" w:hAnsi="Garamond"/>
        </w:rPr>
        <w:footnoteReference w:id="112"/>
      </w:r>
      <w:r w:rsidRPr="00F90A54">
        <w:rPr>
          <w:rFonts w:ascii="Garamond" w:hAnsi="Garamond"/>
        </w:rPr>
        <w:t xml:space="preserve"> Although rare exceptions exist, </w:t>
      </w:r>
      <w:r w:rsidR="00636F46" w:rsidRPr="00F90A54">
        <w:rPr>
          <w:rFonts w:ascii="Garamond" w:hAnsi="Garamond"/>
        </w:rPr>
        <w:t>amici</w:t>
      </w:r>
      <w:r w:rsidRPr="00F90A54">
        <w:rPr>
          <w:rFonts w:ascii="Garamond" w:hAnsi="Garamond"/>
        </w:rPr>
        <w:t xml:space="preserve"> usually have no right to present evidence outside the record. </w:t>
      </w:r>
      <w:r w:rsidR="00C814A6" w:rsidRPr="00F90A54">
        <w:rPr>
          <w:rFonts w:ascii="Garamond" w:hAnsi="Garamond"/>
        </w:rPr>
        <w:t>Nor do t</w:t>
      </w:r>
      <w:r w:rsidRPr="00F90A54">
        <w:rPr>
          <w:rFonts w:ascii="Garamond" w:hAnsi="Garamond"/>
        </w:rPr>
        <w:t>he parties need to involve them in settlement negotiations.</w:t>
      </w:r>
      <w:r w:rsidRPr="00F90A54">
        <w:rPr>
          <w:rStyle w:val="FootnoteReference"/>
          <w:rFonts w:ascii="Garamond" w:hAnsi="Garamond"/>
        </w:rPr>
        <w:footnoteReference w:id="113"/>
      </w:r>
      <w:r w:rsidRPr="00F90A54">
        <w:rPr>
          <w:rFonts w:ascii="Garamond" w:hAnsi="Garamond"/>
        </w:rPr>
        <w:t xml:space="preserve"> </w:t>
      </w:r>
      <w:r w:rsidR="00053A1E" w:rsidRPr="00F90A54">
        <w:rPr>
          <w:rFonts w:ascii="Garamond" w:hAnsi="Garamond"/>
        </w:rPr>
        <w:t xml:space="preserve">Nor </w:t>
      </w:r>
      <w:r w:rsidR="00053A1E" w:rsidRPr="00F90A54">
        <w:rPr>
          <w:rFonts w:ascii="Garamond" w:hAnsi="Garamond"/>
        </w:rPr>
        <w:lastRenderedPageBreak/>
        <w:t>can</w:t>
      </w:r>
      <w:r w:rsidRPr="00F90A54">
        <w:rPr>
          <w:rFonts w:ascii="Garamond" w:hAnsi="Garamond"/>
        </w:rPr>
        <w:t xml:space="preserve"> amici appeal. Even the right to present arguments is limited, as courts have no corresponding obligation to consider those arguments.</w:t>
      </w:r>
      <w:r w:rsidRPr="00F90A54">
        <w:rPr>
          <w:rStyle w:val="FootnoteReference"/>
          <w:rFonts w:ascii="Garamond" w:hAnsi="Garamond"/>
        </w:rPr>
        <w:footnoteReference w:id="114"/>
      </w:r>
      <w:r w:rsidRPr="00F90A54">
        <w:rPr>
          <w:rFonts w:ascii="Garamond" w:hAnsi="Garamond"/>
        </w:rPr>
        <w:t xml:space="preserve"> </w:t>
      </w:r>
    </w:p>
    <w:p w14:paraId="4BD1E108" w14:textId="694D518D" w:rsidR="00DE722C" w:rsidRPr="00F90A54" w:rsidRDefault="00DE722C" w:rsidP="001F4A3F">
      <w:pPr>
        <w:ind w:firstLine="360"/>
        <w:jc w:val="both"/>
        <w:rPr>
          <w:rFonts w:ascii="Garamond" w:hAnsi="Garamond"/>
        </w:rPr>
      </w:pPr>
      <w:r w:rsidRPr="00F90A54">
        <w:rPr>
          <w:rFonts w:ascii="Garamond" w:hAnsi="Garamond"/>
        </w:rPr>
        <w:t>The discretionary nature of intervention complicates whether Rule 24 protects the opportunity for intervenors to meaningfully participate. Because courts have broad discretion to decide whether an intervenor is permissive or of right</w:t>
      </w:r>
      <w:r w:rsidR="00053A1E" w:rsidRPr="00F90A54">
        <w:rPr>
          <w:rFonts w:ascii="Garamond" w:hAnsi="Garamond"/>
        </w:rPr>
        <w:t>,</w:t>
      </w:r>
      <w:r w:rsidRPr="00F90A54">
        <w:rPr>
          <w:rFonts w:ascii="Garamond" w:hAnsi="Garamond"/>
        </w:rPr>
        <w:t xml:space="preserve"> and then impose extreme limits on their participation, some intervenors with strong interests will find that their ability to protect those interests unduly circumscribed by the courts. And there is little recourse to fix abuses of that discretion before the intervenor’s rights in the case are adjudicated, as intervenors cannot appeal a grant of permissive intervention until after final judgment.</w:t>
      </w:r>
    </w:p>
    <w:p w14:paraId="4DB2C4B9" w14:textId="00CC8039" w:rsidR="00DE722C" w:rsidRPr="00F90A54" w:rsidRDefault="00DE722C" w:rsidP="001F4A3F">
      <w:pPr>
        <w:ind w:firstLine="360"/>
        <w:jc w:val="both"/>
        <w:rPr>
          <w:rFonts w:ascii="Garamond" w:hAnsi="Garamond"/>
        </w:rPr>
      </w:pPr>
      <w:r w:rsidRPr="00F90A54">
        <w:rPr>
          <w:rFonts w:ascii="Garamond" w:hAnsi="Garamond"/>
        </w:rPr>
        <w:t xml:space="preserve">2. </w:t>
      </w:r>
      <w:r w:rsidRPr="00F90A54">
        <w:rPr>
          <w:rFonts w:ascii="Garamond" w:hAnsi="Garamond"/>
          <w:i/>
          <w:iCs/>
        </w:rPr>
        <w:t>Judicial Efficiency</w:t>
      </w:r>
      <w:r w:rsidRPr="00F90A54">
        <w:rPr>
          <w:rFonts w:ascii="Garamond" w:hAnsi="Garamond"/>
        </w:rPr>
        <w:t xml:space="preserve">. Intervention also serves the interests of the judicial system by allowing courts to hear common claims in one case. </w:t>
      </w:r>
      <w:r w:rsidR="007A3258" w:rsidRPr="00F90A54">
        <w:rPr>
          <w:rFonts w:ascii="Garamond" w:hAnsi="Garamond"/>
        </w:rPr>
        <w:t xml:space="preserve">By having one court adjudicate related questions of law and fact in one action, courts avoid </w:t>
      </w:r>
      <w:r w:rsidR="006D6E9E" w:rsidRPr="00F90A54">
        <w:rPr>
          <w:rFonts w:ascii="Garamond" w:hAnsi="Garamond"/>
        </w:rPr>
        <w:t xml:space="preserve">duplicative suits that cause </w:t>
      </w:r>
      <w:r w:rsidR="007A3258" w:rsidRPr="00F90A54">
        <w:rPr>
          <w:rFonts w:ascii="Garamond" w:hAnsi="Garamond"/>
        </w:rPr>
        <w:t>congestion</w:t>
      </w:r>
      <w:r w:rsidR="006D6E9E" w:rsidRPr="00F90A54">
        <w:rPr>
          <w:rFonts w:ascii="Garamond" w:hAnsi="Garamond"/>
        </w:rPr>
        <w:t>,</w:t>
      </w:r>
      <w:r w:rsidR="007A3258" w:rsidRPr="00F90A54">
        <w:rPr>
          <w:rFonts w:ascii="Garamond" w:hAnsi="Garamond"/>
        </w:rPr>
        <w:t xml:space="preserve"> </w:t>
      </w:r>
      <w:r w:rsidR="00FA4B81" w:rsidRPr="00F90A54">
        <w:rPr>
          <w:rFonts w:ascii="Garamond" w:hAnsi="Garamond"/>
        </w:rPr>
        <w:t>delay</w:t>
      </w:r>
      <w:r w:rsidR="006D6E9E" w:rsidRPr="00F90A54">
        <w:rPr>
          <w:rFonts w:ascii="Garamond" w:hAnsi="Garamond"/>
        </w:rPr>
        <w:t>, and potentially conflicting judgments</w:t>
      </w:r>
      <w:r w:rsidR="00FA4B81" w:rsidRPr="00F90A54">
        <w:rPr>
          <w:rFonts w:ascii="Garamond" w:hAnsi="Garamond"/>
        </w:rPr>
        <w:t>.</w:t>
      </w:r>
      <w:r w:rsidRPr="00F90A54">
        <w:rPr>
          <w:rStyle w:val="FootnoteReference"/>
          <w:rFonts w:ascii="Garamond" w:hAnsi="Garamond"/>
        </w:rPr>
        <w:footnoteReference w:id="115"/>
      </w:r>
      <w:r w:rsidRPr="00F90A54">
        <w:rPr>
          <w:rFonts w:ascii="Garamond" w:hAnsi="Garamond"/>
        </w:rPr>
        <w:t xml:space="preserve"> Courts especially rely on this principle in complex litigation, where there is a “great public interest” in “having a disposition at a single time of as much of the controversy to as many of the parties as is fairly possible.”</w:t>
      </w:r>
      <w:r w:rsidRPr="00F90A54">
        <w:rPr>
          <w:rStyle w:val="FootnoteReference"/>
          <w:rFonts w:ascii="Garamond" w:hAnsi="Garamond"/>
        </w:rPr>
        <w:footnoteReference w:id="116"/>
      </w:r>
      <w:r w:rsidRPr="00F90A54">
        <w:rPr>
          <w:rFonts w:ascii="Garamond" w:hAnsi="Garamond"/>
        </w:rPr>
        <w:t xml:space="preserve"> </w:t>
      </w:r>
      <w:r w:rsidR="00316EDF" w:rsidRPr="00F90A54">
        <w:rPr>
          <w:rFonts w:ascii="Garamond" w:hAnsi="Garamond"/>
        </w:rPr>
        <w:t>Intervenors</w:t>
      </w:r>
      <w:r w:rsidR="002642E9" w:rsidRPr="00F90A54">
        <w:rPr>
          <w:rFonts w:ascii="Garamond" w:hAnsi="Garamond"/>
        </w:rPr>
        <w:t xml:space="preserve"> might also increase the accuracy of the court’s decision by </w:t>
      </w:r>
      <w:r w:rsidR="00F0061B">
        <w:rPr>
          <w:rFonts w:ascii="Garamond" w:hAnsi="Garamond"/>
        </w:rPr>
        <w:t>providing</w:t>
      </w:r>
      <w:r w:rsidR="008501BB" w:rsidRPr="00F90A54">
        <w:rPr>
          <w:rFonts w:ascii="Garamond" w:hAnsi="Garamond"/>
        </w:rPr>
        <w:t xml:space="preserve"> </w:t>
      </w:r>
      <w:r w:rsidR="002642E9" w:rsidRPr="00F90A54">
        <w:rPr>
          <w:rFonts w:ascii="Garamond" w:hAnsi="Garamond"/>
        </w:rPr>
        <w:t>relevant information</w:t>
      </w:r>
      <w:r w:rsidR="008501BB" w:rsidRPr="00F90A54">
        <w:rPr>
          <w:rFonts w:ascii="Garamond" w:hAnsi="Garamond"/>
        </w:rPr>
        <w:t xml:space="preserve"> </w:t>
      </w:r>
      <w:r w:rsidR="00F0061B">
        <w:rPr>
          <w:rFonts w:ascii="Garamond" w:hAnsi="Garamond"/>
        </w:rPr>
        <w:t xml:space="preserve">that has been </w:t>
      </w:r>
      <w:r w:rsidR="00A320DD" w:rsidRPr="00F90A54">
        <w:rPr>
          <w:rFonts w:ascii="Garamond" w:hAnsi="Garamond"/>
        </w:rPr>
        <w:t xml:space="preserve">withheld by or </w:t>
      </w:r>
      <w:r w:rsidR="00F0061B">
        <w:rPr>
          <w:rFonts w:ascii="Garamond" w:hAnsi="Garamond"/>
        </w:rPr>
        <w:t xml:space="preserve">is </w:t>
      </w:r>
      <w:r w:rsidR="00A320DD" w:rsidRPr="00F90A54">
        <w:rPr>
          <w:rFonts w:ascii="Garamond" w:hAnsi="Garamond"/>
        </w:rPr>
        <w:t xml:space="preserve">unavailable to </w:t>
      </w:r>
      <w:r w:rsidR="008501BB" w:rsidRPr="00F90A54">
        <w:rPr>
          <w:rFonts w:ascii="Garamond" w:hAnsi="Garamond"/>
        </w:rPr>
        <w:t>the original parties</w:t>
      </w:r>
      <w:r w:rsidR="002642E9" w:rsidRPr="00F90A54">
        <w:rPr>
          <w:rFonts w:ascii="Garamond" w:hAnsi="Garamond"/>
        </w:rPr>
        <w:t>.</w:t>
      </w:r>
      <w:r w:rsidR="008501BB" w:rsidRPr="00F90A54">
        <w:rPr>
          <w:rStyle w:val="FootnoteReference"/>
          <w:rFonts w:ascii="Garamond" w:hAnsi="Garamond"/>
        </w:rPr>
        <w:footnoteReference w:id="117"/>
      </w:r>
      <w:r w:rsidR="002642E9" w:rsidRPr="00F90A54">
        <w:rPr>
          <w:rFonts w:ascii="Garamond" w:hAnsi="Garamond"/>
        </w:rPr>
        <w:t xml:space="preserve"> </w:t>
      </w:r>
    </w:p>
    <w:p w14:paraId="5E31DEB9" w14:textId="73BF611B" w:rsidR="00DE722C" w:rsidRPr="00F90A54" w:rsidRDefault="003C0F7E" w:rsidP="001F4A3F">
      <w:pPr>
        <w:ind w:firstLine="360"/>
        <w:jc w:val="both"/>
        <w:rPr>
          <w:rFonts w:ascii="Garamond" w:hAnsi="Garamond"/>
        </w:rPr>
      </w:pPr>
      <w:r w:rsidRPr="00F90A54">
        <w:rPr>
          <w:rFonts w:ascii="Garamond" w:hAnsi="Garamond"/>
        </w:rPr>
        <w:t xml:space="preserve">Intervention increases efficiency in part </w:t>
      </w:r>
      <w:r w:rsidR="00DE722C" w:rsidRPr="00F90A54">
        <w:rPr>
          <w:rFonts w:ascii="Garamond" w:hAnsi="Garamond"/>
        </w:rPr>
        <w:t xml:space="preserve">by ensuring that </w:t>
      </w:r>
      <w:r w:rsidR="00C90BAB">
        <w:rPr>
          <w:rFonts w:ascii="Garamond" w:hAnsi="Garamond"/>
        </w:rPr>
        <w:t xml:space="preserve">court </w:t>
      </w:r>
      <w:r w:rsidR="00DE722C" w:rsidRPr="00F90A54">
        <w:rPr>
          <w:rFonts w:ascii="Garamond" w:hAnsi="Garamond"/>
        </w:rPr>
        <w:t xml:space="preserve">judgments </w:t>
      </w:r>
      <w:r w:rsidR="00C90BAB">
        <w:rPr>
          <w:rFonts w:ascii="Garamond" w:hAnsi="Garamond"/>
        </w:rPr>
        <w:t xml:space="preserve">and settlements </w:t>
      </w:r>
      <w:r w:rsidR="00DE722C" w:rsidRPr="00F90A54">
        <w:rPr>
          <w:rFonts w:ascii="Garamond" w:hAnsi="Garamond"/>
        </w:rPr>
        <w:t>are not challenged by affected outsiders after the fact.</w:t>
      </w:r>
      <w:r w:rsidR="00DE722C" w:rsidRPr="00F90A54">
        <w:rPr>
          <w:rStyle w:val="FootnoteReference"/>
          <w:rFonts w:ascii="Garamond" w:hAnsi="Garamond"/>
        </w:rPr>
        <w:footnoteReference w:id="118"/>
      </w:r>
      <w:r w:rsidR="00DE722C" w:rsidRPr="00F90A54">
        <w:rPr>
          <w:rFonts w:ascii="Garamond" w:hAnsi="Garamond"/>
        </w:rPr>
        <w:t xml:space="preserve"> Nonparties who are both affected by a judgment and inadequately represented may bring separate actions or </w:t>
      </w:r>
      <w:r w:rsidR="00EC7240">
        <w:rPr>
          <w:rFonts w:ascii="Garamond" w:hAnsi="Garamond"/>
        </w:rPr>
        <w:t xml:space="preserve">intervene to </w:t>
      </w:r>
      <w:r w:rsidR="00DE722C" w:rsidRPr="00F90A54">
        <w:rPr>
          <w:rFonts w:ascii="Garamond" w:hAnsi="Garamond"/>
        </w:rPr>
        <w:t>reopen consent decrees, requiring the court to relitigate the same question</w:t>
      </w:r>
      <w:r w:rsidR="00EC7240">
        <w:rPr>
          <w:rFonts w:ascii="Garamond" w:hAnsi="Garamond"/>
        </w:rPr>
        <w:t>s</w:t>
      </w:r>
      <w:r w:rsidR="00DE722C" w:rsidRPr="00F90A54">
        <w:rPr>
          <w:rFonts w:ascii="Garamond" w:hAnsi="Garamond"/>
        </w:rPr>
        <w:t xml:space="preserve"> and unravel the agreement in the original suit.</w:t>
      </w:r>
      <w:r w:rsidR="00DE722C" w:rsidRPr="00F90A54">
        <w:rPr>
          <w:rStyle w:val="FootnoteReference"/>
          <w:rFonts w:ascii="Garamond" w:hAnsi="Garamond"/>
        </w:rPr>
        <w:footnoteReference w:id="119"/>
      </w:r>
      <w:r w:rsidR="00DE722C" w:rsidRPr="00F90A54">
        <w:rPr>
          <w:rFonts w:ascii="Garamond" w:hAnsi="Garamond"/>
        </w:rPr>
        <w:t xml:space="preserve"> </w:t>
      </w:r>
    </w:p>
    <w:p w14:paraId="3A3A402A" w14:textId="31EB348F" w:rsidR="00DE722C" w:rsidRPr="00F90A54" w:rsidRDefault="00DE722C" w:rsidP="001F4A3F">
      <w:pPr>
        <w:ind w:firstLine="360"/>
        <w:jc w:val="both"/>
        <w:rPr>
          <w:rFonts w:ascii="Garamond" w:hAnsi="Garamond"/>
        </w:rPr>
      </w:pPr>
      <w:r w:rsidRPr="00F90A54">
        <w:rPr>
          <w:rFonts w:ascii="Garamond" w:hAnsi="Garamond"/>
        </w:rPr>
        <w:t xml:space="preserve">But the benefits of adding parties to the suit may have diminishing returns. “Additional parties always take additional time,” as one court put it, because even if “they have no witnesses of their own, they are the source of additional questions, objections, briefs, arguments, motions and the like which tend to make the proceeding </w:t>
      </w:r>
      <w:r w:rsidRPr="00F90A54">
        <w:rPr>
          <w:rFonts w:ascii="Garamond" w:hAnsi="Garamond"/>
        </w:rPr>
        <w:lastRenderedPageBreak/>
        <w:t>a Donnybrook Fair.”</w:t>
      </w:r>
      <w:r w:rsidRPr="00F90A54">
        <w:rPr>
          <w:rStyle w:val="FootnoteReference"/>
          <w:rFonts w:ascii="Garamond" w:hAnsi="Garamond"/>
        </w:rPr>
        <w:footnoteReference w:id="120"/>
      </w:r>
      <w:r w:rsidRPr="00F90A54">
        <w:rPr>
          <w:rFonts w:ascii="Garamond" w:hAnsi="Garamond"/>
        </w:rPr>
        <w:t xml:space="preserve"> And when there are too many issues or arguments raised, this can delay the court’s resolution of the original party’s claim and </w:t>
      </w:r>
      <w:r w:rsidR="00F5054D" w:rsidRPr="00F90A54">
        <w:rPr>
          <w:rFonts w:ascii="Garamond" w:hAnsi="Garamond"/>
        </w:rPr>
        <w:t>“</w:t>
      </w:r>
      <w:r w:rsidRPr="00F90A54">
        <w:rPr>
          <w:rFonts w:ascii="Garamond" w:hAnsi="Garamond"/>
        </w:rPr>
        <w:t>cloud</w:t>
      </w:r>
      <w:r w:rsidR="00F5054D" w:rsidRPr="00F90A54">
        <w:rPr>
          <w:rFonts w:ascii="Garamond" w:hAnsi="Garamond"/>
        </w:rPr>
        <w:t>”</w:t>
      </w:r>
      <w:r w:rsidRPr="00F90A54">
        <w:rPr>
          <w:rFonts w:ascii="Garamond" w:hAnsi="Garamond"/>
        </w:rPr>
        <w:t xml:space="preserve"> the court’s understanding of the issues.</w:t>
      </w:r>
      <w:r w:rsidRPr="00F90A54">
        <w:rPr>
          <w:rStyle w:val="FootnoteReference"/>
          <w:rFonts w:ascii="Garamond" w:hAnsi="Garamond"/>
        </w:rPr>
        <w:footnoteReference w:id="121"/>
      </w:r>
    </w:p>
    <w:p w14:paraId="67BC66BE" w14:textId="374E0BB7" w:rsidR="00DE722C" w:rsidRPr="00F90A54" w:rsidRDefault="00DE722C" w:rsidP="001F4A3F">
      <w:pPr>
        <w:ind w:firstLine="360"/>
        <w:jc w:val="both"/>
        <w:rPr>
          <w:rFonts w:ascii="Garamond" w:hAnsi="Garamond"/>
        </w:rPr>
      </w:pPr>
      <w:r w:rsidRPr="00F90A54">
        <w:rPr>
          <w:rFonts w:ascii="Garamond" w:hAnsi="Garamond"/>
        </w:rPr>
        <w:t>The discretionary nature of intervention</w:t>
      </w:r>
      <w:r w:rsidR="00922D22" w:rsidRPr="00F90A54">
        <w:rPr>
          <w:rFonts w:ascii="Garamond" w:hAnsi="Garamond"/>
        </w:rPr>
        <w:t xml:space="preserve"> also reduces </w:t>
      </w:r>
      <w:r w:rsidR="00EC7240">
        <w:rPr>
          <w:rFonts w:ascii="Garamond" w:hAnsi="Garamond"/>
        </w:rPr>
        <w:t>judicial</w:t>
      </w:r>
      <w:r w:rsidR="00922D22" w:rsidRPr="00F90A54">
        <w:rPr>
          <w:rFonts w:ascii="Garamond" w:hAnsi="Garamond"/>
        </w:rPr>
        <w:t xml:space="preserve"> efficiency</w:t>
      </w:r>
      <w:r w:rsidRPr="00F90A54">
        <w:rPr>
          <w:rFonts w:ascii="Garamond" w:hAnsi="Garamond"/>
        </w:rPr>
        <w:t xml:space="preserve">. Courts receive more contested </w:t>
      </w:r>
      <w:proofErr w:type="gramStart"/>
      <w:r w:rsidRPr="00F90A54">
        <w:rPr>
          <w:rFonts w:ascii="Garamond" w:hAnsi="Garamond"/>
        </w:rPr>
        <w:t>briefing</w:t>
      </w:r>
      <w:proofErr w:type="gramEnd"/>
      <w:r w:rsidRPr="00F90A54">
        <w:rPr>
          <w:rFonts w:ascii="Garamond" w:hAnsi="Garamond"/>
        </w:rPr>
        <w:t xml:space="preserve"> on whether an outsider should be allowed to intervene because there are conflicting doctrines that support both sides. District courts </w:t>
      </w:r>
      <w:r w:rsidR="00094960" w:rsidRPr="00F90A54">
        <w:rPr>
          <w:rFonts w:ascii="Garamond" w:hAnsi="Garamond"/>
        </w:rPr>
        <w:t xml:space="preserve">must </w:t>
      </w:r>
      <w:r w:rsidRPr="00F90A54">
        <w:rPr>
          <w:rFonts w:ascii="Garamond" w:hAnsi="Garamond"/>
        </w:rPr>
        <w:t>therefore spend more time and judicial resources deciding intervention motions and those decisions are more likely to be appeal</w:t>
      </w:r>
      <w:r w:rsidR="00EC7240">
        <w:rPr>
          <w:rFonts w:ascii="Garamond" w:hAnsi="Garamond"/>
        </w:rPr>
        <w:t>ed</w:t>
      </w:r>
      <w:r w:rsidRPr="00F90A54">
        <w:rPr>
          <w:rFonts w:ascii="Garamond" w:hAnsi="Garamond"/>
        </w:rPr>
        <w:t xml:space="preserve">. </w:t>
      </w:r>
    </w:p>
    <w:p w14:paraId="41BE7EE9" w14:textId="3E8A77AB" w:rsidR="00DE722C" w:rsidRPr="00F90A54" w:rsidRDefault="00DE722C" w:rsidP="001F4A3F">
      <w:pPr>
        <w:ind w:firstLine="360"/>
        <w:jc w:val="both"/>
        <w:rPr>
          <w:rFonts w:ascii="Garamond" w:hAnsi="Garamond"/>
        </w:rPr>
      </w:pPr>
      <w:r w:rsidRPr="00F90A54">
        <w:rPr>
          <w:rFonts w:ascii="Garamond" w:hAnsi="Garamond"/>
        </w:rPr>
        <w:t xml:space="preserve">3. </w:t>
      </w:r>
      <w:r w:rsidRPr="00F90A54">
        <w:rPr>
          <w:rFonts w:ascii="Garamond" w:hAnsi="Garamond"/>
          <w:i/>
          <w:iCs/>
        </w:rPr>
        <w:t>Party Control</w:t>
      </w:r>
      <w:r w:rsidRPr="00F90A54">
        <w:rPr>
          <w:rFonts w:ascii="Garamond" w:hAnsi="Garamond"/>
        </w:rPr>
        <w:t xml:space="preserve">. Finally, the values of judicial efficiency and meaningful participation for outsiders are balanced against the interests of the original parties. Party control </w:t>
      </w:r>
      <w:r w:rsidR="00155FBA" w:rsidRPr="00F90A54">
        <w:rPr>
          <w:rFonts w:ascii="Garamond" w:hAnsi="Garamond"/>
        </w:rPr>
        <w:t>is</w:t>
      </w:r>
      <w:r w:rsidRPr="00F90A54">
        <w:rPr>
          <w:rFonts w:ascii="Garamond" w:hAnsi="Garamond"/>
        </w:rPr>
        <w:t xml:space="preserve"> a central component of the adversarial system.</w:t>
      </w:r>
      <w:r w:rsidRPr="00F90A54">
        <w:rPr>
          <w:rStyle w:val="FootnoteReference"/>
          <w:rFonts w:ascii="Garamond" w:hAnsi="Garamond"/>
        </w:rPr>
        <w:footnoteReference w:id="122"/>
      </w:r>
      <w:r w:rsidRPr="00F90A54">
        <w:rPr>
          <w:rFonts w:ascii="Garamond" w:hAnsi="Garamond"/>
        </w:rPr>
        <w:t xml:space="preserve"> Plaintiffs have significant </w:t>
      </w:r>
      <w:r w:rsidR="002A03B2">
        <w:rPr>
          <w:rFonts w:ascii="Garamond" w:hAnsi="Garamond"/>
        </w:rPr>
        <w:t>power</w:t>
      </w:r>
      <w:r w:rsidRPr="00F90A54">
        <w:rPr>
          <w:rFonts w:ascii="Garamond" w:hAnsi="Garamond"/>
        </w:rPr>
        <w:t xml:space="preserve"> over where a case will be litigated, the claims in dispute, the parties involved, and the presentation of their claims before the court.</w:t>
      </w:r>
      <w:r w:rsidR="00155FBA" w:rsidRPr="00F90A54">
        <w:rPr>
          <w:rStyle w:val="FootnoteReference"/>
          <w:rFonts w:ascii="Garamond" w:hAnsi="Garamond"/>
        </w:rPr>
        <w:footnoteReference w:id="123"/>
      </w:r>
      <w:r w:rsidRPr="00F90A54">
        <w:rPr>
          <w:rFonts w:ascii="Garamond" w:hAnsi="Garamond"/>
        </w:rPr>
        <w:t xml:space="preserve"> Defendants similarly have a more limited power to request a change in venue, add counterclaims</w:t>
      </w:r>
      <w:r w:rsidR="00155FBA" w:rsidRPr="00F90A54">
        <w:rPr>
          <w:rFonts w:ascii="Garamond" w:hAnsi="Garamond"/>
        </w:rPr>
        <w:t xml:space="preserve"> or</w:t>
      </w:r>
      <w:r w:rsidRPr="00F90A54">
        <w:rPr>
          <w:rFonts w:ascii="Garamond" w:hAnsi="Garamond"/>
        </w:rPr>
        <w:t xml:space="preserve"> parties, and shift the narrative before the court with their own presentation of the issues.</w:t>
      </w:r>
      <w:r w:rsidR="00155FBA" w:rsidRPr="00F90A54">
        <w:rPr>
          <w:rStyle w:val="FootnoteReference"/>
          <w:rFonts w:ascii="Garamond" w:hAnsi="Garamond"/>
        </w:rPr>
        <w:footnoteReference w:id="124"/>
      </w:r>
      <w:r w:rsidRPr="00F90A54">
        <w:rPr>
          <w:rFonts w:ascii="Garamond" w:hAnsi="Garamond"/>
        </w:rPr>
        <w:t xml:space="preserve"> </w:t>
      </w:r>
    </w:p>
    <w:p w14:paraId="44177C19" w14:textId="68EC00A8" w:rsidR="00DE722C" w:rsidRPr="00F90A54" w:rsidRDefault="00DE722C" w:rsidP="001F4A3F">
      <w:pPr>
        <w:ind w:firstLine="360"/>
        <w:jc w:val="both"/>
        <w:rPr>
          <w:rFonts w:ascii="Garamond" w:hAnsi="Garamond"/>
        </w:rPr>
      </w:pPr>
      <w:r w:rsidRPr="00F90A54">
        <w:rPr>
          <w:rFonts w:ascii="Garamond" w:hAnsi="Garamond"/>
        </w:rPr>
        <w:t xml:space="preserve">Intervenors can </w:t>
      </w:r>
      <w:r w:rsidR="00155FBA" w:rsidRPr="00F90A54">
        <w:rPr>
          <w:rFonts w:ascii="Garamond" w:hAnsi="Garamond"/>
        </w:rPr>
        <w:t xml:space="preserve">displace the original parties’ </w:t>
      </w:r>
      <w:r w:rsidR="008F50C1" w:rsidRPr="00F90A54">
        <w:rPr>
          <w:rFonts w:ascii="Garamond" w:hAnsi="Garamond"/>
        </w:rPr>
        <w:t>authority</w:t>
      </w:r>
      <w:r w:rsidR="00155FBA" w:rsidRPr="00F90A54">
        <w:rPr>
          <w:rFonts w:ascii="Garamond" w:hAnsi="Garamond"/>
        </w:rPr>
        <w:t xml:space="preserve"> </w:t>
      </w:r>
      <w:r w:rsidRPr="00F90A54">
        <w:rPr>
          <w:rFonts w:ascii="Garamond" w:hAnsi="Garamond"/>
        </w:rPr>
        <w:t>over the lawsuit.</w:t>
      </w:r>
      <w:r w:rsidRPr="00F90A54">
        <w:rPr>
          <w:rStyle w:val="FootnoteReference"/>
          <w:rFonts w:ascii="Garamond" w:hAnsi="Garamond"/>
        </w:rPr>
        <w:footnoteReference w:id="125"/>
      </w:r>
      <w:r w:rsidRPr="00F90A54">
        <w:rPr>
          <w:rFonts w:ascii="Garamond" w:hAnsi="Garamond"/>
        </w:rPr>
        <w:t xml:space="preserve"> </w:t>
      </w:r>
      <w:r w:rsidR="004B22DF">
        <w:rPr>
          <w:rFonts w:ascii="Garamond" w:hAnsi="Garamond"/>
        </w:rPr>
        <w:t>Many</w:t>
      </w:r>
      <w:r w:rsidRPr="00F90A54">
        <w:rPr>
          <w:rFonts w:ascii="Garamond" w:hAnsi="Garamond"/>
        </w:rPr>
        <w:t xml:space="preserve"> feature</w:t>
      </w:r>
      <w:r w:rsidR="004B22DF">
        <w:rPr>
          <w:rFonts w:ascii="Garamond" w:hAnsi="Garamond"/>
        </w:rPr>
        <w:t>s</w:t>
      </w:r>
      <w:r w:rsidRPr="00F90A54">
        <w:rPr>
          <w:rFonts w:ascii="Garamond" w:hAnsi="Garamond"/>
        </w:rPr>
        <w:t xml:space="preserve"> of an intervenor’s opportunity to participate infringe</w:t>
      </w:r>
      <w:r w:rsidR="00A60FD1" w:rsidRPr="00F90A54">
        <w:rPr>
          <w:rFonts w:ascii="Garamond" w:hAnsi="Garamond"/>
        </w:rPr>
        <w:t>s</w:t>
      </w:r>
      <w:r w:rsidRPr="00F90A54">
        <w:rPr>
          <w:rFonts w:ascii="Garamond" w:hAnsi="Garamond"/>
        </w:rPr>
        <w:t xml:space="preserve"> on the original party’s right to control the suit, including the right to seek additional discovery, raise new claims or arguments, present different evidence, object to settlements, and appeal. Intervenors who exercise these powers can impose real harms on the parties by delaying the court’s resolution and driving up the costs of the litigation.</w:t>
      </w:r>
      <w:r w:rsidRPr="00F90A54">
        <w:rPr>
          <w:rStyle w:val="FootnoteReference"/>
          <w:rFonts w:ascii="Garamond" w:hAnsi="Garamond"/>
        </w:rPr>
        <w:footnoteReference w:id="126"/>
      </w:r>
      <w:r w:rsidRPr="00F90A54">
        <w:rPr>
          <w:rFonts w:ascii="Garamond" w:hAnsi="Garamond"/>
        </w:rPr>
        <w:t xml:space="preserve"> Even when limited to just raising additional legal reasoning, intervenors can “drown out the effective presentation” of the party’s argument</w:t>
      </w:r>
      <w:r w:rsidR="00A60FD1" w:rsidRPr="00F90A54">
        <w:rPr>
          <w:rFonts w:ascii="Garamond" w:hAnsi="Garamond"/>
        </w:rPr>
        <w:t>.</w:t>
      </w:r>
      <w:r w:rsidRPr="00F90A54">
        <w:rPr>
          <w:rStyle w:val="FootnoteReference"/>
          <w:rFonts w:ascii="Garamond" w:hAnsi="Garamond"/>
        </w:rPr>
        <w:footnoteReference w:id="127"/>
      </w:r>
      <w:r w:rsidRPr="00F90A54">
        <w:rPr>
          <w:rFonts w:ascii="Garamond" w:hAnsi="Garamond"/>
        </w:rPr>
        <w:t xml:space="preserve"> </w:t>
      </w:r>
    </w:p>
    <w:p w14:paraId="5400A18C" w14:textId="4257E1D3" w:rsidR="00DE722C" w:rsidRPr="00F90A54" w:rsidRDefault="00DE722C" w:rsidP="001F4A3F">
      <w:pPr>
        <w:ind w:firstLine="360"/>
        <w:jc w:val="both"/>
        <w:rPr>
          <w:rFonts w:ascii="Garamond" w:hAnsi="Garamond"/>
        </w:rPr>
      </w:pPr>
      <w:r w:rsidRPr="00F90A54">
        <w:rPr>
          <w:rFonts w:ascii="Garamond" w:hAnsi="Garamond"/>
        </w:rPr>
        <w:t xml:space="preserve">The discretionary nature of intervention exacerbates these costs. For the same reason that courts may have to spend more of their own time deciding contested </w:t>
      </w:r>
      <w:r w:rsidRPr="00F90A54">
        <w:rPr>
          <w:rFonts w:ascii="Garamond" w:hAnsi="Garamond"/>
        </w:rPr>
        <w:lastRenderedPageBreak/>
        <w:t xml:space="preserve">motions to intervene, the original parties may spend more time and money litigating whether a proposed intervenor can be kept out of the case. </w:t>
      </w:r>
    </w:p>
    <w:p w14:paraId="56443AC5" w14:textId="77777777" w:rsidR="00C24992" w:rsidRPr="00F90A54" w:rsidRDefault="00C24992" w:rsidP="00DE722C">
      <w:pPr>
        <w:ind w:firstLine="360"/>
        <w:rPr>
          <w:rFonts w:ascii="Garamond" w:hAnsi="Garamond"/>
        </w:rPr>
      </w:pPr>
    </w:p>
    <w:p w14:paraId="09CBA918" w14:textId="4979617E" w:rsidR="00DE722C" w:rsidRPr="00F90A54" w:rsidRDefault="00B96438" w:rsidP="00D9403B">
      <w:pPr>
        <w:pStyle w:val="Heading2"/>
        <w:keepNext/>
      </w:pPr>
      <w:bookmarkStart w:id="10" w:name="_Toc143336552"/>
      <w:r w:rsidRPr="00F90A54">
        <w:t>The V</w:t>
      </w:r>
      <w:r w:rsidR="00DE722C" w:rsidRPr="00F90A54">
        <w:t>alues of Intervention in Private and Public Law Litigation</w:t>
      </w:r>
      <w:bookmarkEnd w:id="10"/>
    </w:p>
    <w:p w14:paraId="6522BB15" w14:textId="77777777" w:rsidR="00DE722C" w:rsidRPr="00F90A54" w:rsidRDefault="00DE722C" w:rsidP="00D9403B">
      <w:pPr>
        <w:keepNext/>
        <w:rPr>
          <w:rFonts w:ascii="Garamond" w:hAnsi="Garamond"/>
        </w:rPr>
      </w:pPr>
    </w:p>
    <w:p w14:paraId="2C0543D5" w14:textId="3270AEDF" w:rsidR="00767481" w:rsidRPr="00F90A54" w:rsidRDefault="00016786" w:rsidP="001F4A3F">
      <w:pPr>
        <w:ind w:firstLine="360"/>
        <w:jc w:val="both"/>
        <w:rPr>
          <w:rFonts w:ascii="Garamond" w:hAnsi="Garamond"/>
        </w:rPr>
      </w:pPr>
      <w:r w:rsidRPr="00F90A54">
        <w:rPr>
          <w:rFonts w:ascii="Garamond" w:hAnsi="Garamond"/>
        </w:rPr>
        <w:t>In many ways, t</w:t>
      </w:r>
      <w:r w:rsidR="00CF1D8C" w:rsidRPr="00F90A54">
        <w:rPr>
          <w:rFonts w:ascii="Garamond" w:hAnsi="Garamond"/>
        </w:rPr>
        <w:t xml:space="preserve">he </w:t>
      </w:r>
      <w:r w:rsidR="002F709B" w:rsidRPr="00F90A54">
        <w:rPr>
          <w:rFonts w:ascii="Garamond" w:hAnsi="Garamond"/>
        </w:rPr>
        <w:t xml:space="preserve">Federal Rules of Civil Procedure </w:t>
      </w:r>
      <w:r w:rsidR="002E6C07" w:rsidRPr="00F90A54">
        <w:rPr>
          <w:rFonts w:ascii="Garamond" w:hAnsi="Garamond"/>
        </w:rPr>
        <w:t xml:space="preserve">are all about </w:t>
      </w:r>
      <w:r w:rsidR="00725C93">
        <w:rPr>
          <w:rFonts w:ascii="Garamond" w:hAnsi="Garamond"/>
        </w:rPr>
        <w:t xml:space="preserve">promoting these values through </w:t>
      </w:r>
      <w:r w:rsidR="002E6C07" w:rsidRPr="00F90A54">
        <w:rPr>
          <w:rFonts w:ascii="Garamond" w:hAnsi="Garamond"/>
        </w:rPr>
        <w:t>discretion.</w:t>
      </w:r>
      <w:r w:rsidR="000A5266" w:rsidRPr="00F90A54">
        <w:rPr>
          <w:rStyle w:val="FootnoteReference"/>
          <w:rFonts w:ascii="Garamond" w:hAnsi="Garamond"/>
        </w:rPr>
        <w:footnoteReference w:id="128"/>
      </w:r>
      <w:r w:rsidR="002E6C07" w:rsidRPr="00F90A54">
        <w:rPr>
          <w:rFonts w:ascii="Garamond" w:hAnsi="Garamond"/>
        </w:rPr>
        <w:t xml:space="preserve"> </w:t>
      </w:r>
      <w:r w:rsidR="00767481" w:rsidRPr="00F90A54">
        <w:rPr>
          <w:rFonts w:ascii="Garamond" w:hAnsi="Garamond"/>
        </w:rPr>
        <w:t xml:space="preserve">That was </w:t>
      </w:r>
      <w:r w:rsidR="006862E2" w:rsidRPr="00F90A54">
        <w:rPr>
          <w:rFonts w:ascii="Garamond" w:hAnsi="Garamond"/>
        </w:rPr>
        <w:t xml:space="preserve">originally </w:t>
      </w:r>
      <w:r w:rsidR="002E0EEF" w:rsidRPr="00F90A54">
        <w:rPr>
          <w:rFonts w:ascii="Garamond" w:hAnsi="Garamond"/>
        </w:rPr>
        <w:t>by</w:t>
      </w:r>
      <w:r w:rsidR="00767481" w:rsidRPr="00F90A54">
        <w:rPr>
          <w:rFonts w:ascii="Garamond" w:hAnsi="Garamond"/>
        </w:rPr>
        <w:t xml:space="preserve"> design. </w:t>
      </w:r>
      <w:r w:rsidR="002E0EEF" w:rsidRPr="00F90A54">
        <w:rPr>
          <w:rFonts w:ascii="Garamond" w:hAnsi="Garamond"/>
        </w:rPr>
        <w:t>The drafters of the federal rules had faith that judges could apply general procedural rules to achieve just ends.</w:t>
      </w:r>
      <w:r w:rsidR="002E0EEF" w:rsidRPr="00F90A54">
        <w:rPr>
          <w:rStyle w:val="FootnoteReference"/>
          <w:rFonts w:ascii="Garamond" w:hAnsi="Garamond"/>
        </w:rPr>
        <w:footnoteReference w:id="129"/>
      </w:r>
      <w:r w:rsidR="00702F5D" w:rsidRPr="00F90A54">
        <w:rPr>
          <w:rFonts w:ascii="Garamond" w:hAnsi="Garamond"/>
        </w:rPr>
        <w:t xml:space="preserve"> </w:t>
      </w:r>
      <w:r w:rsidR="006862E2" w:rsidRPr="00F90A54">
        <w:rPr>
          <w:rFonts w:ascii="Garamond" w:hAnsi="Garamond"/>
        </w:rPr>
        <w:t>And it has continued</w:t>
      </w:r>
      <w:r w:rsidR="0027481E" w:rsidRPr="00F90A54">
        <w:rPr>
          <w:rFonts w:ascii="Garamond" w:hAnsi="Garamond"/>
        </w:rPr>
        <w:t>, in part,</w:t>
      </w:r>
      <w:r w:rsidR="006862E2" w:rsidRPr="00F90A54">
        <w:rPr>
          <w:rFonts w:ascii="Garamond" w:hAnsi="Garamond"/>
        </w:rPr>
        <w:t xml:space="preserve"> as matter of expediency. T</w:t>
      </w:r>
      <w:r w:rsidR="00702F5D" w:rsidRPr="00F90A54">
        <w:rPr>
          <w:rFonts w:ascii="Garamond" w:hAnsi="Garamond"/>
        </w:rPr>
        <w:t>he Advisory Committee responsible for amend</w:t>
      </w:r>
      <w:r w:rsidR="006E67F0" w:rsidRPr="00F90A54">
        <w:rPr>
          <w:rFonts w:ascii="Garamond" w:hAnsi="Garamond"/>
        </w:rPr>
        <w:t>ing</w:t>
      </w:r>
      <w:r w:rsidR="00702F5D" w:rsidRPr="00F90A54">
        <w:rPr>
          <w:rFonts w:ascii="Garamond" w:hAnsi="Garamond"/>
        </w:rPr>
        <w:t xml:space="preserve"> the federal rules tends to propose general rules that can achieve consensus—papering over divisive policy choices</w:t>
      </w:r>
      <w:r w:rsidR="006E67F0" w:rsidRPr="00F90A54">
        <w:rPr>
          <w:rFonts w:ascii="Garamond" w:hAnsi="Garamond"/>
        </w:rPr>
        <w:t xml:space="preserve"> that must then be resolved by courts in individual cases.</w:t>
      </w:r>
      <w:r w:rsidR="006E67F0" w:rsidRPr="00F90A54">
        <w:rPr>
          <w:rStyle w:val="FootnoteReference"/>
          <w:rFonts w:ascii="Garamond" w:hAnsi="Garamond"/>
        </w:rPr>
        <w:footnoteReference w:id="130"/>
      </w:r>
      <w:r w:rsidR="006E67F0" w:rsidRPr="00F90A54">
        <w:rPr>
          <w:rFonts w:ascii="Garamond" w:hAnsi="Garamond"/>
        </w:rPr>
        <w:t xml:space="preserve"> </w:t>
      </w:r>
    </w:p>
    <w:p w14:paraId="7DA66F05" w14:textId="50A20207" w:rsidR="00000596" w:rsidRPr="00F90A54" w:rsidRDefault="006B12DB" w:rsidP="001F4A3F">
      <w:pPr>
        <w:ind w:firstLine="360"/>
        <w:jc w:val="both"/>
        <w:rPr>
          <w:rFonts w:ascii="Garamond" w:hAnsi="Garamond"/>
        </w:rPr>
      </w:pPr>
      <w:r w:rsidRPr="00F90A54">
        <w:rPr>
          <w:rFonts w:ascii="Garamond" w:hAnsi="Garamond"/>
        </w:rPr>
        <w:t xml:space="preserve">There is an extensive literature documenting and </w:t>
      </w:r>
      <w:r w:rsidR="00A51483" w:rsidRPr="00F90A54">
        <w:rPr>
          <w:rFonts w:ascii="Garamond" w:hAnsi="Garamond"/>
        </w:rPr>
        <w:t>evaluating</w:t>
      </w:r>
      <w:r w:rsidRPr="00F90A54">
        <w:rPr>
          <w:rFonts w:ascii="Garamond" w:hAnsi="Garamond"/>
        </w:rPr>
        <w:t xml:space="preserve"> the discretion afforded to judges under the </w:t>
      </w:r>
      <w:r w:rsidR="00A626F3" w:rsidRPr="00F90A54">
        <w:rPr>
          <w:rFonts w:ascii="Garamond" w:hAnsi="Garamond"/>
        </w:rPr>
        <w:t>federal rules</w:t>
      </w:r>
      <w:r w:rsidRPr="00F90A54">
        <w:rPr>
          <w:rFonts w:ascii="Garamond" w:hAnsi="Garamond"/>
        </w:rPr>
        <w:t>.</w:t>
      </w:r>
      <w:r w:rsidR="0025021F" w:rsidRPr="00F90A54">
        <w:rPr>
          <w:rStyle w:val="FootnoteReference"/>
          <w:rFonts w:ascii="Garamond" w:hAnsi="Garamond"/>
        </w:rPr>
        <w:footnoteReference w:id="131"/>
      </w:r>
      <w:r w:rsidR="0025021F" w:rsidRPr="00F90A54">
        <w:rPr>
          <w:rFonts w:ascii="Garamond" w:hAnsi="Garamond"/>
        </w:rPr>
        <w:t xml:space="preserve"> </w:t>
      </w:r>
      <w:r w:rsidR="000F37B3">
        <w:rPr>
          <w:rFonts w:ascii="Garamond" w:hAnsi="Garamond"/>
        </w:rPr>
        <w:t xml:space="preserve">The article contributes to one key </w:t>
      </w:r>
      <w:r w:rsidR="00703F7C" w:rsidRPr="00F90A54">
        <w:rPr>
          <w:rFonts w:ascii="Garamond" w:hAnsi="Garamond"/>
        </w:rPr>
        <w:t xml:space="preserve">feature of this debate: the importance of looking at how discretion under the federal rules has operated in practice. </w:t>
      </w:r>
      <w:r w:rsidR="00855DF6" w:rsidRPr="00F90A54">
        <w:rPr>
          <w:rFonts w:ascii="Garamond" w:hAnsi="Garamond"/>
        </w:rPr>
        <w:t>If there is one common thread, scholars agree that p</w:t>
      </w:r>
      <w:r w:rsidR="00D607BB" w:rsidRPr="00F90A54">
        <w:rPr>
          <w:rFonts w:ascii="Garamond" w:hAnsi="Garamond"/>
        </w:rPr>
        <w:t>rocedural design</w:t>
      </w:r>
      <w:r w:rsidR="00855DF6" w:rsidRPr="00F90A54">
        <w:rPr>
          <w:rFonts w:ascii="Garamond" w:hAnsi="Garamond"/>
        </w:rPr>
        <w:t xml:space="preserve"> should be informed by</w:t>
      </w:r>
      <w:r w:rsidR="0069474E" w:rsidRPr="00F90A54">
        <w:rPr>
          <w:rFonts w:ascii="Garamond" w:hAnsi="Garamond"/>
        </w:rPr>
        <w:t xml:space="preserve"> how courts have read and applied the federal rules in case-specific circumstances.</w:t>
      </w:r>
      <w:r w:rsidR="005C5A7B" w:rsidRPr="00F90A54">
        <w:rPr>
          <w:rStyle w:val="FootnoteReference"/>
          <w:rFonts w:ascii="Garamond" w:hAnsi="Garamond"/>
        </w:rPr>
        <w:footnoteReference w:id="132"/>
      </w:r>
      <w:r w:rsidR="0069474E" w:rsidRPr="00F90A54">
        <w:rPr>
          <w:rFonts w:ascii="Garamond" w:hAnsi="Garamond"/>
        </w:rPr>
        <w:t xml:space="preserve"> </w:t>
      </w:r>
      <w:r w:rsidR="00E96142" w:rsidRPr="00F90A54">
        <w:rPr>
          <w:rFonts w:ascii="Garamond" w:hAnsi="Garamond"/>
        </w:rPr>
        <w:t xml:space="preserve">For instance, scholars have looked at how the federal </w:t>
      </w:r>
      <w:r w:rsidR="00E96142" w:rsidRPr="00F90A54">
        <w:rPr>
          <w:rFonts w:ascii="Garamond" w:hAnsi="Garamond"/>
        </w:rPr>
        <w:lastRenderedPageBreak/>
        <w:t>rules compare</w:t>
      </w:r>
      <w:r w:rsidR="00000596" w:rsidRPr="00F90A54">
        <w:rPr>
          <w:rFonts w:ascii="Garamond" w:hAnsi="Garamond"/>
        </w:rPr>
        <w:t xml:space="preserve"> depending on the substantive area of law,</w:t>
      </w:r>
      <w:r w:rsidR="00000596" w:rsidRPr="00F90A54">
        <w:rPr>
          <w:rStyle w:val="FootnoteReference"/>
          <w:rFonts w:ascii="Garamond" w:hAnsi="Garamond"/>
        </w:rPr>
        <w:footnoteReference w:id="133"/>
      </w:r>
      <w:r w:rsidR="00000596" w:rsidRPr="00F90A54">
        <w:rPr>
          <w:rFonts w:ascii="Garamond" w:hAnsi="Garamond"/>
        </w:rPr>
        <w:t xml:space="preserve"> the private or public nature of the action,</w:t>
      </w:r>
      <w:r w:rsidR="00000596" w:rsidRPr="00F90A54">
        <w:rPr>
          <w:rStyle w:val="FootnoteReference"/>
          <w:rFonts w:ascii="Garamond" w:hAnsi="Garamond"/>
        </w:rPr>
        <w:footnoteReference w:id="134"/>
      </w:r>
      <w:r w:rsidR="00000596" w:rsidRPr="00F90A54">
        <w:rPr>
          <w:rFonts w:ascii="Garamond" w:hAnsi="Garamond"/>
        </w:rPr>
        <w:t xml:space="preserve"> and the stage of the litigation.</w:t>
      </w:r>
      <w:r w:rsidR="00000596" w:rsidRPr="00F90A54">
        <w:rPr>
          <w:rStyle w:val="FootnoteReference"/>
          <w:rFonts w:ascii="Garamond" w:hAnsi="Garamond"/>
        </w:rPr>
        <w:footnoteReference w:id="135"/>
      </w:r>
      <w:r w:rsidR="00000596" w:rsidRPr="00F90A54">
        <w:rPr>
          <w:rFonts w:ascii="Garamond" w:hAnsi="Garamond"/>
        </w:rPr>
        <w:t xml:space="preserve"> </w:t>
      </w:r>
    </w:p>
    <w:p w14:paraId="541DC21D" w14:textId="0F4FF7E8" w:rsidR="00000596" w:rsidRPr="00F90A54" w:rsidRDefault="008D36DA" w:rsidP="001F4A3F">
      <w:pPr>
        <w:ind w:firstLine="360"/>
        <w:jc w:val="both"/>
        <w:rPr>
          <w:rFonts w:ascii="Garamond" w:hAnsi="Garamond"/>
        </w:rPr>
      </w:pPr>
      <w:r w:rsidRPr="00F90A54">
        <w:rPr>
          <w:rFonts w:ascii="Garamond" w:hAnsi="Garamond"/>
        </w:rPr>
        <w:t xml:space="preserve">But scholars have yet to </w:t>
      </w:r>
      <w:r w:rsidR="004622F5" w:rsidRPr="00F90A54">
        <w:rPr>
          <w:rFonts w:ascii="Garamond" w:hAnsi="Garamond"/>
        </w:rPr>
        <w:t xml:space="preserve">incorporate </w:t>
      </w:r>
      <w:r w:rsidRPr="00F90A54">
        <w:rPr>
          <w:rFonts w:ascii="Garamond" w:hAnsi="Garamond"/>
        </w:rPr>
        <w:t>the nationwide-injunction landscape</w:t>
      </w:r>
      <w:r w:rsidR="004622F5" w:rsidRPr="00F90A54">
        <w:rPr>
          <w:rFonts w:ascii="Garamond" w:hAnsi="Garamond"/>
        </w:rPr>
        <w:t xml:space="preserve"> into this d</w:t>
      </w:r>
      <w:r w:rsidR="00160564" w:rsidRPr="00F90A54">
        <w:rPr>
          <w:rFonts w:ascii="Garamond" w:hAnsi="Garamond"/>
        </w:rPr>
        <w:t>iscussion</w:t>
      </w:r>
      <w:r w:rsidRPr="00F90A54">
        <w:rPr>
          <w:rFonts w:ascii="Garamond" w:hAnsi="Garamond"/>
        </w:rPr>
        <w:t xml:space="preserve">. </w:t>
      </w:r>
      <w:r w:rsidR="00FE479A" w:rsidRPr="00F90A54">
        <w:rPr>
          <w:rFonts w:ascii="Garamond" w:hAnsi="Garamond"/>
        </w:rPr>
        <w:t xml:space="preserve">Cases seeking nationwide injunctions share features that distinguish them from other types of litigation: </w:t>
      </w:r>
      <w:r w:rsidR="00703A9A" w:rsidRPr="00F90A54">
        <w:rPr>
          <w:rFonts w:ascii="Garamond" w:hAnsi="Garamond"/>
        </w:rPr>
        <w:t xml:space="preserve">they affect numerous interests not represented by the litigating parties, they involve contentious policies of national importance, and the court’s remedy can foreclose other avenues for participation. </w:t>
      </w:r>
      <w:r w:rsidR="00194859" w:rsidRPr="00F90A54">
        <w:rPr>
          <w:rFonts w:ascii="Garamond" w:hAnsi="Garamond"/>
        </w:rPr>
        <w:t xml:space="preserve">How </w:t>
      </w:r>
      <w:r w:rsidR="00190B9C" w:rsidRPr="00F90A54">
        <w:rPr>
          <w:rFonts w:ascii="Garamond" w:hAnsi="Garamond"/>
        </w:rPr>
        <w:t>these features</w:t>
      </w:r>
      <w:r w:rsidR="00194859" w:rsidRPr="00F90A54">
        <w:rPr>
          <w:rFonts w:ascii="Garamond" w:hAnsi="Garamond"/>
        </w:rPr>
        <w:t xml:space="preserve"> distort the operation of the federal rules, and the extent to which the procedural design should be amended to </w:t>
      </w:r>
      <w:r w:rsidR="00190B9C" w:rsidRPr="00F90A54">
        <w:rPr>
          <w:rFonts w:ascii="Garamond" w:hAnsi="Garamond"/>
        </w:rPr>
        <w:t xml:space="preserve">account for </w:t>
      </w:r>
      <w:r w:rsidR="00194859" w:rsidRPr="00F90A54">
        <w:rPr>
          <w:rFonts w:ascii="Garamond" w:hAnsi="Garamond"/>
        </w:rPr>
        <w:t xml:space="preserve">those changes, </w:t>
      </w:r>
      <w:r w:rsidR="0022209E" w:rsidRPr="00F90A54">
        <w:rPr>
          <w:rFonts w:ascii="Garamond" w:hAnsi="Garamond"/>
        </w:rPr>
        <w:t>warrant careful consideration</w:t>
      </w:r>
      <w:r w:rsidR="00194859" w:rsidRPr="00F90A54">
        <w:rPr>
          <w:rFonts w:ascii="Garamond" w:hAnsi="Garamond"/>
        </w:rPr>
        <w:t xml:space="preserve">. </w:t>
      </w:r>
    </w:p>
    <w:p w14:paraId="7BD94F0B" w14:textId="670AD5FB" w:rsidR="00E25F1B" w:rsidRPr="00F90A54" w:rsidRDefault="0094129D" w:rsidP="001F4A3F">
      <w:pPr>
        <w:ind w:firstLine="360"/>
        <w:jc w:val="both"/>
        <w:rPr>
          <w:rFonts w:ascii="Garamond" w:hAnsi="Garamond"/>
        </w:rPr>
      </w:pPr>
      <w:r w:rsidRPr="00F90A54">
        <w:rPr>
          <w:rFonts w:ascii="Garamond" w:hAnsi="Garamond"/>
        </w:rPr>
        <w:t xml:space="preserve">To contribute to that process, </w:t>
      </w:r>
      <w:r w:rsidR="0020656D" w:rsidRPr="00F90A54">
        <w:rPr>
          <w:rFonts w:ascii="Garamond" w:hAnsi="Garamond"/>
        </w:rPr>
        <w:t xml:space="preserve">this section begins by surveying how Rule 24 has </w:t>
      </w:r>
      <w:r w:rsidR="00703A9A" w:rsidRPr="00F90A54">
        <w:rPr>
          <w:rFonts w:ascii="Garamond" w:hAnsi="Garamond"/>
        </w:rPr>
        <w:t xml:space="preserve">operated in other contexts that had features distorting the application of the federal rules, including railroad receiverships, antitrust enforcement actions, and cases seeking structural injunctions. </w:t>
      </w:r>
      <w:r w:rsidR="0020656D" w:rsidRPr="00F90A54">
        <w:rPr>
          <w:rFonts w:ascii="Garamond" w:hAnsi="Garamond"/>
        </w:rPr>
        <w:t xml:space="preserve">It then analyzes the features that differentiate nationwide-injunction litigation. </w:t>
      </w:r>
    </w:p>
    <w:p w14:paraId="21FE6734" w14:textId="77777777" w:rsidR="0020656D" w:rsidRPr="00F90A54" w:rsidRDefault="0020656D" w:rsidP="006B12DB">
      <w:pPr>
        <w:ind w:firstLine="360"/>
        <w:rPr>
          <w:rFonts w:ascii="Garamond" w:hAnsi="Garamond"/>
        </w:rPr>
      </w:pPr>
    </w:p>
    <w:p w14:paraId="2315CC19" w14:textId="77777777" w:rsidR="0020656D" w:rsidRPr="00F90A54" w:rsidRDefault="0020656D" w:rsidP="00D9403B">
      <w:pPr>
        <w:pStyle w:val="Heading3"/>
        <w:keepNext/>
      </w:pPr>
      <w:bookmarkStart w:id="11" w:name="_Toc143336553"/>
      <w:r w:rsidRPr="00F90A54">
        <w:t>Comparing Rule 24’s Operation</w:t>
      </w:r>
      <w:bookmarkEnd w:id="11"/>
    </w:p>
    <w:p w14:paraId="1643ADBB" w14:textId="77777777" w:rsidR="0020656D" w:rsidRPr="00F90A54" w:rsidRDefault="0020656D" w:rsidP="00D9403B">
      <w:pPr>
        <w:keepNext/>
        <w:ind w:firstLine="360"/>
        <w:rPr>
          <w:rFonts w:ascii="Garamond" w:hAnsi="Garamond"/>
        </w:rPr>
      </w:pPr>
    </w:p>
    <w:p w14:paraId="305D1A35" w14:textId="34B97EDB" w:rsidR="00573198" w:rsidRPr="00F90A54" w:rsidRDefault="009745DB" w:rsidP="001F4A3F">
      <w:pPr>
        <w:ind w:firstLine="360"/>
        <w:jc w:val="both"/>
        <w:rPr>
          <w:rFonts w:ascii="Garamond" w:hAnsi="Garamond"/>
        </w:rPr>
      </w:pPr>
      <w:r w:rsidRPr="00F90A54">
        <w:rPr>
          <w:rFonts w:ascii="Garamond" w:hAnsi="Garamond"/>
        </w:rPr>
        <w:t>This section provides a brief overview of how</w:t>
      </w:r>
      <w:r w:rsidR="00986F67" w:rsidRPr="00F90A54">
        <w:rPr>
          <w:rFonts w:ascii="Garamond" w:hAnsi="Garamond"/>
        </w:rPr>
        <w:t xml:space="preserve"> </w:t>
      </w:r>
      <w:r w:rsidRPr="00F90A54">
        <w:rPr>
          <w:rFonts w:ascii="Garamond" w:hAnsi="Garamond"/>
        </w:rPr>
        <w:t>the values of intervention have</w:t>
      </w:r>
      <w:r w:rsidR="00E71B50" w:rsidRPr="00F90A54">
        <w:rPr>
          <w:rFonts w:ascii="Garamond" w:hAnsi="Garamond"/>
        </w:rPr>
        <w:t xml:space="preserve"> been balanced</w:t>
      </w:r>
      <w:r w:rsidRPr="00F90A54">
        <w:rPr>
          <w:rFonts w:ascii="Garamond" w:hAnsi="Garamond"/>
        </w:rPr>
        <w:t xml:space="preserve"> over time to accommodate the function of litigation</w:t>
      </w:r>
      <w:r w:rsidR="00D649E6" w:rsidRPr="00F90A54">
        <w:rPr>
          <w:rFonts w:ascii="Garamond" w:hAnsi="Garamond"/>
        </w:rPr>
        <w:t>, and the role that judicial discretion has played in that analysis</w:t>
      </w:r>
      <w:r w:rsidRPr="00F90A54">
        <w:rPr>
          <w:rFonts w:ascii="Garamond" w:hAnsi="Garamond"/>
        </w:rPr>
        <w:t xml:space="preserve">. </w:t>
      </w:r>
    </w:p>
    <w:p w14:paraId="2257DC70" w14:textId="75366C47" w:rsidR="00B72734" w:rsidRPr="00F90A54" w:rsidRDefault="00B72734" w:rsidP="001F4A3F">
      <w:pPr>
        <w:ind w:firstLine="360"/>
        <w:jc w:val="both"/>
        <w:rPr>
          <w:rFonts w:ascii="Garamond" w:hAnsi="Garamond"/>
        </w:rPr>
      </w:pPr>
      <w:r w:rsidRPr="00F90A54">
        <w:rPr>
          <w:rFonts w:ascii="Garamond" w:hAnsi="Garamond"/>
        </w:rPr>
        <w:t xml:space="preserve">1. </w:t>
      </w:r>
      <w:r w:rsidR="00E164D5" w:rsidRPr="00F90A54">
        <w:rPr>
          <w:rFonts w:ascii="Garamond" w:hAnsi="Garamond"/>
          <w:i/>
          <w:iCs/>
        </w:rPr>
        <w:t>Receiverships</w:t>
      </w:r>
      <w:r w:rsidR="00540774" w:rsidRPr="00F90A54">
        <w:rPr>
          <w:rFonts w:ascii="Garamond" w:hAnsi="Garamond"/>
          <w:i/>
          <w:iCs/>
        </w:rPr>
        <w:t xml:space="preserve"> and </w:t>
      </w:r>
      <w:r w:rsidR="00D077F1" w:rsidRPr="00F90A54">
        <w:rPr>
          <w:rFonts w:ascii="Garamond" w:hAnsi="Garamond"/>
          <w:i/>
          <w:iCs/>
        </w:rPr>
        <w:t>r</w:t>
      </w:r>
      <w:r w:rsidR="00540774" w:rsidRPr="00F90A54">
        <w:rPr>
          <w:rFonts w:ascii="Garamond" w:hAnsi="Garamond"/>
          <w:i/>
          <w:iCs/>
        </w:rPr>
        <w:t>eorganizations</w:t>
      </w:r>
      <w:r w:rsidRPr="00F90A54">
        <w:rPr>
          <w:rFonts w:ascii="Garamond" w:hAnsi="Garamond"/>
          <w:i/>
          <w:iCs/>
        </w:rPr>
        <w:t xml:space="preserve">. </w:t>
      </w:r>
      <w:r w:rsidR="00A20776" w:rsidRPr="00F90A54">
        <w:rPr>
          <w:rFonts w:ascii="Garamond" w:hAnsi="Garamond"/>
        </w:rPr>
        <w:t xml:space="preserve">When intervention was first </w:t>
      </w:r>
      <w:r w:rsidR="00DB5477" w:rsidRPr="00F90A54">
        <w:rPr>
          <w:rFonts w:ascii="Garamond" w:hAnsi="Garamond"/>
        </w:rPr>
        <w:t>adopted in</w:t>
      </w:r>
      <w:r w:rsidR="00A20776" w:rsidRPr="00F90A54">
        <w:rPr>
          <w:rFonts w:ascii="Garamond" w:hAnsi="Garamond"/>
        </w:rPr>
        <w:t xml:space="preserve"> the federal rules,</w:t>
      </w:r>
      <w:r w:rsidR="00263CF8" w:rsidRPr="00F90A54">
        <w:rPr>
          <w:rFonts w:ascii="Garamond" w:hAnsi="Garamond"/>
        </w:rPr>
        <w:t xml:space="preserve"> the draft</w:t>
      </w:r>
      <w:r w:rsidR="00FD2847" w:rsidRPr="00F90A54">
        <w:rPr>
          <w:rFonts w:ascii="Garamond" w:hAnsi="Garamond"/>
        </w:rPr>
        <w:t>er</w:t>
      </w:r>
      <w:r w:rsidR="00263CF8" w:rsidRPr="00F90A54">
        <w:rPr>
          <w:rFonts w:ascii="Garamond" w:hAnsi="Garamond"/>
        </w:rPr>
        <w:t xml:space="preserve">s </w:t>
      </w:r>
      <w:r w:rsidR="006630D8" w:rsidRPr="00F90A54">
        <w:rPr>
          <w:rFonts w:ascii="Garamond" w:hAnsi="Garamond"/>
        </w:rPr>
        <w:t xml:space="preserve">put their faith in district courts to exercise their discretion properly and allow intervention where </w:t>
      </w:r>
      <w:r w:rsidR="004E1418" w:rsidRPr="00F90A54">
        <w:rPr>
          <w:rFonts w:ascii="Garamond" w:hAnsi="Garamond"/>
        </w:rPr>
        <w:t xml:space="preserve">necessary to </w:t>
      </w:r>
      <w:r w:rsidR="006630D8" w:rsidRPr="00F90A54">
        <w:rPr>
          <w:rFonts w:ascii="Garamond" w:hAnsi="Garamond"/>
        </w:rPr>
        <w:t>protect nonparties.</w:t>
      </w:r>
      <w:r w:rsidR="004E1418" w:rsidRPr="00F90A54">
        <w:rPr>
          <w:rStyle w:val="FootnoteReference"/>
          <w:rFonts w:ascii="Garamond" w:hAnsi="Garamond"/>
        </w:rPr>
        <w:footnoteReference w:id="136"/>
      </w:r>
      <w:r w:rsidR="006630D8" w:rsidRPr="00F90A54">
        <w:rPr>
          <w:rFonts w:ascii="Garamond" w:hAnsi="Garamond"/>
        </w:rPr>
        <w:t xml:space="preserve"> </w:t>
      </w:r>
      <w:r w:rsidR="005407A7" w:rsidRPr="00F90A54">
        <w:rPr>
          <w:rFonts w:ascii="Garamond" w:hAnsi="Garamond"/>
        </w:rPr>
        <w:t xml:space="preserve">But one </w:t>
      </w:r>
      <w:r w:rsidR="006F09C9" w:rsidRPr="00F90A54">
        <w:rPr>
          <w:rFonts w:ascii="Garamond" w:hAnsi="Garamond"/>
        </w:rPr>
        <w:t>context raised particular concern</w:t>
      </w:r>
      <w:r w:rsidR="005407A7" w:rsidRPr="00F90A54">
        <w:rPr>
          <w:rFonts w:ascii="Garamond" w:hAnsi="Garamond"/>
        </w:rPr>
        <w:t>:</w:t>
      </w:r>
      <w:r w:rsidR="006F09C9" w:rsidRPr="00F90A54">
        <w:rPr>
          <w:rFonts w:ascii="Garamond" w:hAnsi="Garamond"/>
        </w:rPr>
        <w:t xml:space="preserve"> receiverships</w:t>
      </w:r>
      <w:r w:rsidR="00197BE8" w:rsidRPr="00F90A54">
        <w:rPr>
          <w:rFonts w:ascii="Garamond" w:hAnsi="Garamond"/>
        </w:rPr>
        <w:t xml:space="preserve"> and reorganizations</w:t>
      </w:r>
      <w:r w:rsidR="005407A7" w:rsidRPr="00F90A54">
        <w:rPr>
          <w:rFonts w:ascii="Garamond" w:hAnsi="Garamond"/>
        </w:rPr>
        <w:t xml:space="preserve">. </w:t>
      </w:r>
      <w:r w:rsidR="005B1D7A" w:rsidRPr="00F90A54">
        <w:rPr>
          <w:rFonts w:ascii="Garamond" w:hAnsi="Garamond"/>
        </w:rPr>
        <w:t xml:space="preserve">In </w:t>
      </w:r>
      <w:r w:rsidR="00197BE8" w:rsidRPr="00F90A54">
        <w:rPr>
          <w:rFonts w:ascii="Garamond" w:hAnsi="Garamond"/>
        </w:rPr>
        <w:t>a traditional receivership</w:t>
      </w:r>
      <w:r w:rsidR="005B1D7A" w:rsidRPr="00F90A54">
        <w:rPr>
          <w:rFonts w:ascii="Garamond" w:hAnsi="Garamond"/>
        </w:rPr>
        <w:t>, a court appointed a disinterested third party who “took possession of the property, sold the assets, paid creditors, and would up the affairs of the company.”</w:t>
      </w:r>
      <w:r w:rsidR="005B1D7A" w:rsidRPr="00F90A54">
        <w:rPr>
          <w:rStyle w:val="FootnoteReference"/>
          <w:rFonts w:ascii="Garamond" w:hAnsi="Garamond"/>
        </w:rPr>
        <w:footnoteReference w:id="137"/>
      </w:r>
      <w:r w:rsidR="005B1D7A" w:rsidRPr="00F90A54">
        <w:rPr>
          <w:rFonts w:ascii="Garamond" w:hAnsi="Garamond"/>
        </w:rPr>
        <w:t xml:space="preserve"> </w:t>
      </w:r>
      <w:r w:rsidR="00197BE8" w:rsidRPr="00F90A54">
        <w:rPr>
          <w:rFonts w:ascii="Garamond" w:hAnsi="Garamond"/>
        </w:rPr>
        <w:t xml:space="preserve">In the late nineteenth century, struggling railroad owners began using receiverships </w:t>
      </w:r>
      <w:r w:rsidR="00A16FAD" w:rsidRPr="00F90A54">
        <w:rPr>
          <w:rFonts w:ascii="Garamond" w:hAnsi="Garamond"/>
        </w:rPr>
        <w:t xml:space="preserve">to avoid financial losses. Rather than waiting for creditors to sue when a railroad was on the brink of bankruptcy, the railroad company approached the court on its own, requested </w:t>
      </w:r>
      <w:r w:rsidR="00A16FAD" w:rsidRPr="00F90A54">
        <w:rPr>
          <w:rFonts w:ascii="Garamond" w:hAnsi="Garamond"/>
        </w:rPr>
        <w:lastRenderedPageBreak/>
        <w:t xml:space="preserve">a receiver (who often turned out to be one of the railroad’s current managers), and proceeded with reorganization to shed </w:t>
      </w:r>
      <w:r w:rsidR="002D62B6" w:rsidRPr="00F90A54">
        <w:rPr>
          <w:rFonts w:ascii="Garamond" w:hAnsi="Garamond"/>
        </w:rPr>
        <w:t>the railroad’s</w:t>
      </w:r>
      <w:r w:rsidR="00A16FAD" w:rsidRPr="00F90A54">
        <w:rPr>
          <w:rFonts w:ascii="Garamond" w:hAnsi="Garamond"/>
        </w:rPr>
        <w:t xml:space="preserve"> debt with a new corporate shell.</w:t>
      </w:r>
      <w:r w:rsidR="00A16FAD" w:rsidRPr="00F90A54">
        <w:rPr>
          <w:rStyle w:val="FootnoteReference"/>
          <w:rFonts w:ascii="Garamond" w:hAnsi="Garamond"/>
        </w:rPr>
        <w:footnoteReference w:id="138"/>
      </w:r>
      <w:r w:rsidR="0097763B" w:rsidRPr="00F90A54">
        <w:rPr>
          <w:rFonts w:ascii="Garamond" w:hAnsi="Garamond"/>
        </w:rPr>
        <w:t xml:space="preserve"> </w:t>
      </w:r>
      <w:r w:rsidR="00A00BEB" w:rsidRPr="00F90A54">
        <w:rPr>
          <w:rFonts w:ascii="Garamond" w:hAnsi="Garamond"/>
        </w:rPr>
        <w:t>Objectors were often heard only at the end of the process (the confirmation of the sale), when courts were disinclined to undo the receiver’s work.</w:t>
      </w:r>
      <w:r w:rsidR="00A00BEB" w:rsidRPr="00F90A54">
        <w:rPr>
          <w:rStyle w:val="FootnoteReference"/>
          <w:rFonts w:ascii="Garamond" w:hAnsi="Garamond"/>
        </w:rPr>
        <w:footnoteReference w:id="139"/>
      </w:r>
      <w:r w:rsidR="00A00BEB" w:rsidRPr="00F90A54">
        <w:rPr>
          <w:rFonts w:ascii="Garamond" w:hAnsi="Garamond"/>
        </w:rPr>
        <w:t xml:space="preserve"> </w:t>
      </w:r>
    </w:p>
    <w:p w14:paraId="7F75097F" w14:textId="517087DE" w:rsidR="009160A4" w:rsidRPr="00F90A54" w:rsidRDefault="002D62B6" w:rsidP="000F37B3">
      <w:pPr>
        <w:ind w:firstLine="360"/>
        <w:jc w:val="both"/>
        <w:rPr>
          <w:rFonts w:ascii="Garamond" w:hAnsi="Garamond"/>
        </w:rPr>
      </w:pPr>
      <w:r w:rsidRPr="00F90A54">
        <w:rPr>
          <w:rFonts w:ascii="Garamond" w:hAnsi="Garamond"/>
        </w:rPr>
        <w:t>The railroad receivership and reorganization model</w:t>
      </w:r>
      <w:r w:rsidR="0097763B" w:rsidRPr="00F90A54">
        <w:rPr>
          <w:rFonts w:ascii="Garamond" w:hAnsi="Garamond"/>
        </w:rPr>
        <w:t xml:space="preserve"> required a different evaluation of how intervention should operate. </w:t>
      </w:r>
      <w:r w:rsidR="00A00BEB" w:rsidRPr="00F90A54">
        <w:rPr>
          <w:rFonts w:ascii="Garamond" w:hAnsi="Garamond"/>
        </w:rPr>
        <w:t>These cases were of significant public importance,</w:t>
      </w:r>
      <w:r w:rsidR="008F6D78" w:rsidRPr="00F90A54">
        <w:rPr>
          <w:rStyle w:val="FootnoteReference"/>
          <w:rFonts w:ascii="Garamond" w:hAnsi="Garamond"/>
        </w:rPr>
        <w:footnoteReference w:id="140"/>
      </w:r>
      <w:r w:rsidR="00A00BEB" w:rsidRPr="00F90A54">
        <w:rPr>
          <w:rFonts w:ascii="Garamond" w:hAnsi="Garamond"/>
        </w:rPr>
        <w:t xml:space="preserve"> could involve protracted litigation and negotiation, often </w:t>
      </w:r>
      <w:proofErr w:type="gramStart"/>
      <w:r w:rsidR="00A00BEB" w:rsidRPr="00F90A54">
        <w:rPr>
          <w:rFonts w:ascii="Garamond" w:hAnsi="Garamond"/>
        </w:rPr>
        <w:t>affected</w:t>
      </w:r>
      <w:proofErr w:type="gramEnd"/>
      <w:r w:rsidR="00A00BEB" w:rsidRPr="00F90A54">
        <w:rPr>
          <w:rFonts w:ascii="Garamond" w:hAnsi="Garamond"/>
        </w:rPr>
        <w:t xml:space="preserve"> numerous financial interests</w:t>
      </w:r>
      <w:r w:rsidR="00B473E6" w:rsidRPr="00F90A54">
        <w:rPr>
          <w:rFonts w:ascii="Garamond" w:hAnsi="Garamond"/>
        </w:rPr>
        <w:t>, and required a different “adequate representation” analysis than the trustee-based concept courts had previously used</w:t>
      </w:r>
      <w:r w:rsidR="00A00BEB" w:rsidRPr="00F90A54">
        <w:rPr>
          <w:rFonts w:ascii="Garamond" w:hAnsi="Garamond"/>
        </w:rPr>
        <w:t>.</w:t>
      </w:r>
      <w:r w:rsidR="008F6D78" w:rsidRPr="00F90A54">
        <w:rPr>
          <w:rStyle w:val="FootnoteReference"/>
          <w:rFonts w:ascii="Garamond" w:hAnsi="Garamond"/>
        </w:rPr>
        <w:footnoteReference w:id="141"/>
      </w:r>
      <w:r w:rsidR="00A00BEB" w:rsidRPr="00F90A54">
        <w:rPr>
          <w:rFonts w:ascii="Garamond" w:hAnsi="Garamond"/>
        </w:rPr>
        <w:t xml:space="preserve"> </w:t>
      </w:r>
      <w:r w:rsidR="000F37B3">
        <w:rPr>
          <w:rFonts w:ascii="Garamond" w:hAnsi="Garamond"/>
        </w:rPr>
        <w:t xml:space="preserve">When </w:t>
      </w:r>
      <w:r w:rsidR="00190306" w:rsidRPr="00F90A54">
        <w:rPr>
          <w:rFonts w:ascii="Garamond" w:hAnsi="Garamond"/>
        </w:rPr>
        <w:t xml:space="preserve">Moore and Levi </w:t>
      </w:r>
      <w:r w:rsidR="000F37B3">
        <w:rPr>
          <w:rFonts w:ascii="Garamond" w:hAnsi="Garamond"/>
        </w:rPr>
        <w:t xml:space="preserve">outlined how the new Rule 24 should operate generally, they devoted significant space to discussing how the rule should operate differently in this context. </w:t>
      </w:r>
      <w:r w:rsidR="00467B85" w:rsidRPr="00F90A54">
        <w:rPr>
          <w:rFonts w:ascii="Garamond" w:hAnsi="Garamond"/>
        </w:rPr>
        <w:t xml:space="preserve">They suggested that courts should carefully parse the interest asserted by the nonparty and allow them to participate at </w:t>
      </w:r>
      <w:r w:rsidR="0044584E" w:rsidRPr="00F90A54">
        <w:rPr>
          <w:rFonts w:ascii="Garamond" w:hAnsi="Garamond"/>
        </w:rPr>
        <w:t xml:space="preserve">different levels in </w:t>
      </w:r>
      <w:r w:rsidR="00467B85" w:rsidRPr="00F90A54">
        <w:rPr>
          <w:rFonts w:ascii="Garamond" w:hAnsi="Garamond"/>
        </w:rPr>
        <w:t>different stages of the litigation.</w:t>
      </w:r>
      <w:r w:rsidR="0044584E" w:rsidRPr="00F90A54">
        <w:rPr>
          <w:rStyle w:val="FootnoteReference"/>
          <w:rFonts w:ascii="Garamond" w:hAnsi="Garamond"/>
        </w:rPr>
        <w:footnoteReference w:id="142"/>
      </w:r>
      <w:r w:rsidR="00467B85" w:rsidRPr="00F90A54">
        <w:rPr>
          <w:rFonts w:ascii="Garamond" w:hAnsi="Garamond"/>
        </w:rPr>
        <w:t xml:space="preserve"> </w:t>
      </w:r>
      <w:r w:rsidR="009902B3" w:rsidRPr="00F90A54">
        <w:rPr>
          <w:rFonts w:ascii="Garamond" w:hAnsi="Garamond"/>
        </w:rPr>
        <w:t xml:space="preserve">This </w:t>
      </w:r>
      <w:r w:rsidR="00E558A6" w:rsidRPr="00F90A54">
        <w:rPr>
          <w:rFonts w:ascii="Garamond" w:hAnsi="Garamond"/>
        </w:rPr>
        <w:t xml:space="preserve">served the judiciary’s interests and those of the nonparties—it </w:t>
      </w:r>
      <w:r w:rsidR="009902B3" w:rsidRPr="00F90A54">
        <w:rPr>
          <w:rFonts w:ascii="Garamond" w:hAnsi="Garamond"/>
        </w:rPr>
        <w:t xml:space="preserve">informed the court of relevant information before it dedicated significant time to the plan and provided </w:t>
      </w:r>
      <w:r w:rsidR="00E558A6" w:rsidRPr="00F90A54">
        <w:rPr>
          <w:rFonts w:ascii="Garamond" w:hAnsi="Garamond"/>
        </w:rPr>
        <w:t xml:space="preserve">nonparties with </w:t>
      </w:r>
      <w:r w:rsidR="009902B3" w:rsidRPr="00F90A54">
        <w:rPr>
          <w:rFonts w:ascii="Garamond" w:hAnsi="Garamond"/>
        </w:rPr>
        <w:t>greater participation rights</w:t>
      </w:r>
      <w:r w:rsidR="00E558A6" w:rsidRPr="00F90A54">
        <w:rPr>
          <w:rFonts w:ascii="Garamond" w:hAnsi="Garamond"/>
        </w:rPr>
        <w:t xml:space="preserve">—with notably little regard for </w:t>
      </w:r>
      <w:r w:rsidRPr="00F90A54">
        <w:rPr>
          <w:rFonts w:ascii="Garamond" w:hAnsi="Garamond"/>
        </w:rPr>
        <w:t xml:space="preserve">the control rights of the original party </w:t>
      </w:r>
      <w:r w:rsidR="00E558A6" w:rsidRPr="00F90A54">
        <w:rPr>
          <w:rFonts w:ascii="Garamond" w:hAnsi="Garamond"/>
        </w:rPr>
        <w:t>seeking the receivership.</w:t>
      </w:r>
    </w:p>
    <w:p w14:paraId="52F7CAAB" w14:textId="77B2C712" w:rsidR="000D1071" w:rsidRPr="00F90A54" w:rsidRDefault="00D427BE" w:rsidP="001F4A3F">
      <w:pPr>
        <w:ind w:firstLine="360"/>
        <w:jc w:val="both"/>
        <w:rPr>
          <w:rFonts w:ascii="Garamond" w:hAnsi="Garamond"/>
        </w:rPr>
      </w:pPr>
      <w:r w:rsidRPr="00F90A54">
        <w:rPr>
          <w:rFonts w:ascii="Garamond" w:hAnsi="Garamond"/>
        </w:rPr>
        <w:t xml:space="preserve">2. </w:t>
      </w:r>
      <w:r w:rsidRPr="00F90A54">
        <w:rPr>
          <w:rFonts w:ascii="Garamond" w:hAnsi="Garamond"/>
          <w:i/>
          <w:iCs/>
        </w:rPr>
        <w:t>Antitrust</w:t>
      </w:r>
      <w:r w:rsidR="00D077F1" w:rsidRPr="00F90A54">
        <w:rPr>
          <w:rFonts w:ascii="Garamond" w:hAnsi="Garamond"/>
          <w:i/>
          <w:iCs/>
        </w:rPr>
        <w:t xml:space="preserve"> enforcement</w:t>
      </w:r>
      <w:r w:rsidRPr="00F90A54">
        <w:rPr>
          <w:rFonts w:ascii="Garamond" w:hAnsi="Garamond"/>
        </w:rPr>
        <w:t xml:space="preserve">. </w:t>
      </w:r>
      <w:r w:rsidR="00262FD0" w:rsidRPr="00F90A54">
        <w:rPr>
          <w:rFonts w:ascii="Garamond" w:hAnsi="Garamond"/>
        </w:rPr>
        <w:t xml:space="preserve">A new </w:t>
      </w:r>
      <w:r w:rsidR="009417DF" w:rsidRPr="00F90A54">
        <w:rPr>
          <w:rFonts w:ascii="Garamond" w:hAnsi="Garamond"/>
        </w:rPr>
        <w:t>context arose</w:t>
      </w:r>
      <w:r w:rsidR="00262FD0" w:rsidRPr="00F90A54">
        <w:rPr>
          <w:rFonts w:ascii="Garamond" w:hAnsi="Garamond"/>
        </w:rPr>
        <w:t xml:space="preserve"> </w:t>
      </w:r>
      <w:r w:rsidR="00D80345" w:rsidRPr="00F90A54">
        <w:rPr>
          <w:rFonts w:ascii="Garamond" w:hAnsi="Garamond"/>
        </w:rPr>
        <w:t xml:space="preserve">in the </w:t>
      </w:r>
      <w:r w:rsidR="00E21268" w:rsidRPr="00F90A54">
        <w:rPr>
          <w:rFonts w:ascii="Garamond" w:hAnsi="Garamond"/>
        </w:rPr>
        <w:t>mid-</w:t>
      </w:r>
      <w:r w:rsidR="00D80345" w:rsidRPr="00F90A54">
        <w:rPr>
          <w:rFonts w:ascii="Garamond" w:hAnsi="Garamond"/>
        </w:rPr>
        <w:t xml:space="preserve">twentieth century </w:t>
      </w:r>
      <w:r w:rsidR="00262FD0" w:rsidRPr="00F90A54">
        <w:rPr>
          <w:rFonts w:ascii="Garamond" w:hAnsi="Garamond"/>
        </w:rPr>
        <w:t xml:space="preserve">that led </w:t>
      </w:r>
      <w:r w:rsidR="00E31448" w:rsidRPr="00F90A54">
        <w:rPr>
          <w:rFonts w:ascii="Garamond" w:hAnsi="Garamond"/>
        </w:rPr>
        <w:t xml:space="preserve">a different </w:t>
      </w:r>
      <w:r w:rsidR="00262FD0" w:rsidRPr="00F90A54">
        <w:rPr>
          <w:rFonts w:ascii="Garamond" w:hAnsi="Garamond"/>
        </w:rPr>
        <w:t>balancing of intervention</w:t>
      </w:r>
      <w:r w:rsidR="00CC5877" w:rsidRPr="00F90A54">
        <w:rPr>
          <w:rFonts w:ascii="Garamond" w:hAnsi="Garamond"/>
        </w:rPr>
        <w:t>: the government antitrust enforcement action.</w:t>
      </w:r>
      <w:r w:rsidR="008343F2" w:rsidRPr="00F90A54">
        <w:rPr>
          <w:rStyle w:val="FootnoteReference"/>
          <w:rFonts w:ascii="Garamond" w:hAnsi="Garamond"/>
        </w:rPr>
        <w:footnoteReference w:id="143"/>
      </w:r>
      <w:r w:rsidR="00CC5877" w:rsidRPr="00F90A54">
        <w:rPr>
          <w:rFonts w:ascii="Garamond" w:hAnsi="Garamond"/>
        </w:rPr>
        <w:t xml:space="preserve"> </w:t>
      </w:r>
      <w:r w:rsidR="00F807FA" w:rsidRPr="00F90A54">
        <w:rPr>
          <w:rFonts w:ascii="Garamond" w:hAnsi="Garamond"/>
        </w:rPr>
        <w:t>These suits arose under the Sherman Act</w:t>
      </w:r>
      <w:r w:rsidR="00F807FA" w:rsidRPr="00F90A54">
        <w:rPr>
          <w:rStyle w:val="FootnoteReference"/>
          <w:rFonts w:ascii="Garamond" w:hAnsi="Garamond"/>
        </w:rPr>
        <w:footnoteReference w:id="144"/>
      </w:r>
      <w:r w:rsidR="00F807FA" w:rsidRPr="00F90A54">
        <w:rPr>
          <w:rFonts w:ascii="Garamond" w:hAnsi="Garamond"/>
        </w:rPr>
        <w:t xml:space="preserve"> and the Clayton Act.</w:t>
      </w:r>
      <w:r w:rsidR="00F807FA" w:rsidRPr="00F90A54">
        <w:rPr>
          <w:rStyle w:val="FootnoteReference"/>
          <w:rFonts w:ascii="Garamond" w:hAnsi="Garamond"/>
        </w:rPr>
        <w:footnoteReference w:id="145"/>
      </w:r>
      <w:r w:rsidR="00F807FA" w:rsidRPr="00F90A54">
        <w:rPr>
          <w:rFonts w:ascii="Garamond" w:hAnsi="Garamond"/>
        </w:rPr>
        <w:t xml:space="preserve"> </w:t>
      </w:r>
      <w:r w:rsidR="00DA2632" w:rsidRPr="00F90A54">
        <w:rPr>
          <w:rFonts w:ascii="Garamond" w:hAnsi="Garamond"/>
        </w:rPr>
        <w:t>In the typical case, the federal government sued seeking a consent decree that would require the company to end a</w:t>
      </w:r>
      <w:r w:rsidR="00423974">
        <w:rPr>
          <w:rFonts w:ascii="Garamond" w:hAnsi="Garamond"/>
        </w:rPr>
        <w:t>n</w:t>
      </w:r>
      <w:r w:rsidR="00DA2632" w:rsidRPr="00F90A54">
        <w:rPr>
          <w:rFonts w:ascii="Garamond" w:hAnsi="Garamond"/>
        </w:rPr>
        <w:t xml:space="preserve"> anti-competitive practice.</w:t>
      </w:r>
      <w:r w:rsidR="00DA2632" w:rsidRPr="00F90A54">
        <w:rPr>
          <w:rStyle w:val="FootnoteReference"/>
          <w:rFonts w:ascii="Garamond" w:hAnsi="Garamond"/>
        </w:rPr>
        <w:footnoteReference w:id="146"/>
      </w:r>
      <w:r w:rsidR="00DA2632" w:rsidRPr="00F90A54">
        <w:rPr>
          <w:rFonts w:ascii="Garamond" w:hAnsi="Garamond"/>
        </w:rPr>
        <w:t xml:space="preserve"> Nonparties sought to intervene, arguing that the consent decree failed to go far enough to curb unlawful practices or that the decree would collaterally harm their </w:t>
      </w:r>
      <w:r w:rsidR="00423974">
        <w:rPr>
          <w:rFonts w:ascii="Garamond" w:hAnsi="Garamond"/>
        </w:rPr>
        <w:t xml:space="preserve">individual </w:t>
      </w:r>
      <w:r w:rsidR="00DA2632" w:rsidRPr="00F90A54">
        <w:rPr>
          <w:rFonts w:ascii="Garamond" w:hAnsi="Garamond"/>
        </w:rPr>
        <w:t>economic interests.</w:t>
      </w:r>
      <w:r w:rsidR="00DA2632" w:rsidRPr="00F90A54">
        <w:rPr>
          <w:rStyle w:val="FootnoteReference"/>
          <w:rFonts w:ascii="Garamond" w:hAnsi="Garamond"/>
        </w:rPr>
        <w:footnoteReference w:id="147"/>
      </w:r>
      <w:r w:rsidR="00DA2632" w:rsidRPr="00F90A54">
        <w:rPr>
          <w:rFonts w:ascii="Garamond" w:hAnsi="Garamond"/>
        </w:rPr>
        <w:t xml:space="preserve"> </w:t>
      </w:r>
      <w:r w:rsidR="00106CC7" w:rsidRPr="00F90A54">
        <w:rPr>
          <w:rFonts w:ascii="Garamond" w:hAnsi="Garamond"/>
        </w:rPr>
        <w:t>Th</w:t>
      </w:r>
      <w:r w:rsidR="00423974">
        <w:rPr>
          <w:rFonts w:ascii="Garamond" w:hAnsi="Garamond"/>
        </w:rPr>
        <w:t>ese</w:t>
      </w:r>
      <w:r w:rsidR="00106CC7" w:rsidRPr="00F90A54">
        <w:rPr>
          <w:rFonts w:ascii="Garamond" w:hAnsi="Garamond"/>
        </w:rPr>
        <w:t xml:space="preserve"> cases differed from other forms of litigation before the court. They were bilateral suits that adjudicated the liability of a single entity, but the remedy affected </w:t>
      </w:r>
      <w:r w:rsidR="003A5208" w:rsidRPr="00F90A54">
        <w:rPr>
          <w:rFonts w:ascii="Garamond" w:hAnsi="Garamond"/>
        </w:rPr>
        <w:t xml:space="preserve">a diverse set of </w:t>
      </w:r>
      <w:r w:rsidR="003A5208" w:rsidRPr="00F90A54">
        <w:rPr>
          <w:rFonts w:ascii="Garamond" w:hAnsi="Garamond"/>
        </w:rPr>
        <w:lastRenderedPageBreak/>
        <w:t>conflicting financial interests.</w:t>
      </w:r>
      <w:r w:rsidR="000D1071" w:rsidRPr="00F90A54">
        <w:rPr>
          <w:rFonts w:ascii="Garamond" w:hAnsi="Garamond"/>
        </w:rPr>
        <w:t xml:space="preserve"> Widespread intervention might protect those interests, but </w:t>
      </w:r>
      <w:r w:rsidR="00487D73" w:rsidRPr="00F90A54">
        <w:rPr>
          <w:rFonts w:ascii="Garamond" w:hAnsi="Garamond"/>
        </w:rPr>
        <w:t xml:space="preserve">it </w:t>
      </w:r>
      <w:r w:rsidR="009815BF" w:rsidRPr="00F90A54">
        <w:rPr>
          <w:rFonts w:ascii="Garamond" w:hAnsi="Garamond"/>
        </w:rPr>
        <w:t>could also</w:t>
      </w:r>
      <w:r w:rsidR="000D1071" w:rsidRPr="00F90A54">
        <w:rPr>
          <w:rFonts w:ascii="Garamond" w:hAnsi="Garamond"/>
        </w:rPr>
        <w:t xml:space="preserve"> block settlements and forc</w:t>
      </w:r>
      <w:r w:rsidR="009815BF" w:rsidRPr="00F90A54">
        <w:rPr>
          <w:rFonts w:ascii="Garamond" w:hAnsi="Garamond"/>
        </w:rPr>
        <w:t>e</w:t>
      </w:r>
      <w:r w:rsidR="000D1071" w:rsidRPr="00F90A54">
        <w:rPr>
          <w:rFonts w:ascii="Garamond" w:hAnsi="Garamond"/>
        </w:rPr>
        <w:t xml:space="preserve"> the government to spend resources on prot</w:t>
      </w:r>
      <w:r w:rsidR="00487D73" w:rsidRPr="00F90A54">
        <w:rPr>
          <w:rFonts w:ascii="Garamond" w:hAnsi="Garamond"/>
        </w:rPr>
        <w:t>ra</w:t>
      </w:r>
      <w:r w:rsidR="000D1071" w:rsidRPr="00F90A54">
        <w:rPr>
          <w:rFonts w:ascii="Garamond" w:hAnsi="Garamond"/>
        </w:rPr>
        <w:t>cted</w:t>
      </w:r>
      <w:r w:rsidR="00487D73" w:rsidRPr="00F90A54">
        <w:rPr>
          <w:rFonts w:ascii="Garamond" w:hAnsi="Garamond"/>
        </w:rPr>
        <w:t>,</w:t>
      </w:r>
      <w:r w:rsidR="000D1071" w:rsidRPr="00F90A54">
        <w:rPr>
          <w:rFonts w:ascii="Garamond" w:hAnsi="Garamond"/>
        </w:rPr>
        <w:t xml:space="preserve"> fact-intensive legal battles. </w:t>
      </w:r>
    </w:p>
    <w:p w14:paraId="79D74C06" w14:textId="444904DA" w:rsidR="00F16715" w:rsidRPr="00F90A54" w:rsidRDefault="00AF3520" w:rsidP="00423974">
      <w:pPr>
        <w:ind w:firstLine="360"/>
        <w:jc w:val="both"/>
        <w:rPr>
          <w:rFonts w:ascii="Garamond" w:hAnsi="Garamond"/>
        </w:rPr>
      </w:pPr>
      <w:r w:rsidRPr="00F90A54">
        <w:rPr>
          <w:rFonts w:ascii="Garamond" w:hAnsi="Garamond"/>
        </w:rPr>
        <w:t xml:space="preserve">Courts responded to </w:t>
      </w:r>
      <w:r w:rsidR="00DE2671" w:rsidRPr="00F90A54">
        <w:rPr>
          <w:rFonts w:ascii="Garamond" w:hAnsi="Garamond"/>
        </w:rPr>
        <w:t xml:space="preserve">this new context </w:t>
      </w:r>
      <w:r w:rsidRPr="00F90A54">
        <w:rPr>
          <w:rFonts w:ascii="Garamond" w:hAnsi="Garamond"/>
        </w:rPr>
        <w:t xml:space="preserve">by </w:t>
      </w:r>
      <w:r w:rsidR="00B8424C" w:rsidRPr="00F90A54">
        <w:rPr>
          <w:rFonts w:ascii="Garamond" w:hAnsi="Garamond"/>
        </w:rPr>
        <w:t>adopt</w:t>
      </w:r>
      <w:r w:rsidRPr="00F90A54">
        <w:rPr>
          <w:rFonts w:ascii="Garamond" w:hAnsi="Garamond"/>
        </w:rPr>
        <w:t>ing</w:t>
      </w:r>
      <w:r w:rsidR="00B8424C" w:rsidRPr="00F90A54">
        <w:rPr>
          <w:rFonts w:ascii="Garamond" w:hAnsi="Garamond"/>
        </w:rPr>
        <w:t xml:space="preserve"> a narrow view </w:t>
      </w:r>
      <w:r w:rsidR="00DE2671" w:rsidRPr="00F90A54">
        <w:rPr>
          <w:rFonts w:ascii="Garamond" w:hAnsi="Garamond"/>
        </w:rPr>
        <w:t xml:space="preserve">of intervention </w:t>
      </w:r>
      <w:r w:rsidR="00B8424C" w:rsidRPr="00F90A54">
        <w:rPr>
          <w:rFonts w:ascii="Garamond" w:hAnsi="Garamond"/>
        </w:rPr>
        <w:t>to shut nonparties out of the cas</w:t>
      </w:r>
      <w:r w:rsidR="00B52E17" w:rsidRPr="00F90A54">
        <w:rPr>
          <w:rFonts w:ascii="Garamond" w:hAnsi="Garamond"/>
        </w:rPr>
        <w:t>e.</w:t>
      </w:r>
      <w:r w:rsidR="00FC597A" w:rsidRPr="00F90A54">
        <w:rPr>
          <w:rStyle w:val="FootnoteReference"/>
          <w:rFonts w:ascii="Garamond" w:hAnsi="Garamond"/>
        </w:rPr>
        <w:footnoteReference w:id="148"/>
      </w:r>
      <w:r w:rsidR="00B52E17" w:rsidRPr="00F90A54">
        <w:rPr>
          <w:rFonts w:ascii="Garamond" w:hAnsi="Garamond"/>
        </w:rPr>
        <w:t xml:space="preserve"> </w:t>
      </w:r>
      <w:r w:rsidR="004846E9" w:rsidRPr="00F90A54">
        <w:rPr>
          <w:rFonts w:ascii="Garamond" w:hAnsi="Garamond"/>
        </w:rPr>
        <w:t>Courts presumed that the executive had been charged with representing the public interest writ large and that interest necessarily subsumed whatever collateral private financial interests were also affected.</w:t>
      </w:r>
      <w:r w:rsidR="004846E9" w:rsidRPr="00F90A54">
        <w:rPr>
          <w:rStyle w:val="FootnoteReference"/>
          <w:rFonts w:ascii="Garamond" w:hAnsi="Garamond"/>
        </w:rPr>
        <w:footnoteReference w:id="149"/>
      </w:r>
      <w:r w:rsidR="004846E9" w:rsidRPr="00F90A54">
        <w:rPr>
          <w:rFonts w:ascii="Garamond" w:hAnsi="Garamond"/>
        </w:rPr>
        <w:t xml:space="preserve"> </w:t>
      </w:r>
      <w:r w:rsidR="00981E65" w:rsidRPr="00F90A54">
        <w:rPr>
          <w:rFonts w:ascii="Garamond" w:hAnsi="Garamond"/>
        </w:rPr>
        <w:t xml:space="preserve">This view of intervention </w:t>
      </w:r>
      <w:r w:rsidR="00F16715" w:rsidRPr="00F90A54">
        <w:rPr>
          <w:rFonts w:ascii="Garamond" w:hAnsi="Garamond"/>
        </w:rPr>
        <w:t xml:space="preserve">downplayed the participation rights of affected nonparties in favor of judicial efficiency and party control. </w:t>
      </w:r>
      <w:r w:rsidR="00995308" w:rsidRPr="00F90A54">
        <w:rPr>
          <w:rFonts w:ascii="Garamond" w:hAnsi="Garamond"/>
        </w:rPr>
        <w:t>And court</w:t>
      </w:r>
      <w:r w:rsidR="00423974">
        <w:rPr>
          <w:rFonts w:ascii="Garamond" w:hAnsi="Garamond"/>
        </w:rPr>
        <w:t>s</w:t>
      </w:r>
      <w:r w:rsidR="00995308" w:rsidRPr="00F90A54">
        <w:rPr>
          <w:rFonts w:ascii="Garamond" w:hAnsi="Garamond"/>
        </w:rPr>
        <w:t xml:space="preserve"> w</w:t>
      </w:r>
      <w:r w:rsidR="00423974">
        <w:rPr>
          <w:rFonts w:ascii="Garamond" w:hAnsi="Garamond"/>
        </w:rPr>
        <w:t>ere</w:t>
      </w:r>
      <w:r w:rsidR="00995308" w:rsidRPr="00F90A54">
        <w:rPr>
          <w:rFonts w:ascii="Garamond" w:hAnsi="Garamond"/>
        </w:rPr>
        <w:t xml:space="preserve"> explicit in </w:t>
      </w:r>
      <w:r w:rsidR="00423974">
        <w:rPr>
          <w:rFonts w:ascii="Garamond" w:hAnsi="Garamond"/>
        </w:rPr>
        <w:t xml:space="preserve">their </w:t>
      </w:r>
      <w:r w:rsidR="00995308" w:rsidRPr="00F90A54">
        <w:rPr>
          <w:rFonts w:ascii="Garamond" w:hAnsi="Garamond"/>
        </w:rPr>
        <w:t xml:space="preserve">choice. </w:t>
      </w:r>
      <w:r w:rsidR="00423974">
        <w:rPr>
          <w:rFonts w:ascii="Garamond" w:hAnsi="Garamond"/>
        </w:rPr>
        <w:t xml:space="preserve">As the Supreme Court </w:t>
      </w:r>
      <w:r w:rsidR="00CE2FB5" w:rsidRPr="00F90A54">
        <w:rPr>
          <w:rFonts w:ascii="Garamond" w:hAnsi="Garamond"/>
        </w:rPr>
        <w:t>explained</w:t>
      </w:r>
      <w:r w:rsidR="00423974">
        <w:rPr>
          <w:rFonts w:ascii="Garamond" w:hAnsi="Garamond"/>
        </w:rPr>
        <w:t>,</w:t>
      </w:r>
      <w:r w:rsidR="00CE2FB5" w:rsidRPr="00F90A54">
        <w:rPr>
          <w:rFonts w:ascii="Garamond" w:hAnsi="Garamond"/>
        </w:rPr>
        <w:t xml:space="preserve"> it was “sound policy” to let the government negotiate its own </w:t>
      </w:r>
      <w:r w:rsidR="0073107F" w:rsidRPr="00F90A54">
        <w:rPr>
          <w:rFonts w:ascii="Garamond" w:hAnsi="Garamond"/>
        </w:rPr>
        <w:t>settlements</w:t>
      </w:r>
      <w:r w:rsidR="00CE2FB5" w:rsidRPr="00F90A54">
        <w:rPr>
          <w:rFonts w:ascii="Garamond" w:hAnsi="Garamond"/>
        </w:rPr>
        <w:t xml:space="preserve">, and </w:t>
      </w:r>
      <w:r w:rsidR="0073107F" w:rsidRPr="00F90A54">
        <w:rPr>
          <w:rFonts w:ascii="Garamond" w:hAnsi="Garamond"/>
        </w:rPr>
        <w:t xml:space="preserve">it </w:t>
      </w:r>
      <w:r w:rsidR="00CE2FB5" w:rsidRPr="00F90A54">
        <w:rPr>
          <w:rFonts w:ascii="Garamond" w:hAnsi="Garamond"/>
        </w:rPr>
        <w:t>would only police its representation of the public interest for “bad faith or malfeasance.”</w:t>
      </w:r>
      <w:r w:rsidR="00CE2FB5" w:rsidRPr="00F90A54">
        <w:rPr>
          <w:rStyle w:val="FootnoteReference"/>
          <w:rFonts w:ascii="Garamond" w:hAnsi="Garamond"/>
        </w:rPr>
        <w:footnoteReference w:id="150"/>
      </w:r>
      <w:r w:rsidR="00CE2FB5" w:rsidRPr="00F90A54">
        <w:rPr>
          <w:rFonts w:ascii="Garamond" w:hAnsi="Garamond"/>
        </w:rPr>
        <w:t xml:space="preserve"> </w:t>
      </w:r>
      <w:r w:rsidR="00164273" w:rsidRPr="00F90A54">
        <w:rPr>
          <w:rFonts w:ascii="Garamond" w:hAnsi="Garamond"/>
        </w:rPr>
        <w:t xml:space="preserve">Courts </w:t>
      </w:r>
      <w:r w:rsidR="000A605F" w:rsidRPr="00F90A54">
        <w:rPr>
          <w:rFonts w:ascii="Garamond" w:hAnsi="Garamond"/>
        </w:rPr>
        <w:t xml:space="preserve">routinely </w:t>
      </w:r>
      <w:r w:rsidR="0073107F" w:rsidRPr="00F90A54">
        <w:rPr>
          <w:rFonts w:ascii="Garamond" w:hAnsi="Garamond"/>
        </w:rPr>
        <w:t xml:space="preserve">exercised their discretionary managerial powers to </w:t>
      </w:r>
      <w:r w:rsidR="00164273" w:rsidRPr="00F90A54">
        <w:rPr>
          <w:rFonts w:ascii="Garamond" w:hAnsi="Garamond"/>
        </w:rPr>
        <w:t>encourage the parties to settle</w:t>
      </w:r>
      <w:r w:rsidR="009D0459" w:rsidRPr="00F90A54">
        <w:rPr>
          <w:rFonts w:ascii="Garamond" w:hAnsi="Garamond"/>
        </w:rPr>
        <w:t>—</w:t>
      </w:r>
      <w:r w:rsidR="00164273" w:rsidRPr="00F90A54">
        <w:rPr>
          <w:rFonts w:ascii="Garamond" w:hAnsi="Garamond"/>
        </w:rPr>
        <w:t>a nudge that defendants rarely needed</w:t>
      </w:r>
      <w:r w:rsidR="009D0459" w:rsidRPr="00F90A54">
        <w:rPr>
          <w:rFonts w:ascii="Garamond" w:hAnsi="Garamond"/>
        </w:rPr>
        <w:t>—</w:t>
      </w:r>
      <w:r w:rsidR="00164273" w:rsidRPr="00F90A54">
        <w:rPr>
          <w:rFonts w:ascii="Garamond" w:hAnsi="Garamond"/>
        </w:rPr>
        <w:t xml:space="preserve">and </w:t>
      </w:r>
      <w:r w:rsidR="00804EAF" w:rsidRPr="00F90A54">
        <w:rPr>
          <w:rFonts w:ascii="Garamond" w:hAnsi="Garamond"/>
        </w:rPr>
        <w:t>consistently</w:t>
      </w:r>
      <w:r w:rsidR="00164273" w:rsidRPr="00F90A54">
        <w:rPr>
          <w:rFonts w:ascii="Garamond" w:hAnsi="Garamond"/>
        </w:rPr>
        <w:t xml:space="preserve"> </w:t>
      </w:r>
      <w:r w:rsidR="00623180" w:rsidRPr="00F90A54">
        <w:rPr>
          <w:rFonts w:ascii="Garamond" w:hAnsi="Garamond"/>
        </w:rPr>
        <w:t>rejected</w:t>
      </w:r>
      <w:r w:rsidR="00164273" w:rsidRPr="00F90A54">
        <w:rPr>
          <w:rFonts w:ascii="Garamond" w:hAnsi="Garamond"/>
        </w:rPr>
        <w:t xml:space="preserve"> intervenors who might interfere with negotiations</w:t>
      </w:r>
      <w:r w:rsidR="00D93778" w:rsidRPr="00F90A54">
        <w:rPr>
          <w:rFonts w:ascii="Garamond" w:hAnsi="Garamond"/>
        </w:rPr>
        <w:t xml:space="preserve"> regardless of their asserted interest</w:t>
      </w:r>
      <w:r w:rsidR="003E5542" w:rsidRPr="00F90A54">
        <w:rPr>
          <w:rFonts w:ascii="Garamond" w:hAnsi="Garamond"/>
        </w:rPr>
        <w:t>s</w:t>
      </w:r>
      <w:r w:rsidR="00164273" w:rsidRPr="00F90A54">
        <w:rPr>
          <w:rFonts w:ascii="Garamond" w:hAnsi="Garamond"/>
        </w:rPr>
        <w:t>.</w:t>
      </w:r>
      <w:r w:rsidR="000A605F" w:rsidRPr="00F90A54">
        <w:rPr>
          <w:rStyle w:val="FootnoteReference"/>
          <w:rFonts w:ascii="Garamond" w:hAnsi="Garamond"/>
        </w:rPr>
        <w:footnoteReference w:id="151"/>
      </w:r>
      <w:r w:rsidR="00164273" w:rsidRPr="00F90A54">
        <w:rPr>
          <w:rFonts w:ascii="Garamond" w:hAnsi="Garamond"/>
        </w:rPr>
        <w:t xml:space="preserve"> </w:t>
      </w:r>
    </w:p>
    <w:p w14:paraId="2530DDF6" w14:textId="055285D9" w:rsidR="006B473B" w:rsidRPr="00F90A54" w:rsidRDefault="006B473B" w:rsidP="001F4A3F">
      <w:pPr>
        <w:ind w:firstLine="360"/>
        <w:jc w:val="both"/>
        <w:rPr>
          <w:rFonts w:ascii="Garamond" w:hAnsi="Garamond"/>
          <w:i/>
          <w:iCs/>
        </w:rPr>
      </w:pPr>
      <w:r w:rsidRPr="00F90A54">
        <w:rPr>
          <w:rFonts w:ascii="Garamond" w:hAnsi="Garamond"/>
        </w:rPr>
        <w:t xml:space="preserve">3. </w:t>
      </w:r>
      <w:r w:rsidRPr="00F90A54">
        <w:rPr>
          <w:rFonts w:ascii="Garamond" w:hAnsi="Garamond"/>
          <w:i/>
          <w:iCs/>
        </w:rPr>
        <w:t>Structural Injunctions</w:t>
      </w:r>
      <w:r w:rsidRPr="00F90A54">
        <w:rPr>
          <w:rFonts w:ascii="Garamond" w:hAnsi="Garamond"/>
        </w:rPr>
        <w:t xml:space="preserve">. </w:t>
      </w:r>
      <w:r w:rsidR="00141153" w:rsidRPr="00F90A54">
        <w:rPr>
          <w:rFonts w:ascii="Garamond" w:hAnsi="Garamond"/>
        </w:rPr>
        <w:t xml:space="preserve">In the wake of </w:t>
      </w:r>
      <w:r w:rsidR="00141153" w:rsidRPr="00F90A54">
        <w:rPr>
          <w:rFonts w:ascii="Garamond" w:hAnsi="Garamond"/>
          <w:i/>
          <w:iCs/>
        </w:rPr>
        <w:t>Brown v. Board of Education</w:t>
      </w:r>
      <w:r w:rsidR="009027CF" w:rsidRPr="00F90A54">
        <w:rPr>
          <w:rFonts w:ascii="Garamond" w:hAnsi="Garamond"/>
        </w:rPr>
        <w:t xml:space="preserve">, the Civil Rights Movement, </w:t>
      </w:r>
      <w:r w:rsidR="00141153" w:rsidRPr="00F90A54">
        <w:rPr>
          <w:rFonts w:ascii="Garamond" w:hAnsi="Garamond"/>
        </w:rPr>
        <w:t>and a</w:t>
      </w:r>
      <w:r w:rsidR="004F1CA7">
        <w:rPr>
          <w:rFonts w:ascii="Garamond" w:hAnsi="Garamond"/>
        </w:rPr>
        <w:t xml:space="preserve"> growth </w:t>
      </w:r>
      <w:r w:rsidR="00141153" w:rsidRPr="00F90A54">
        <w:rPr>
          <w:rFonts w:ascii="Garamond" w:hAnsi="Garamond"/>
        </w:rPr>
        <w:t xml:space="preserve">in statutory causes of action, </w:t>
      </w:r>
      <w:r w:rsidR="009027CF" w:rsidRPr="00F90A54">
        <w:rPr>
          <w:rFonts w:ascii="Garamond" w:hAnsi="Garamond"/>
        </w:rPr>
        <w:t xml:space="preserve">courts began issuing </w:t>
      </w:r>
      <w:r w:rsidR="00A251A3" w:rsidRPr="00F90A54">
        <w:rPr>
          <w:rFonts w:ascii="Garamond" w:hAnsi="Garamond"/>
        </w:rPr>
        <w:t xml:space="preserve">an increasing </w:t>
      </w:r>
      <w:r w:rsidR="00FD1F1D" w:rsidRPr="00F90A54">
        <w:rPr>
          <w:rFonts w:ascii="Garamond" w:hAnsi="Garamond"/>
        </w:rPr>
        <w:t>number of</w:t>
      </w:r>
      <w:r w:rsidR="00A251A3" w:rsidRPr="00F90A54">
        <w:rPr>
          <w:rFonts w:ascii="Garamond" w:hAnsi="Garamond"/>
        </w:rPr>
        <w:t xml:space="preserve"> </w:t>
      </w:r>
      <w:r w:rsidR="00ED37F0" w:rsidRPr="00F90A54">
        <w:rPr>
          <w:rFonts w:ascii="Garamond" w:hAnsi="Garamond"/>
        </w:rPr>
        <w:t xml:space="preserve">orders that reformed </w:t>
      </w:r>
      <w:r w:rsidR="00547191" w:rsidRPr="00F90A54">
        <w:rPr>
          <w:rFonts w:ascii="Garamond" w:hAnsi="Garamond"/>
        </w:rPr>
        <w:t>state and local</w:t>
      </w:r>
      <w:r w:rsidR="00311F64" w:rsidRPr="00F90A54">
        <w:rPr>
          <w:rFonts w:ascii="Garamond" w:hAnsi="Garamond"/>
        </w:rPr>
        <w:t xml:space="preserve"> </w:t>
      </w:r>
      <w:r w:rsidR="00ED37F0" w:rsidRPr="00F90A54">
        <w:rPr>
          <w:rFonts w:ascii="Garamond" w:hAnsi="Garamond"/>
        </w:rPr>
        <w:t>institutions through detailed, long-term decrees</w:t>
      </w:r>
      <w:r w:rsidR="009027CF" w:rsidRPr="00F90A54">
        <w:rPr>
          <w:rFonts w:ascii="Garamond" w:hAnsi="Garamond"/>
        </w:rPr>
        <w:t>.</w:t>
      </w:r>
      <w:r w:rsidR="00AF45A1" w:rsidRPr="00F90A54">
        <w:rPr>
          <w:rStyle w:val="FootnoteReference"/>
          <w:rFonts w:ascii="Garamond" w:hAnsi="Garamond"/>
        </w:rPr>
        <w:footnoteReference w:id="152"/>
      </w:r>
      <w:r w:rsidR="009027CF" w:rsidRPr="00F90A54">
        <w:rPr>
          <w:rFonts w:ascii="Garamond" w:hAnsi="Garamond"/>
        </w:rPr>
        <w:t xml:space="preserve"> </w:t>
      </w:r>
      <w:r w:rsidR="00C33AFE" w:rsidRPr="00F90A54">
        <w:rPr>
          <w:rFonts w:ascii="Garamond" w:hAnsi="Garamond"/>
        </w:rPr>
        <w:t>Scholars</w:t>
      </w:r>
      <w:r w:rsidR="007B3F09" w:rsidRPr="00F90A54">
        <w:rPr>
          <w:rFonts w:ascii="Garamond" w:hAnsi="Garamond"/>
        </w:rPr>
        <w:t xml:space="preserve"> consider t</w:t>
      </w:r>
      <w:r w:rsidR="009027CF" w:rsidRPr="00F90A54">
        <w:rPr>
          <w:rFonts w:ascii="Garamond" w:hAnsi="Garamond"/>
        </w:rPr>
        <w:t xml:space="preserve">hese </w:t>
      </w:r>
      <w:r w:rsidR="00ED37F0" w:rsidRPr="00F90A54">
        <w:rPr>
          <w:rFonts w:ascii="Garamond" w:hAnsi="Garamond"/>
        </w:rPr>
        <w:t xml:space="preserve">“structural injunctions” </w:t>
      </w:r>
      <w:r w:rsidR="00C75298" w:rsidRPr="00F90A54">
        <w:rPr>
          <w:rFonts w:ascii="Garamond" w:hAnsi="Garamond"/>
        </w:rPr>
        <w:t>as distinct</w:t>
      </w:r>
      <w:r w:rsidR="007B3F09" w:rsidRPr="00F90A54">
        <w:rPr>
          <w:rFonts w:ascii="Garamond" w:hAnsi="Garamond"/>
        </w:rPr>
        <w:t xml:space="preserve"> from other types of litigation </w:t>
      </w:r>
      <w:r w:rsidR="00C33AFE" w:rsidRPr="00F90A54">
        <w:rPr>
          <w:rFonts w:ascii="Garamond" w:hAnsi="Garamond"/>
        </w:rPr>
        <w:t xml:space="preserve">in part </w:t>
      </w:r>
      <w:r w:rsidR="007B3F09" w:rsidRPr="00F90A54">
        <w:rPr>
          <w:rFonts w:ascii="Garamond" w:hAnsi="Garamond"/>
        </w:rPr>
        <w:t>because</w:t>
      </w:r>
      <w:r w:rsidR="009D0459" w:rsidRPr="00F90A54">
        <w:rPr>
          <w:rFonts w:ascii="Garamond" w:hAnsi="Garamond"/>
        </w:rPr>
        <w:t xml:space="preserve"> they</w:t>
      </w:r>
      <w:r w:rsidR="007B3F09" w:rsidRPr="00F90A54">
        <w:rPr>
          <w:rFonts w:ascii="Garamond" w:hAnsi="Garamond"/>
        </w:rPr>
        <w:t xml:space="preserve">: adjudicate </w:t>
      </w:r>
      <w:r w:rsidR="00DE068B" w:rsidRPr="00F90A54">
        <w:rPr>
          <w:rFonts w:ascii="Garamond" w:hAnsi="Garamond"/>
        </w:rPr>
        <w:t xml:space="preserve">the concrete realization of </w:t>
      </w:r>
      <w:r w:rsidR="007B3F09" w:rsidRPr="00F90A54">
        <w:rPr>
          <w:rFonts w:ascii="Garamond" w:hAnsi="Garamond"/>
        </w:rPr>
        <w:t xml:space="preserve">constitutional rights and values, </w:t>
      </w:r>
      <w:r w:rsidR="005843C3" w:rsidRPr="00F90A54">
        <w:rPr>
          <w:rFonts w:ascii="Garamond" w:hAnsi="Garamond"/>
        </w:rPr>
        <w:t>affect numerous legal and practical interests and perspectives</w:t>
      </w:r>
      <w:r w:rsidR="007E7C95" w:rsidRPr="00F90A54">
        <w:rPr>
          <w:rFonts w:ascii="Garamond" w:hAnsi="Garamond"/>
        </w:rPr>
        <w:t xml:space="preserve"> related to the </w:t>
      </w:r>
      <w:r w:rsidR="00253320" w:rsidRPr="00F90A54">
        <w:rPr>
          <w:rFonts w:ascii="Garamond" w:hAnsi="Garamond"/>
        </w:rPr>
        <w:t>defendant</w:t>
      </w:r>
      <w:r w:rsidR="005843C3" w:rsidRPr="00F90A54">
        <w:rPr>
          <w:rFonts w:ascii="Garamond" w:hAnsi="Garamond"/>
        </w:rPr>
        <w:t xml:space="preserve">, </w:t>
      </w:r>
      <w:r w:rsidR="00EB2BBA" w:rsidRPr="00F90A54">
        <w:rPr>
          <w:rFonts w:ascii="Garamond" w:hAnsi="Garamond"/>
        </w:rPr>
        <w:t>expand the judicial role from passive umpire to institution</w:t>
      </w:r>
      <w:r w:rsidR="009D0459" w:rsidRPr="00F90A54">
        <w:rPr>
          <w:rFonts w:ascii="Garamond" w:hAnsi="Garamond"/>
        </w:rPr>
        <w:t>al</w:t>
      </w:r>
      <w:r w:rsidR="00EB2BBA" w:rsidRPr="00F90A54">
        <w:rPr>
          <w:rFonts w:ascii="Garamond" w:hAnsi="Garamond"/>
        </w:rPr>
        <w:t xml:space="preserve"> manager</w:t>
      </w:r>
      <w:r w:rsidR="004B7D56" w:rsidRPr="00F90A54">
        <w:rPr>
          <w:rFonts w:ascii="Garamond" w:hAnsi="Garamond"/>
        </w:rPr>
        <w:t>,</w:t>
      </w:r>
      <w:r w:rsidR="00EB2BBA" w:rsidRPr="00F90A54">
        <w:rPr>
          <w:rFonts w:ascii="Garamond" w:hAnsi="Garamond"/>
        </w:rPr>
        <w:t xml:space="preserve"> </w:t>
      </w:r>
      <w:r w:rsidR="004B7D56" w:rsidRPr="00F90A54">
        <w:rPr>
          <w:rFonts w:ascii="Garamond" w:hAnsi="Garamond"/>
        </w:rPr>
        <w:t xml:space="preserve">and involve </w:t>
      </w:r>
      <w:r w:rsidR="00B63494" w:rsidRPr="00F90A54">
        <w:rPr>
          <w:rFonts w:ascii="Garamond" w:hAnsi="Garamond"/>
        </w:rPr>
        <w:t xml:space="preserve">a protracted remedial phase with a sustained dialogue between the court and the </w:t>
      </w:r>
      <w:r w:rsidR="00FC1BDC" w:rsidRPr="00F90A54">
        <w:rPr>
          <w:rFonts w:ascii="Garamond" w:hAnsi="Garamond"/>
        </w:rPr>
        <w:t>parties</w:t>
      </w:r>
      <w:r w:rsidR="00B63494" w:rsidRPr="00F90A54">
        <w:rPr>
          <w:rFonts w:ascii="Garamond" w:hAnsi="Garamond"/>
        </w:rPr>
        <w:t>.</w:t>
      </w:r>
      <w:r w:rsidR="0008377F" w:rsidRPr="00F90A54">
        <w:rPr>
          <w:rStyle w:val="FootnoteReference"/>
          <w:rFonts w:ascii="Garamond" w:hAnsi="Garamond"/>
        </w:rPr>
        <w:footnoteReference w:id="153"/>
      </w:r>
      <w:r w:rsidR="00B63494" w:rsidRPr="00F90A54">
        <w:rPr>
          <w:rFonts w:ascii="Garamond" w:hAnsi="Garamond"/>
        </w:rPr>
        <w:t xml:space="preserve"> </w:t>
      </w:r>
    </w:p>
    <w:p w14:paraId="2380E2F7" w14:textId="5AA5CD5C" w:rsidR="00C871D6" w:rsidRPr="00F90A54" w:rsidRDefault="00DA0868" w:rsidP="001F4A3F">
      <w:pPr>
        <w:ind w:firstLine="360"/>
        <w:jc w:val="both"/>
        <w:rPr>
          <w:rFonts w:ascii="Garamond" w:hAnsi="Garamond"/>
        </w:rPr>
      </w:pPr>
      <w:r w:rsidRPr="00F90A54">
        <w:rPr>
          <w:rFonts w:ascii="Garamond" w:hAnsi="Garamond"/>
        </w:rPr>
        <w:lastRenderedPageBreak/>
        <w:t xml:space="preserve">These features raised </w:t>
      </w:r>
      <w:r w:rsidR="00547191" w:rsidRPr="00F90A54">
        <w:rPr>
          <w:rFonts w:ascii="Garamond" w:hAnsi="Garamond"/>
        </w:rPr>
        <w:t>several</w:t>
      </w:r>
      <w:r w:rsidRPr="00F90A54">
        <w:rPr>
          <w:rFonts w:ascii="Garamond" w:hAnsi="Garamond"/>
        </w:rPr>
        <w:t xml:space="preserve"> procedural </w:t>
      </w:r>
      <w:r w:rsidR="00547191" w:rsidRPr="00F90A54">
        <w:rPr>
          <w:rFonts w:ascii="Garamond" w:hAnsi="Garamond"/>
        </w:rPr>
        <w:t xml:space="preserve">and institutional </w:t>
      </w:r>
      <w:r w:rsidRPr="00F90A54">
        <w:rPr>
          <w:rFonts w:ascii="Garamond" w:hAnsi="Garamond"/>
        </w:rPr>
        <w:t>challenges</w:t>
      </w:r>
      <w:r w:rsidR="00301C27" w:rsidRPr="00F90A54">
        <w:rPr>
          <w:rFonts w:ascii="Garamond" w:hAnsi="Garamond"/>
        </w:rPr>
        <w:t>.</w:t>
      </w:r>
      <w:r w:rsidR="006631A8" w:rsidRPr="00F90A54">
        <w:rPr>
          <w:rStyle w:val="FootnoteReference"/>
          <w:rFonts w:ascii="Garamond" w:hAnsi="Garamond"/>
        </w:rPr>
        <w:footnoteReference w:id="154"/>
      </w:r>
      <w:r w:rsidR="00301C27" w:rsidRPr="00F90A54">
        <w:rPr>
          <w:rFonts w:ascii="Garamond" w:hAnsi="Garamond"/>
        </w:rPr>
        <w:t xml:space="preserve"> </w:t>
      </w:r>
      <w:r w:rsidR="00547191" w:rsidRPr="00F90A54">
        <w:rPr>
          <w:rFonts w:ascii="Garamond" w:hAnsi="Garamond"/>
        </w:rPr>
        <w:t>One strain of sustained criticism question</w:t>
      </w:r>
      <w:r w:rsidR="00C75298" w:rsidRPr="00F90A54">
        <w:rPr>
          <w:rFonts w:ascii="Garamond" w:hAnsi="Garamond"/>
        </w:rPr>
        <w:t>ed</w:t>
      </w:r>
      <w:r w:rsidR="00547191" w:rsidRPr="00F90A54">
        <w:rPr>
          <w:rFonts w:ascii="Garamond" w:hAnsi="Garamond"/>
        </w:rPr>
        <w:t xml:space="preserve"> the court’s competency to engage in the administrative and sometimes political task of reform by</w:t>
      </w:r>
      <w:r w:rsidR="00C75298" w:rsidRPr="00F90A54">
        <w:rPr>
          <w:rFonts w:ascii="Garamond" w:hAnsi="Garamond"/>
        </w:rPr>
        <w:t xml:space="preserve"> </w:t>
      </w:r>
      <w:r w:rsidR="00547191" w:rsidRPr="00F90A54">
        <w:rPr>
          <w:rFonts w:ascii="Garamond" w:hAnsi="Garamond"/>
        </w:rPr>
        <w:t>decree.</w:t>
      </w:r>
      <w:r w:rsidR="00547191" w:rsidRPr="00F90A54">
        <w:rPr>
          <w:rStyle w:val="FootnoteReference"/>
          <w:rFonts w:ascii="Garamond" w:hAnsi="Garamond"/>
        </w:rPr>
        <w:footnoteReference w:id="155"/>
      </w:r>
      <w:r w:rsidR="00547191" w:rsidRPr="00F90A54">
        <w:rPr>
          <w:rFonts w:ascii="Garamond" w:hAnsi="Garamond"/>
        </w:rPr>
        <w:t xml:space="preserve"> </w:t>
      </w:r>
      <w:r w:rsidR="00E45819" w:rsidRPr="00F90A54">
        <w:rPr>
          <w:rFonts w:ascii="Garamond" w:hAnsi="Garamond"/>
        </w:rPr>
        <w:t>If the court</w:t>
      </w:r>
      <w:r w:rsidR="00C871D6" w:rsidRPr="00F90A54">
        <w:rPr>
          <w:rFonts w:ascii="Garamond" w:hAnsi="Garamond"/>
        </w:rPr>
        <w:t xml:space="preserve">’s remedy affected everyone who interacted with the public institution, it seemed fair to question the legitimacy of that </w:t>
      </w:r>
      <w:r w:rsidR="009D0459" w:rsidRPr="00F90A54">
        <w:rPr>
          <w:rFonts w:ascii="Garamond" w:hAnsi="Garamond"/>
        </w:rPr>
        <w:t xml:space="preserve">remedy </w:t>
      </w:r>
      <w:r w:rsidR="00C871D6" w:rsidRPr="00F90A54">
        <w:rPr>
          <w:rFonts w:ascii="Garamond" w:hAnsi="Garamond"/>
        </w:rPr>
        <w:t>if the court only heard the limited view</w:t>
      </w:r>
      <w:r w:rsidR="009D0459" w:rsidRPr="00F90A54">
        <w:rPr>
          <w:rFonts w:ascii="Garamond" w:hAnsi="Garamond"/>
        </w:rPr>
        <w:t>s</w:t>
      </w:r>
      <w:r w:rsidR="00C871D6" w:rsidRPr="00F90A54">
        <w:rPr>
          <w:rFonts w:ascii="Garamond" w:hAnsi="Garamond"/>
        </w:rPr>
        <w:t xml:space="preserve"> of the </w:t>
      </w:r>
      <w:r w:rsidR="00F50DE3" w:rsidRPr="00F90A54">
        <w:rPr>
          <w:rFonts w:ascii="Garamond" w:hAnsi="Garamond"/>
        </w:rPr>
        <w:t xml:space="preserve">original </w:t>
      </w:r>
      <w:r w:rsidR="00C871D6" w:rsidRPr="00F90A54">
        <w:rPr>
          <w:rFonts w:ascii="Garamond" w:hAnsi="Garamond"/>
        </w:rPr>
        <w:t>parties.</w:t>
      </w:r>
    </w:p>
    <w:p w14:paraId="6369A8A3" w14:textId="70B4BF0D" w:rsidR="00F2076D" w:rsidRPr="00F90A54" w:rsidRDefault="00C871D6" w:rsidP="001F4A3F">
      <w:pPr>
        <w:ind w:firstLine="360"/>
        <w:jc w:val="both"/>
        <w:rPr>
          <w:rFonts w:ascii="Garamond" w:hAnsi="Garamond"/>
        </w:rPr>
      </w:pPr>
      <w:r w:rsidRPr="00F90A54">
        <w:rPr>
          <w:rFonts w:ascii="Garamond" w:hAnsi="Garamond"/>
        </w:rPr>
        <w:t xml:space="preserve">For many, </w:t>
      </w:r>
      <w:r w:rsidR="00D10E56" w:rsidRPr="00F90A54">
        <w:rPr>
          <w:rFonts w:ascii="Garamond" w:hAnsi="Garamond"/>
        </w:rPr>
        <w:t xml:space="preserve">the answer was </w:t>
      </w:r>
      <w:r w:rsidR="003A7602" w:rsidRPr="00F90A54">
        <w:rPr>
          <w:rFonts w:ascii="Garamond" w:hAnsi="Garamond"/>
        </w:rPr>
        <w:t xml:space="preserve">increased </w:t>
      </w:r>
      <w:r w:rsidR="00D10E56" w:rsidRPr="00F90A54">
        <w:rPr>
          <w:rFonts w:ascii="Garamond" w:hAnsi="Garamond"/>
        </w:rPr>
        <w:t>intervention, particularly at the remedial stage o</w:t>
      </w:r>
      <w:r w:rsidR="002032E8" w:rsidRPr="00F90A54">
        <w:rPr>
          <w:rFonts w:ascii="Garamond" w:hAnsi="Garamond"/>
        </w:rPr>
        <w:t>f litigation when the court was fashioning the decree.</w:t>
      </w:r>
      <w:r w:rsidR="00667B1C" w:rsidRPr="00F90A54">
        <w:rPr>
          <w:rFonts w:ascii="Garamond" w:hAnsi="Garamond"/>
        </w:rPr>
        <w:t xml:space="preserve"> </w:t>
      </w:r>
      <w:r w:rsidR="00A8228D" w:rsidRPr="00F90A54">
        <w:rPr>
          <w:rFonts w:ascii="Garamond" w:hAnsi="Garamond"/>
        </w:rPr>
        <w:t>Scholars and commentators encouraged courts to exercise their discretion to grant participation to nonparties representing a capacious variety of relationships and interests in the institution.</w:t>
      </w:r>
      <w:r w:rsidR="00A8228D" w:rsidRPr="00F90A54">
        <w:rPr>
          <w:rStyle w:val="FootnoteReference"/>
          <w:rFonts w:ascii="Garamond" w:hAnsi="Garamond"/>
        </w:rPr>
        <w:footnoteReference w:id="156"/>
      </w:r>
      <w:r w:rsidR="00A8228D" w:rsidRPr="00F90A54">
        <w:rPr>
          <w:rFonts w:ascii="Garamond" w:hAnsi="Garamond"/>
        </w:rPr>
        <w:t xml:space="preserve"> </w:t>
      </w:r>
      <w:r w:rsidR="000E7C4B" w:rsidRPr="00F90A54">
        <w:rPr>
          <w:rFonts w:ascii="Garamond" w:hAnsi="Garamond"/>
        </w:rPr>
        <w:t xml:space="preserve">They identified several benefits from this practice. </w:t>
      </w:r>
      <w:r w:rsidR="004729A2" w:rsidRPr="00F90A54">
        <w:rPr>
          <w:rFonts w:ascii="Garamond" w:hAnsi="Garamond"/>
        </w:rPr>
        <w:t>Broad intervention</w:t>
      </w:r>
      <w:r w:rsidR="00A8228D" w:rsidRPr="00F90A54">
        <w:rPr>
          <w:rFonts w:ascii="Garamond" w:hAnsi="Garamond"/>
        </w:rPr>
        <w:t xml:space="preserve"> </w:t>
      </w:r>
      <w:r w:rsidR="00D16AF1" w:rsidRPr="00F90A54">
        <w:rPr>
          <w:rFonts w:ascii="Garamond" w:hAnsi="Garamond"/>
        </w:rPr>
        <w:t>help</w:t>
      </w:r>
      <w:r w:rsidR="005B4D53">
        <w:rPr>
          <w:rFonts w:ascii="Garamond" w:hAnsi="Garamond"/>
        </w:rPr>
        <w:t>ed</w:t>
      </w:r>
      <w:r w:rsidR="00D16AF1" w:rsidRPr="00F90A54">
        <w:rPr>
          <w:rFonts w:ascii="Garamond" w:hAnsi="Garamond"/>
        </w:rPr>
        <w:t xml:space="preserve"> legitimate the resulting decree as the product of a “judicially structured process of deliberation” that considered the interests of those affected by its decision.</w:t>
      </w:r>
      <w:r w:rsidR="00D16AF1" w:rsidRPr="00F90A54">
        <w:rPr>
          <w:rStyle w:val="FootnoteReference"/>
          <w:rFonts w:ascii="Garamond" w:hAnsi="Garamond"/>
        </w:rPr>
        <w:footnoteReference w:id="157"/>
      </w:r>
      <w:r w:rsidR="00D16AF1" w:rsidRPr="00F90A54">
        <w:rPr>
          <w:rFonts w:ascii="Garamond" w:hAnsi="Garamond"/>
        </w:rPr>
        <w:t xml:space="preserve"> </w:t>
      </w:r>
      <w:r w:rsidR="009D66BA" w:rsidRPr="00F90A54">
        <w:rPr>
          <w:rFonts w:ascii="Garamond" w:hAnsi="Garamond"/>
        </w:rPr>
        <w:t>That</w:t>
      </w:r>
      <w:r w:rsidR="000F4BF4" w:rsidRPr="00F90A54">
        <w:rPr>
          <w:rFonts w:ascii="Garamond" w:hAnsi="Garamond"/>
        </w:rPr>
        <w:t>,</w:t>
      </w:r>
      <w:r w:rsidR="009D66BA" w:rsidRPr="00F90A54">
        <w:rPr>
          <w:rFonts w:ascii="Garamond" w:hAnsi="Garamond"/>
        </w:rPr>
        <w:t xml:space="preserve"> in turn</w:t>
      </w:r>
      <w:r w:rsidR="000F4BF4" w:rsidRPr="00F90A54">
        <w:rPr>
          <w:rFonts w:ascii="Garamond" w:hAnsi="Garamond"/>
        </w:rPr>
        <w:t>,</w:t>
      </w:r>
      <w:r w:rsidR="009D66BA" w:rsidRPr="00F90A54">
        <w:rPr>
          <w:rFonts w:ascii="Garamond" w:hAnsi="Garamond"/>
        </w:rPr>
        <w:t xml:space="preserve"> promote</w:t>
      </w:r>
      <w:r w:rsidR="005B4D53">
        <w:rPr>
          <w:rFonts w:ascii="Garamond" w:hAnsi="Garamond"/>
        </w:rPr>
        <w:t>d</w:t>
      </w:r>
      <w:r w:rsidR="009D66BA" w:rsidRPr="00F90A54">
        <w:rPr>
          <w:rFonts w:ascii="Garamond" w:hAnsi="Garamond"/>
        </w:rPr>
        <w:t xml:space="preserve"> the finality and efficacy of the decree; because more people participated in fashioning the decree, fewer people are likely to collaterally challenge it </w:t>
      </w:r>
      <w:r w:rsidR="00CB7F7F" w:rsidRPr="00F90A54">
        <w:rPr>
          <w:rFonts w:ascii="Garamond" w:hAnsi="Garamond"/>
        </w:rPr>
        <w:t xml:space="preserve">or undermine its implementation. </w:t>
      </w:r>
      <w:r w:rsidR="005B4D53">
        <w:rPr>
          <w:rFonts w:ascii="Garamond" w:hAnsi="Garamond"/>
        </w:rPr>
        <w:t xml:space="preserve">And it </w:t>
      </w:r>
      <w:r w:rsidR="00CB7F7F" w:rsidRPr="00F90A54">
        <w:rPr>
          <w:rFonts w:ascii="Garamond" w:hAnsi="Garamond"/>
        </w:rPr>
        <w:t>recognize</w:t>
      </w:r>
      <w:r w:rsidR="005B4D53">
        <w:rPr>
          <w:rFonts w:ascii="Garamond" w:hAnsi="Garamond"/>
        </w:rPr>
        <w:t>d</w:t>
      </w:r>
      <w:r w:rsidR="00CB7F7F" w:rsidRPr="00F90A54">
        <w:rPr>
          <w:rFonts w:ascii="Garamond" w:hAnsi="Garamond"/>
        </w:rPr>
        <w:t xml:space="preserve"> the dignity of each </w:t>
      </w:r>
      <w:r w:rsidR="005B4D53">
        <w:rPr>
          <w:rFonts w:ascii="Garamond" w:hAnsi="Garamond"/>
        </w:rPr>
        <w:t xml:space="preserve">affected </w:t>
      </w:r>
      <w:r w:rsidR="00CB7F7F" w:rsidRPr="00F90A54">
        <w:rPr>
          <w:rFonts w:ascii="Garamond" w:hAnsi="Garamond"/>
        </w:rPr>
        <w:t xml:space="preserve">individual by providing an opportunity for them to </w:t>
      </w:r>
      <w:r w:rsidR="005B4D53">
        <w:rPr>
          <w:rFonts w:ascii="Garamond" w:hAnsi="Garamond"/>
        </w:rPr>
        <w:t>be heard</w:t>
      </w:r>
      <w:r w:rsidR="00CB7F7F" w:rsidRPr="00F90A54">
        <w:rPr>
          <w:rFonts w:ascii="Garamond" w:hAnsi="Garamond"/>
        </w:rPr>
        <w:t>.</w:t>
      </w:r>
      <w:r w:rsidR="00CB7F7F" w:rsidRPr="00F90A54">
        <w:rPr>
          <w:rStyle w:val="FootnoteReference"/>
          <w:rFonts w:ascii="Garamond" w:hAnsi="Garamond"/>
        </w:rPr>
        <w:footnoteReference w:id="158"/>
      </w:r>
      <w:r w:rsidR="00CB7F7F" w:rsidRPr="00F90A54">
        <w:rPr>
          <w:rFonts w:ascii="Garamond" w:hAnsi="Garamond"/>
        </w:rPr>
        <w:t xml:space="preserve"> </w:t>
      </w:r>
      <w:r w:rsidR="00F63DB4" w:rsidRPr="00F90A54">
        <w:rPr>
          <w:rFonts w:ascii="Garamond" w:hAnsi="Garamond"/>
        </w:rPr>
        <w:t>These benefits came with a concomitant cost to the control rights of the original parties</w:t>
      </w:r>
      <w:r w:rsidR="005B4D53">
        <w:rPr>
          <w:rFonts w:ascii="Garamond" w:hAnsi="Garamond"/>
        </w:rPr>
        <w:t xml:space="preserve">—an imbalance that </w:t>
      </w:r>
      <w:r w:rsidR="001418FB">
        <w:rPr>
          <w:rFonts w:ascii="Garamond" w:hAnsi="Garamond"/>
        </w:rPr>
        <w:t>some</w:t>
      </w:r>
      <w:r w:rsidR="005B4D53">
        <w:rPr>
          <w:rFonts w:ascii="Garamond" w:hAnsi="Garamond"/>
        </w:rPr>
        <w:t xml:space="preserve"> justified </w:t>
      </w:r>
      <w:r w:rsidR="00C96D4D">
        <w:rPr>
          <w:rFonts w:ascii="Garamond" w:hAnsi="Garamond"/>
        </w:rPr>
        <w:t>w</w:t>
      </w:r>
      <w:r w:rsidR="00BC5944" w:rsidRPr="00F90A54">
        <w:rPr>
          <w:rFonts w:ascii="Garamond" w:hAnsi="Garamond"/>
        </w:rPr>
        <w:t>as a consequence of litigating a</w:t>
      </w:r>
      <w:r w:rsidR="00751D53" w:rsidRPr="00F90A54">
        <w:rPr>
          <w:rFonts w:ascii="Garamond" w:hAnsi="Garamond"/>
        </w:rPr>
        <w:t xml:space="preserve"> shared</w:t>
      </w:r>
      <w:r w:rsidR="00BC5944" w:rsidRPr="00F90A54">
        <w:rPr>
          <w:rFonts w:ascii="Garamond" w:hAnsi="Garamond"/>
        </w:rPr>
        <w:t xml:space="preserve"> constitutional right.</w:t>
      </w:r>
    </w:p>
    <w:p w14:paraId="1778E4ED" w14:textId="6D5CEE76" w:rsidR="00AD6D16" w:rsidRDefault="00A4000F" w:rsidP="001F4A3F">
      <w:pPr>
        <w:ind w:firstLine="360"/>
        <w:jc w:val="both"/>
        <w:rPr>
          <w:rFonts w:ascii="Garamond" w:hAnsi="Garamond"/>
        </w:rPr>
      </w:pPr>
      <w:r w:rsidRPr="00F90A54">
        <w:rPr>
          <w:rFonts w:ascii="Garamond" w:hAnsi="Garamond"/>
        </w:rPr>
        <w:t xml:space="preserve">As these examples show, </w:t>
      </w:r>
      <w:r w:rsidR="00AD6D16">
        <w:rPr>
          <w:rFonts w:ascii="Garamond" w:hAnsi="Garamond"/>
        </w:rPr>
        <w:t xml:space="preserve">courts and scholars have analyzed the procedural values behind intervention in the context of a variety of adjudicative structures and substantive doctrines. The next part assesses the factors that distinguish nationwide-injunction litigation and argues that these features raise concerns about </w:t>
      </w:r>
      <w:r w:rsidR="00AD6D16" w:rsidRPr="00F90A54">
        <w:rPr>
          <w:rFonts w:ascii="Garamond" w:hAnsi="Garamond"/>
        </w:rPr>
        <w:t xml:space="preserve">how the values of intervention are </w:t>
      </w:r>
      <w:r w:rsidR="00AD6D16">
        <w:rPr>
          <w:rFonts w:ascii="Garamond" w:hAnsi="Garamond"/>
        </w:rPr>
        <w:t xml:space="preserve">being </w:t>
      </w:r>
      <w:r w:rsidR="00AD6D16" w:rsidRPr="00F90A54">
        <w:rPr>
          <w:rFonts w:ascii="Garamond" w:hAnsi="Garamond"/>
        </w:rPr>
        <w:t xml:space="preserve">balanced in </w:t>
      </w:r>
      <w:r w:rsidR="00AD6D16">
        <w:rPr>
          <w:rFonts w:ascii="Garamond" w:hAnsi="Garamond"/>
        </w:rPr>
        <w:t>this</w:t>
      </w:r>
      <w:r w:rsidR="00AD6D16" w:rsidRPr="00F90A54">
        <w:rPr>
          <w:rFonts w:ascii="Garamond" w:hAnsi="Garamond"/>
        </w:rPr>
        <w:t xml:space="preserve"> context.</w:t>
      </w:r>
    </w:p>
    <w:p w14:paraId="6B75CA3C" w14:textId="77777777" w:rsidR="000765B8" w:rsidRPr="00F90A54" w:rsidRDefault="000765B8" w:rsidP="006B12DB">
      <w:pPr>
        <w:ind w:firstLine="360"/>
        <w:rPr>
          <w:rFonts w:ascii="Garamond" w:hAnsi="Garamond"/>
        </w:rPr>
      </w:pPr>
    </w:p>
    <w:p w14:paraId="3B5CCFC3" w14:textId="20CC87CB" w:rsidR="00951F10" w:rsidRPr="00F90A54" w:rsidRDefault="00951F10" w:rsidP="00D9403B">
      <w:pPr>
        <w:pStyle w:val="Heading3"/>
        <w:keepNext/>
      </w:pPr>
      <w:bookmarkStart w:id="12" w:name="_Toc143336554"/>
      <w:r w:rsidRPr="00F90A54">
        <w:t>What Makes Nationwide</w:t>
      </w:r>
      <w:r w:rsidR="00102C6A" w:rsidRPr="00F90A54">
        <w:t>-</w:t>
      </w:r>
      <w:r w:rsidRPr="00F90A54">
        <w:t xml:space="preserve">Injunction </w:t>
      </w:r>
      <w:r w:rsidR="00102C6A" w:rsidRPr="00F90A54">
        <w:t xml:space="preserve">Litigation </w:t>
      </w:r>
      <w:r w:rsidRPr="00F90A54">
        <w:t>Different</w:t>
      </w:r>
      <w:bookmarkEnd w:id="12"/>
    </w:p>
    <w:p w14:paraId="4E6F98D9" w14:textId="77777777" w:rsidR="00086B2B" w:rsidRPr="00F90A54" w:rsidRDefault="00086B2B" w:rsidP="00D9403B">
      <w:pPr>
        <w:keepNext/>
        <w:ind w:firstLine="360"/>
        <w:rPr>
          <w:rFonts w:ascii="Garamond" w:hAnsi="Garamond"/>
        </w:rPr>
      </w:pPr>
    </w:p>
    <w:p w14:paraId="31440BA7" w14:textId="01ABB670" w:rsidR="00423B01" w:rsidRPr="00F90A54" w:rsidRDefault="00795BDB" w:rsidP="001F4A3F">
      <w:pPr>
        <w:ind w:firstLine="360"/>
        <w:jc w:val="both"/>
        <w:rPr>
          <w:rFonts w:ascii="Garamond" w:hAnsi="Garamond"/>
        </w:rPr>
      </w:pPr>
      <w:r w:rsidRPr="00F90A54">
        <w:rPr>
          <w:rFonts w:ascii="Garamond" w:hAnsi="Garamond"/>
        </w:rPr>
        <w:t xml:space="preserve">Nationwide injunctions are </w:t>
      </w:r>
      <w:r w:rsidR="00175DB2" w:rsidRPr="00F90A54">
        <w:rPr>
          <w:rFonts w:ascii="Garamond" w:hAnsi="Garamond"/>
        </w:rPr>
        <w:t>a type of universal remedy</w:t>
      </w:r>
      <w:r w:rsidR="00442619" w:rsidRPr="00F90A54">
        <w:rPr>
          <w:rFonts w:ascii="Garamond" w:hAnsi="Garamond"/>
        </w:rPr>
        <w:t xml:space="preserve">—an </w:t>
      </w:r>
      <w:r w:rsidR="00175DB2" w:rsidRPr="00F90A54">
        <w:rPr>
          <w:rFonts w:ascii="Garamond" w:hAnsi="Garamond"/>
        </w:rPr>
        <w:t xml:space="preserve">umbrella term that captures forms of relief that </w:t>
      </w:r>
      <w:r w:rsidR="00423B01" w:rsidRPr="00F90A54">
        <w:rPr>
          <w:rFonts w:ascii="Garamond" w:hAnsi="Garamond"/>
        </w:rPr>
        <w:t>apply nationwide and to nonparties.</w:t>
      </w:r>
      <w:r w:rsidR="00F05C97" w:rsidRPr="00F90A54">
        <w:rPr>
          <w:rStyle w:val="FootnoteReference"/>
          <w:rFonts w:ascii="Garamond" w:hAnsi="Garamond"/>
        </w:rPr>
        <w:footnoteReference w:id="159"/>
      </w:r>
      <w:r w:rsidR="00423B01" w:rsidRPr="00F90A54">
        <w:rPr>
          <w:rFonts w:ascii="Garamond" w:hAnsi="Garamond"/>
        </w:rPr>
        <w:t xml:space="preserve"> </w:t>
      </w:r>
      <w:r w:rsidR="00145EA6" w:rsidRPr="00F90A54">
        <w:rPr>
          <w:rFonts w:ascii="Garamond" w:hAnsi="Garamond"/>
        </w:rPr>
        <w:t>N</w:t>
      </w:r>
      <w:r w:rsidR="00BA2878" w:rsidRPr="00F90A54">
        <w:rPr>
          <w:rFonts w:ascii="Garamond" w:hAnsi="Garamond"/>
        </w:rPr>
        <w:t>ationwide injunction</w:t>
      </w:r>
      <w:r w:rsidR="00145EA6" w:rsidRPr="00F90A54">
        <w:rPr>
          <w:rFonts w:ascii="Garamond" w:hAnsi="Garamond"/>
        </w:rPr>
        <w:t xml:space="preserve">s </w:t>
      </w:r>
      <w:r w:rsidR="00BA2878" w:rsidRPr="00F90A54">
        <w:rPr>
          <w:rFonts w:ascii="Garamond" w:hAnsi="Garamond"/>
        </w:rPr>
        <w:t xml:space="preserve">enjoin the defendant </w:t>
      </w:r>
      <w:r w:rsidR="00E8684F" w:rsidRPr="00F90A54">
        <w:rPr>
          <w:rFonts w:ascii="Garamond" w:hAnsi="Garamond"/>
        </w:rPr>
        <w:t xml:space="preserve">(usually the federal government) </w:t>
      </w:r>
      <w:r w:rsidR="00BA2878" w:rsidRPr="00F90A54">
        <w:rPr>
          <w:rFonts w:ascii="Garamond" w:hAnsi="Garamond"/>
        </w:rPr>
        <w:t>from</w:t>
      </w:r>
      <w:r w:rsidR="00F34BE6" w:rsidRPr="00F90A54">
        <w:rPr>
          <w:rFonts w:ascii="Garamond" w:hAnsi="Garamond"/>
        </w:rPr>
        <w:t xml:space="preserve"> </w:t>
      </w:r>
      <w:r w:rsidR="0030512A" w:rsidRPr="00F90A54">
        <w:rPr>
          <w:rFonts w:ascii="Garamond" w:hAnsi="Garamond"/>
        </w:rPr>
        <w:t xml:space="preserve">enforcing a </w:t>
      </w:r>
      <w:r w:rsidR="0030512A" w:rsidRPr="00F90A54">
        <w:rPr>
          <w:rFonts w:ascii="Garamond" w:hAnsi="Garamond"/>
        </w:rPr>
        <w:lastRenderedPageBreak/>
        <w:t>policy against anyone</w:t>
      </w:r>
      <w:r w:rsidR="00E8684F" w:rsidRPr="00F90A54">
        <w:rPr>
          <w:rFonts w:ascii="Garamond" w:hAnsi="Garamond"/>
        </w:rPr>
        <w:t>.</w:t>
      </w:r>
      <w:r w:rsidR="00E8684F" w:rsidRPr="00F90A54">
        <w:rPr>
          <w:rStyle w:val="FootnoteReference"/>
          <w:rFonts w:ascii="Garamond" w:hAnsi="Garamond"/>
        </w:rPr>
        <w:footnoteReference w:id="160"/>
      </w:r>
      <w:r w:rsidR="00E8684F" w:rsidRPr="00F90A54">
        <w:rPr>
          <w:rFonts w:ascii="Garamond" w:hAnsi="Garamond"/>
        </w:rPr>
        <w:t xml:space="preserve"> They </w:t>
      </w:r>
      <w:r w:rsidR="00535CAD">
        <w:rPr>
          <w:rFonts w:ascii="Garamond" w:hAnsi="Garamond"/>
        </w:rPr>
        <w:t>may</w:t>
      </w:r>
      <w:r w:rsidR="00E8684F" w:rsidRPr="00F90A54">
        <w:rPr>
          <w:rFonts w:ascii="Garamond" w:hAnsi="Garamond"/>
        </w:rPr>
        <w:t xml:space="preserve"> be enforced by contempt, even by nonparties.</w:t>
      </w:r>
      <w:r w:rsidR="00E8684F" w:rsidRPr="00F90A54">
        <w:rPr>
          <w:rStyle w:val="FootnoteReference"/>
          <w:rFonts w:ascii="Garamond" w:hAnsi="Garamond"/>
        </w:rPr>
        <w:footnoteReference w:id="161"/>
      </w:r>
      <w:r w:rsidR="00BA2878" w:rsidRPr="00F90A54">
        <w:rPr>
          <w:rFonts w:ascii="Garamond" w:hAnsi="Garamond"/>
        </w:rPr>
        <w:t xml:space="preserve"> Another </w:t>
      </w:r>
      <w:r w:rsidR="00487E95" w:rsidRPr="00F90A54">
        <w:rPr>
          <w:rFonts w:ascii="Garamond" w:hAnsi="Garamond"/>
        </w:rPr>
        <w:t xml:space="preserve">universal remedy </w:t>
      </w:r>
      <w:r w:rsidR="00BA2878" w:rsidRPr="00F90A54">
        <w:rPr>
          <w:rFonts w:ascii="Garamond" w:hAnsi="Garamond"/>
        </w:rPr>
        <w:t xml:space="preserve">is vacatur, </w:t>
      </w:r>
      <w:r w:rsidR="00F05C97" w:rsidRPr="00F90A54">
        <w:rPr>
          <w:rFonts w:ascii="Garamond" w:hAnsi="Garamond"/>
        </w:rPr>
        <w:t>a judicial order declaring that a government policy shall no longer have legal effect</w:t>
      </w:r>
      <w:r w:rsidR="00F34BE6" w:rsidRPr="00F90A54">
        <w:rPr>
          <w:rFonts w:ascii="Garamond" w:hAnsi="Garamond"/>
        </w:rPr>
        <w:t xml:space="preserve"> against anyone</w:t>
      </w:r>
      <w:r w:rsidR="00F05C97" w:rsidRPr="00F90A54">
        <w:rPr>
          <w:rFonts w:ascii="Garamond" w:hAnsi="Garamond"/>
        </w:rPr>
        <w:t>.</w:t>
      </w:r>
      <w:r w:rsidR="00F05C97" w:rsidRPr="00F90A54">
        <w:rPr>
          <w:rStyle w:val="FootnoteReference"/>
          <w:rFonts w:ascii="Garamond" w:hAnsi="Garamond"/>
        </w:rPr>
        <w:footnoteReference w:id="162"/>
      </w:r>
      <w:r w:rsidR="0030512A" w:rsidRPr="00F90A54">
        <w:rPr>
          <w:rFonts w:ascii="Garamond" w:hAnsi="Garamond"/>
        </w:rPr>
        <w:t xml:space="preserve"> </w:t>
      </w:r>
      <w:r w:rsidR="00991B82" w:rsidRPr="00F90A54">
        <w:rPr>
          <w:rFonts w:ascii="Garamond" w:hAnsi="Garamond"/>
        </w:rPr>
        <w:t xml:space="preserve">These forms of relief are distinct, </w:t>
      </w:r>
      <w:r w:rsidR="00FA6C3C" w:rsidRPr="00F90A54">
        <w:rPr>
          <w:rFonts w:ascii="Garamond" w:hAnsi="Garamond"/>
        </w:rPr>
        <w:t xml:space="preserve">though they </w:t>
      </w:r>
      <w:r w:rsidR="00991B82" w:rsidRPr="00F90A54">
        <w:rPr>
          <w:rFonts w:ascii="Garamond" w:hAnsi="Garamond"/>
        </w:rPr>
        <w:t>often overlap because plaintiffs will seek both in the same action.</w:t>
      </w:r>
      <w:r w:rsidR="00E74ACE" w:rsidRPr="00F90A54">
        <w:rPr>
          <w:rStyle w:val="FootnoteReference"/>
          <w:rFonts w:ascii="Garamond" w:hAnsi="Garamond"/>
        </w:rPr>
        <w:footnoteReference w:id="163"/>
      </w:r>
    </w:p>
    <w:p w14:paraId="07FB88B1" w14:textId="4F508E3E" w:rsidR="004913BE" w:rsidRPr="00F90A54" w:rsidRDefault="000858A7" w:rsidP="001F4A3F">
      <w:pPr>
        <w:ind w:firstLine="360"/>
        <w:jc w:val="both"/>
        <w:rPr>
          <w:rFonts w:ascii="Garamond" w:hAnsi="Garamond"/>
        </w:rPr>
      </w:pPr>
      <w:r>
        <w:rPr>
          <w:rFonts w:ascii="Garamond" w:hAnsi="Garamond"/>
        </w:rPr>
        <w:t xml:space="preserve">This section identifies three features that I argue are </w:t>
      </w:r>
      <w:r w:rsidR="00487E95" w:rsidRPr="00F90A54">
        <w:rPr>
          <w:rFonts w:ascii="Garamond" w:hAnsi="Garamond"/>
        </w:rPr>
        <w:t xml:space="preserve">relevant to Rule 24’s operation that distinguish nationwide-injunction litigation from traditional private suits or other types of public-law cases: </w:t>
      </w:r>
      <w:r w:rsidR="003B09F3" w:rsidRPr="00F90A54">
        <w:rPr>
          <w:rFonts w:ascii="Garamond" w:hAnsi="Garamond"/>
        </w:rPr>
        <w:t xml:space="preserve">(1) </w:t>
      </w:r>
      <w:r w:rsidR="003A656D" w:rsidRPr="00F90A54">
        <w:rPr>
          <w:rFonts w:ascii="Garamond" w:hAnsi="Garamond"/>
        </w:rPr>
        <w:t xml:space="preserve">the universal nature of the remedy affects numerous interests not captured by the litigating parties; </w:t>
      </w:r>
      <w:r w:rsidR="003B09F3" w:rsidRPr="00F90A54">
        <w:rPr>
          <w:rFonts w:ascii="Garamond" w:hAnsi="Garamond"/>
        </w:rPr>
        <w:t xml:space="preserve">(2) </w:t>
      </w:r>
      <w:r w:rsidR="00A34FB3" w:rsidRPr="00F90A54">
        <w:rPr>
          <w:rFonts w:ascii="Garamond" w:hAnsi="Garamond"/>
        </w:rPr>
        <w:t>these cases are often high-profile</w:t>
      </w:r>
      <w:r w:rsidR="004C1DED" w:rsidRPr="00F90A54">
        <w:rPr>
          <w:rFonts w:ascii="Garamond" w:hAnsi="Garamond"/>
        </w:rPr>
        <w:t xml:space="preserve"> and</w:t>
      </w:r>
      <w:r w:rsidR="00A34FB3" w:rsidRPr="00F90A54">
        <w:rPr>
          <w:rFonts w:ascii="Garamond" w:hAnsi="Garamond"/>
        </w:rPr>
        <w:t xml:space="preserve"> involve politically salient national rules and policies</w:t>
      </w:r>
      <w:r w:rsidR="004C1DED" w:rsidRPr="00F90A54">
        <w:rPr>
          <w:rFonts w:ascii="Garamond" w:hAnsi="Garamond"/>
        </w:rPr>
        <w:t>;</w:t>
      </w:r>
      <w:r w:rsidR="00A34FB3" w:rsidRPr="00F90A54">
        <w:rPr>
          <w:rFonts w:ascii="Garamond" w:hAnsi="Garamond"/>
        </w:rPr>
        <w:t xml:space="preserve"> </w:t>
      </w:r>
      <w:r w:rsidR="00A96A21" w:rsidRPr="00F90A54">
        <w:rPr>
          <w:rFonts w:ascii="Garamond" w:hAnsi="Garamond"/>
        </w:rPr>
        <w:t xml:space="preserve">and </w:t>
      </w:r>
      <w:r w:rsidR="00A34FB3" w:rsidRPr="00F90A54">
        <w:rPr>
          <w:rFonts w:ascii="Garamond" w:hAnsi="Garamond"/>
        </w:rPr>
        <w:t xml:space="preserve">(3) </w:t>
      </w:r>
      <w:r w:rsidR="00A96A21" w:rsidRPr="00F90A54">
        <w:rPr>
          <w:rFonts w:ascii="Garamond" w:hAnsi="Garamond"/>
        </w:rPr>
        <w:t xml:space="preserve">the remedy </w:t>
      </w:r>
      <w:r w:rsidR="003A656D" w:rsidRPr="00F90A54">
        <w:rPr>
          <w:rFonts w:ascii="Garamond" w:hAnsi="Garamond"/>
        </w:rPr>
        <w:t xml:space="preserve">often </w:t>
      </w:r>
      <w:r w:rsidR="00A96A21" w:rsidRPr="00F90A54">
        <w:rPr>
          <w:rFonts w:ascii="Garamond" w:hAnsi="Garamond"/>
        </w:rPr>
        <w:t>forecloses other types of participation—either in other lawsuits or in the political process.</w:t>
      </w:r>
      <w:r w:rsidR="00D82F19" w:rsidRPr="00F90A54">
        <w:rPr>
          <w:rStyle w:val="FootnoteReference"/>
          <w:rFonts w:ascii="Garamond" w:hAnsi="Garamond"/>
        </w:rPr>
        <w:footnoteReference w:id="164"/>
      </w:r>
      <w:r w:rsidR="00A96A21" w:rsidRPr="00F90A54">
        <w:rPr>
          <w:rFonts w:ascii="Garamond" w:hAnsi="Garamond"/>
        </w:rPr>
        <w:t xml:space="preserve"> </w:t>
      </w:r>
    </w:p>
    <w:p w14:paraId="299ED600" w14:textId="77777777" w:rsidR="00334F60" w:rsidRDefault="00314A6F" w:rsidP="00334F60">
      <w:pPr>
        <w:ind w:firstLine="360"/>
        <w:jc w:val="both"/>
        <w:rPr>
          <w:rFonts w:ascii="Garamond" w:hAnsi="Garamond"/>
        </w:rPr>
      </w:pPr>
      <w:r w:rsidRPr="00F90A54">
        <w:rPr>
          <w:rFonts w:ascii="Garamond" w:hAnsi="Garamond"/>
        </w:rPr>
        <w:t>First, nationwide</w:t>
      </w:r>
      <w:r w:rsidR="002F4E3F">
        <w:rPr>
          <w:rFonts w:ascii="Garamond" w:hAnsi="Garamond"/>
        </w:rPr>
        <w:t>-</w:t>
      </w:r>
      <w:r w:rsidRPr="00F90A54">
        <w:rPr>
          <w:rFonts w:ascii="Garamond" w:hAnsi="Garamond"/>
        </w:rPr>
        <w:t>injunction</w:t>
      </w:r>
      <w:r w:rsidR="002F4E3F">
        <w:rPr>
          <w:rFonts w:ascii="Garamond" w:hAnsi="Garamond"/>
        </w:rPr>
        <w:t xml:space="preserve"> cases</w:t>
      </w:r>
      <w:r w:rsidRPr="00F90A54">
        <w:rPr>
          <w:rFonts w:ascii="Garamond" w:hAnsi="Garamond"/>
        </w:rPr>
        <w:t xml:space="preserve"> </w:t>
      </w:r>
      <w:r w:rsidR="002F4E3F">
        <w:rPr>
          <w:rFonts w:ascii="Garamond" w:hAnsi="Garamond"/>
        </w:rPr>
        <w:t>implicate</w:t>
      </w:r>
      <w:r w:rsidR="005844CB" w:rsidRPr="00F90A54">
        <w:rPr>
          <w:rFonts w:ascii="Garamond" w:hAnsi="Garamond"/>
        </w:rPr>
        <w:t xml:space="preserve"> a wide variety of interests.</w:t>
      </w:r>
      <w:r w:rsidR="0023612B" w:rsidRPr="00F90A54">
        <w:rPr>
          <w:rStyle w:val="FootnoteReference"/>
          <w:rFonts w:ascii="Garamond" w:hAnsi="Garamond"/>
        </w:rPr>
        <w:footnoteReference w:id="165"/>
      </w:r>
      <w:r w:rsidR="005844CB" w:rsidRPr="00F90A54">
        <w:rPr>
          <w:rFonts w:ascii="Garamond" w:hAnsi="Garamond"/>
        </w:rPr>
        <w:t xml:space="preserve"> </w:t>
      </w:r>
      <w:r w:rsidR="00CC65AE" w:rsidRPr="00F90A54">
        <w:rPr>
          <w:rFonts w:ascii="Garamond" w:hAnsi="Garamond"/>
        </w:rPr>
        <w:t>Ordinarily, a district court</w:t>
      </w:r>
      <w:r w:rsidR="00372C9A" w:rsidRPr="00F90A54">
        <w:rPr>
          <w:rFonts w:ascii="Garamond" w:hAnsi="Garamond"/>
        </w:rPr>
        <w:t xml:space="preserve"> judgment has </w:t>
      </w:r>
      <w:r w:rsidR="00CC65AE" w:rsidRPr="00F90A54">
        <w:rPr>
          <w:rFonts w:ascii="Garamond" w:hAnsi="Garamond"/>
        </w:rPr>
        <w:t>no precedential effect</w:t>
      </w:r>
      <w:r w:rsidR="00372C9A" w:rsidRPr="00F90A54">
        <w:rPr>
          <w:rFonts w:ascii="Garamond" w:hAnsi="Garamond"/>
        </w:rPr>
        <w:t xml:space="preserve"> and</w:t>
      </w:r>
      <w:r w:rsidR="00CC65AE" w:rsidRPr="00F90A54">
        <w:rPr>
          <w:rFonts w:ascii="Garamond" w:hAnsi="Garamond"/>
        </w:rPr>
        <w:t xml:space="preserve"> no preclusive effect on </w:t>
      </w:r>
      <w:r w:rsidR="002F4E3F">
        <w:rPr>
          <w:rFonts w:ascii="Garamond" w:hAnsi="Garamond"/>
        </w:rPr>
        <w:t xml:space="preserve">nonparties. </w:t>
      </w:r>
      <w:r w:rsidR="00372C9A" w:rsidRPr="00F90A54">
        <w:rPr>
          <w:rFonts w:ascii="Garamond" w:hAnsi="Garamond"/>
        </w:rPr>
        <w:t xml:space="preserve">At the appellate level, </w:t>
      </w:r>
      <w:r w:rsidR="008E31E7" w:rsidRPr="00F90A54">
        <w:rPr>
          <w:rFonts w:ascii="Garamond" w:hAnsi="Garamond"/>
        </w:rPr>
        <w:t>a</w:t>
      </w:r>
      <w:r w:rsidR="00372C9A" w:rsidRPr="00F90A54">
        <w:rPr>
          <w:rFonts w:ascii="Garamond" w:hAnsi="Garamond"/>
        </w:rPr>
        <w:t xml:space="preserve"> case might set precedent that would foreclose or hamper similarly situated claimants</w:t>
      </w:r>
      <w:r w:rsidR="003623AB" w:rsidRPr="00F90A54">
        <w:rPr>
          <w:rFonts w:ascii="Garamond" w:hAnsi="Garamond"/>
        </w:rPr>
        <w:t xml:space="preserve">, but </w:t>
      </w:r>
      <w:r w:rsidR="008E31E7" w:rsidRPr="00F90A54">
        <w:rPr>
          <w:rFonts w:ascii="Garamond" w:hAnsi="Garamond"/>
        </w:rPr>
        <w:t xml:space="preserve">the </w:t>
      </w:r>
      <w:r w:rsidR="003623AB" w:rsidRPr="00F90A54">
        <w:rPr>
          <w:rFonts w:ascii="Garamond" w:hAnsi="Garamond"/>
        </w:rPr>
        <w:t>order</w:t>
      </w:r>
      <w:r w:rsidR="008E31E7" w:rsidRPr="00F90A54">
        <w:rPr>
          <w:rFonts w:ascii="Garamond" w:hAnsi="Garamond"/>
        </w:rPr>
        <w:t xml:space="preserve"> would </w:t>
      </w:r>
      <w:r w:rsidR="002F4E3F">
        <w:rPr>
          <w:rFonts w:ascii="Garamond" w:hAnsi="Garamond"/>
        </w:rPr>
        <w:t xml:space="preserve">bind </w:t>
      </w:r>
      <w:r w:rsidR="008E31E7" w:rsidRPr="00F90A54">
        <w:rPr>
          <w:rFonts w:ascii="Garamond" w:hAnsi="Garamond"/>
        </w:rPr>
        <w:t xml:space="preserve">only </w:t>
      </w:r>
      <w:r w:rsidR="003623AB" w:rsidRPr="00F90A54">
        <w:rPr>
          <w:rFonts w:ascii="Garamond" w:hAnsi="Garamond"/>
        </w:rPr>
        <w:t>the parties. By contrast, a nationwide</w:t>
      </w:r>
      <w:r w:rsidR="000B6073" w:rsidRPr="00F90A54">
        <w:rPr>
          <w:rFonts w:ascii="Garamond" w:hAnsi="Garamond"/>
        </w:rPr>
        <w:t xml:space="preserve"> </w:t>
      </w:r>
      <w:r w:rsidR="003623AB" w:rsidRPr="00F90A54">
        <w:rPr>
          <w:rFonts w:ascii="Garamond" w:hAnsi="Garamond"/>
        </w:rPr>
        <w:t>injunction</w:t>
      </w:r>
      <w:r w:rsidR="00A136D7" w:rsidRPr="00F90A54">
        <w:rPr>
          <w:rFonts w:ascii="Garamond" w:hAnsi="Garamond"/>
        </w:rPr>
        <w:t xml:space="preserve"> </w:t>
      </w:r>
      <w:r w:rsidR="003623AB" w:rsidRPr="00F90A54">
        <w:rPr>
          <w:rFonts w:ascii="Garamond" w:hAnsi="Garamond"/>
        </w:rPr>
        <w:t xml:space="preserve">applies to all </w:t>
      </w:r>
      <w:r w:rsidR="00AB7B55">
        <w:rPr>
          <w:rFonts w:ascii="Garamond" w:hAnsi="Garamond"/>
        </w:rPr>
        <w:t>who have</w:t>
      </w:r>
      <w:r w:rsidR="003623AB" w:rsidRPr="00F90A54">
        <w:rPr>
          <w:rFonts w:ascii="Garamond" w:hAnsi="Garamond"/>
        </w:rPr>
        <w:t xml:space="preserve"> a related interest to the </w:t>
      </w:r>
      <w:r w:rsidR="000B6073" w:rsidRPr="00F90A54">
        <w:rPr>
          <w:rFonts w:ascii="Garamond" w:hAnsi="Garamond"/>
        </w:rPr>
        <w:t xml:space="preserve">adjudicated </w:t>
      </w:r>
      <w:r w:rsidR="003623AB" w:rsidRPr="00F90A54">
        <w:rPr>
          <w:rFonts w:ascii="Garamond" w:hAnsi="Garamond"/>
        </w:rPr>
        <w:t>claim</w:t>
      </w:r>
      <w:r w:rsidR="00AB7B55">
        <w:rPr>
          <w:rFonts w:ascii="Garamond" w:hAnsi="Garamond"/>
        </w:rPr>
        <w:t xml:space="preserve"> because it bars the government from enforcing the policy against anyone. </w:t>
      </w:r>
    </w:p>
    <w:p w14:paraId="43846AB7" w14:textId="38C1E2BD" w:rsidR="00CC65AE" w:rsidRPr="00F90A54" w:rsidRDefault="00AB7B55" w:rsidP="00334F60">
      <w:pPr>
        <w:ind w:firstLine="360"/>
        <w:jc w:val="both"/>
        <w:rPr>
          <w:rFonts w:ascii="Garamond" w:hAnsi="Garamond"/>
        </w:rPr>
      </w:pPr>
      <w:r>
        <w:rPr>
          <w:rFonts w:ascii="Garamond" w:hAnsi="Garamond"/>
        </w:rPr>
        <w:t xml:space="preserve">That interest may be legal or practical. For instance, those who have standing to bring a similar </w:t>
      </w:r>
      <w:r w:rsidR="00334F60">
        <w:rPr>
          <w:rFonts w:ascii="Garamond" w:hAnsi="Garamond"/>
        </w:rPr>
        <w:t xml:space="preserve">legal </w:t>
      </w:r>
      <w:r w:rsidR="00A75FD7">
        <w:rPr>
          <w:rFonts w:ascii="Garamond" w:hAnsi="Garamond"/>
        </w:rPr>
        <w:t>claim</w:t>
      </w:r>
      <w:r w:rsidR="00334F60">
        <w:rPr>
          <w:rFonts w:ascii="Garamond" w:hAnsi="Garamond"/>
        </w:rPr>
        <w:t xml:space="preserve"> against the challenged policy may benefit by having their claim vindicated alongside the plaintiff’s. By contrast, an injunction barring the government from enforcing a policy may give rise to claims by other parties who used to benefit from the government’s enforcement and now suffer a legal injury. On the practical side, a nationwide injunction might affect to different degrees, for example: </w:t>
      </w:r>
      <w:r w:rsidR="00E2042A" w:rsidRPr="00F90A54">
        <w:rPr>
          <w:rFonts w:ascii="Garamond" w:hAnsi="Garamond"/>
        </w:rPr>
        <w:t xml:space="preserve">the advocates of the government policy, the policy’s opponents, </w:t>
      </w:r>
      <w:r w:rsidR="00334F60">
        <w:rPr>
          <w:rFonts w:ascii="Garamond" w:hAnsi="Garamond"/>
        </w:rPr>
        <w:t xml:space="preserve">individual beneficiaries of the regime, </w:t>
      </w:r>
      <w:r w:rsidR="00160CA9" w:rsidRPr="00F90A54">
        <w:rPr>
          <w:rFonts w:ascii="Garamond" w:hAnsi="Garamond"/>
        </w:rPr>
        <w:t xml:space="preserve">advocacy groups, experts, </w:t>
      </w:r>
      <w:r w:rsidR="00E2042A" w:rsidRPr="00F90A54">
        <w:rPr>
          <w:rFonts w:ascii="Garamond" w:hAnsi="Garamond"/>
        </w:rPr>
        <w:t xml:space="preserve">the federal </w:t>
      </w:r>
      <w:proofErr w:type="gramStart"/>
      <w:r w:rsidR="00E2042A" w:rsidRPr="00F90A54">
        <w:rPr>
          <w:rFonts w:ascii="Garamond" w:hAnsi="Garamond"/>
        </w:rPr>
        <w:t>agencies</w:t>
      </w:r>
      <w:proofErr w:type="gramEnd"/>
      <w:r w:rsidR="00E2042A" w:rsidRPr="00F90A54">
        <w:rPr>
          <w:rFonts w:ascii="Garamond" w:hAnsi="Garamond"/>
        </w:rPr>
        <w:t xml:space="preserve"> and officials </w:t>
      </w:r>
      <w:r w:rsidR="00E2042A" w:rsidRPr="00F90A54">
        <w:rPr>
          <w:rFonts w:ascii="Garamond" w:hAnsi="Garamond"/>
        </w:rPr>
        <w:lastRenderedPageBreak/>
        <w:t xml:space="preserve">responsible for </w:t>
      </w:r>
      <w:r w:rsidR="00334F60">
        <w:rPr>
          <w:rFonts w:ascii="Garamond" w:hAnsi="Garamond"/>
        </w:rPr>
        <w:t xml:space="preserve">adopting and enforcing </w:t>
      </w:r>
      <w:r w:rsidR="00E2042A" w:rsidRPr="00F90A54">
        <w:rPr>
          <w:rFonts w:ascii="Garamond" w:hAnsi="Garamond"/>
        </w:rPr>
        <w:t xml:space="preserve">the policy, </w:t>
      </w:r>
      <w:r w:rsidR="00160CA9" w:rsidRPr="00F90A54">
        <w:rPr>
          <w:rFonts w:ascii="Garamond" w:hAnsi="Garamond"/>
        </w:rPr>
        <w:t xml:space="preserve">and </w:t>
      </w:r>
      <w:r w:rsidR="00DE3492" w:rsidRPr="00F90A54">
        <w:rPr>
          <w:rFonts w:ascii="Garamond" w:hAnsi="Garamond"/>
        </w:rPr>
        <w:t xml:space="preserve">the </w:t>
      </w:r>
      <w:r w:rsidR="00BC7F79" w:rsidRPr="00F90A54">
        <w:rPr>
          <w:rFonts w:ascii="Garamond" w:hAnsi="Garamond"/>
        </w:rPr>
        <w:t>connected</w:t>
      </w:r>
      <w:r w:rsidR="00DE3492" w:rsidRPr="00F90A54">
        <w:rPr>
          <w:rFonts w:ascii="Garamond" w:hAnsi="Garamond"/>
        </w:rPr>
        <w:t xml:space="preserve"> state officials </w:t>
      </w:r>
      <w:r w:rsidR="00360EBB" w:rsidRPr="00F90A54">
        <w:rPr>
          <w:rFonts w:ascii="Garamond" w:hAnsi="Garamond"/>
        </w:rPr>
        <w:t xml:space="preserve">who help effectuate the policy’s </w:t>
      </w:r>
      <w:r w:rsidR="00334F60">
        <w:rPr>
          <w:rFonts w:ascii="Garamond" w:hAnsi="Garamond"/>
        </w:rPr>
        <w:t>enforcement</w:t>
      </w:r>
      <w:r w:rsidR="00160CA9" w:rsidRPr="00F90A54">
        <w:rPr>
          <w:rFonts w:ascii="Garamond" w:hAnsi="Garamond"/>
        </w:rPr>
        <w:t>.</w:t>
      </w:r>
    </w:p>
    <w:p w14:paraId="5F0B5D44" w14:textId="08B69002" w:rsidR="00BF2FFB" w:rsidRDefault="00C45062" w:rsidP="001F4A3F">
      <w:pPr>
        <w:ind w:firstLine="360"/>
        <w:jc w:val="both"/>
        <w:rPr>
          <w:rFonts w:ascii="Garamond" w:hAnsi="Garamond"/>
        </w:rPr>
      </w:pPr>
      <w:r w:rsidRPr="00F90A54">
        <w:rPr>
          <w:rFonts w:ascii="Garamond" w:hAnsi="Garamond"/>
        </w:rPr>
        <w:t xml:space="preserve">Second, </w:t>
      </w:r>
      <w:r w:rsidR="00432086" w:rsidRPr="00F90A54">
        <w:rPr>
          <w:rFonts w:ascii="Garamond" w:hAnsi="Garamond"/>
        </w:rPr>
        <w:t xml:space="preserve">nationwide-injunction cases </w:t>
      </w:r>
      <w:r w:rsidR="0055675B">
        <w:rPr>
          <w:rFonts w:ascii="Garamond" w:hAnsi="Garamond"/>
        </w:rPr>
        <w:t xml:space="preserve">involve </w:t>
      </w:r>
      <w:r w:rsidR="00444073" w:rsidRPr="00F90A54">
        <w:rPr>
          <w:rFonts w:ascii="Garamond" w:hAnsi="Garamond"/>
        </w:rPr>
        <w:t xml:space="preserve">headline-grabbing, divisive political disputes of national importance. </w:t>
      </w:r>
      <w:r w:rsidR="00BF2FFB">
        <w:rPr>
          <w:rFonts w:ascii="Garamond" w:hAnsi="Garamond"/>
        </w:rPr>
        <w:t xml:space="preserve">That attention, </w:t>
      </w:r>
      <w:r w:rsidR="00334F60">
        <w:rPr>
          <w:rFonts w:ascii="Garamond" w:hAnsi="Garamond"/>
        </w:rPr>
        <w:t xml:space="preserve">as </w:t>
      </w:r>
      <w:r w:rsidR="00BF2FFB">
        <w:rPr>
          <w:rFonts w:ascii="Garamond" w:hAnsi="Garamond"/>
        </w:rPr>
        <w:t xml:space="preserve">numerous courts and </w:t>
      </w:r>
      <w:r w:rsidR="00334F60">
        <w:rPr>
          <w:rFonts w:ascii="Garamond" w:hAnsi="Garamond"/>
        </w:rPr>
        <w:t xml:space="preserve">scholars have noted, </w:t>
      </w:r>
      <w:r w:rsidR="008E31E7" w:rsidRPr="00F90A54">
        <w:rPr>
          <w:rFonts w:ascii="Garamond" w:hAnsi="Garamond"/>
        </w:rPr>
        <w:t xml:space="preserve">can exacerbate perceptions </w:t>
      </w:r>
      <w:r w:rsidR="00334F60">
        <w:rPr>
          <w:rFonts w:ascii="Garamond" w:hAnsi="Garamond"/>
        </w:rPr>
        <w:t xml:space="preserve">that the judiciary is engaged in politics. </w:t>
      </w:r>
      <w:r w:rsidR="00287B08" w:rsidRPr="00F90A54">
        <w:rPr>
          <w:rFonts w:ascii="Garamond" w:hAnsi="Garamond"/>
        </w:rPr>
        <w:t>When judges are seen as exercising significant power over national policy, the judiciary itself appears more political</w:t>
      </w:r>
      <w:r w:rsidR="00B15E4D" w:rsidRPr="00F90A54">
        <w:rPr>
          <w:rFonts w:ascii="Garamond" w:hAnsi="Garamond"/>
        </w:rPr>
        <w:t>.</w:t>
      </w:r>
      <w:r w:rsidR="00B15E4D" w:rsidRPr="00F90A54">
        <w:rPr>
          <w:rStyle w:val="FootnoteReference"/>
          <w:rFonts w:ascii="Garamond" w:hAnsi="Garamond"/>
        </w:rPr>
        <w:footnoteReference w:id="166"/>
      </w:r>
      <w:r w:rsidR="00E7149F" w:rsidRPr="00F90A54">
        <w:rPr>
          <w:rFonts w:ascii="Garamond" w:hAnsi="Garamond"/>
        </w:rPr>
        <w:t xml:space="preserve"> </w:t>
      </w:r>
      <w:r w:rsidR="00A34456" w:rsidRPr="00F90A54">
        <w:rPr>
          <w:rFonts w:ascii="Garamond" w:hAnsi="Garamond"/>
        </w:rPr>
        <w:t>Forum-shopping exacerbate</w:t>
      </w:r>
      <w:r w:rsidR="00334F60">
        <w:rPr>
          <w:rFonts w:ascii="Garamond" w:hAnsi="Garamond"/>
        </w:rPr>
        <w:t>s</w:t>
      </w:r>
      <w:r w:rsidR="00A34456" w:rsidRPr="00F90A54">
        <w:rPr>
          <w:rFonts w:ascii="Garamond" w:hAnsi="Garamond"/>
        </w:rPr>
        <w:t xml:space="preserve"> this </w:t>
      </w:r>
      <w:r w:rsidR="0055675B">
        <w:rPr>
          <w:rFonts w:ascii="Garamond" w:hAnsi="Garamond"/>
        </w:rPr>
        <w:t>suspicion</w:t>
      </w:r>
      <w:r w:rsidR="00A34456" w:rsidRPr="00F90A54">
        <w:rPr>
          <w:rFonts w:ascii="Garamond" w:hAnsi="Garamond"/>
        </w:rPr>
        <w:t xml:space="preserve">. </w:t>
      </w:r>
      <w:r w:rsidR="008E31E7" w:rsidRPr="00F90A54">
        <w:rPr>
          <w:rFonts w:ascii="Garamond" w:hAnsi="Garamond"/>
        </w:rPr>
        <w:t xml:space="preserve">Parties file where they think a </w:t>
      </w:r>
      <w:r w:rsidR="00615E3D" w:rsidRPr="00F90A54">
        <w:rPr>
          <w:rFonts w:ascii="Garamond" w:hAnsi="Garamond"/>
        </w:rPr>
        <w:t>particular judge</w:t>
      </w:r>
      <w:r w:rsidR="008E31E7" w:rsidRPr="00F90A54">
        <w:rPr>
          <w:rFonts w:ascii="Garamond" w:hAnsi="Garamond"/>
        </w:rPr>
        <w:t xml:space="preserve"> or </w:t>
      </w:r>
      <w:r w:rsidR="00615E3D" w:rsidRPr="00F90A54">
        <w:rPr>
          <w:rFonts w:ascii="Garamond" w:hAnsi="Garamond"/>
        </w:rPr>
        <w:t xml:space="preserve">circuit </w:t>
      </w:r>
      <w:r w:rsidR="00E35DF7" w:rsidRPr="00F90A54">
        <w:rPr>
          <w:rFonts w:ascii="Garamond" w:hAnsi="Garamond"/>
        </w:rPr>
        <w:t>ha</w:t>
      </w:r>
      <w:r w:rsidR="008E31E7" w:rsidRPr="00F90A54">
        <w:rPr>
          <w:rFonts w:ascii="Garamond" w:hAnsi="Garamond"/>
        </w:rPr>
        <w:t xml:space="preserve">s </w:t>
      </w:r>
      <w:r w:rsidR="00E35DF7" w:rsidRPr="00F90A54">
        <w:rPr>
          <w:rFonts w:ascii="Garamond" w:hAnsi="Garamond"/>
        </w:rPr>
        <w:t>a</w:t>
      </w:r>
      <w:r w:rsidR="008E31E7" w:rsidRPr="00F90A54">
        <w:rPr>
          <w:rFonts w:ascii="Garamond" w:hAnsi="Garamond"/>
        </w:rPr>
        <w:t xml:space="preserve"> favorable</w:t>
      </w:r>
      <w:r w:rsidR="00E35DF7" w:rsidRPr="00F90A54">
        <w:rPr>
          <w:rFonts w:ascii="Garamond" w:hAnsi="Garamond"/>
        </w:rPr>
        <w:t xml:space="preserve"> ideological bent</w:t>
      </w:r>
      <w:r w:rsidR="00AC1723" w:rsidRPr="00F90A54">
        <w:rPr>
          <w:rFonts w:ascii="Garamond" w:hAnsi="Garamond"/>
        </w:rPr>
        <w:t xml:space="preserve">, so </w:t>
      </w:r>
      <w:r w:rsidR="008E31E7" w:rsidRPr="00F90A54">
        <w:rPr>
          <w:rFonts w:ascii="Garamond" w:hAnsi="Garamond"/>
        </w:rPr>
        <w:t xml:space="preserve">when those courts </w:t>
      </w:r>
      <w:r w:rsidR="00BF2FFB">
        <w:rPr>
          <w:rFonts w:ascii="Garamond" w:hAnsi="Garamond"/>
        </w:rPr>
        <w:t>issue the predicted injunction</w:t>
      </w:r>
      <w:r w:rsidR="008E31E7" w:rsidRPr="00F90A54">
        <w:rPr>
          <w:rFonts w:ascii="Garamond" w:hAnsi="Garamond"/>
        </w:rPr>
        <w:t>, those courts appear to confirm their ideological reputation.</w:t>
      </w:r>
      <w:r w:rsidR="00E35DF7" w:rsidRPr="00F90A54">
        <w:rPr>
          <w:rStyle w:val="FootnoteReference"/>
          <w:rFonts w:ascii="Garamond" w:hAnsi="Garamond"/>
        </w:rPr>
        <w:footnoteReference w:id="167"/>
      </w:r>
      <w:r w:rsidR="00E35DF7" w:rsidRPr="00F90A54">
        <w:rPr>
          <w:rFonts w:ascii="Garamond" w:hAnsi="Garamond"/>
        </w:rPr>
        <w:t xml:space="preserve"> </w:t>
      </w:r>
    </w:p>
    <w:p w14:paraId="150EDF4B" w14:textId="272A3656" w:rsidR="0010482B" w:rsidRDefault="00BF2FFB" w:rsidP="008A5DC5">
      <w:pPr>
        <w:ind w:firstLine="360"/>
        <w:jc w:val="both"/>
        <w:rPr>
          <w:rFonts w:ascii="Garamond" w:hAnsi="Garamond"/>
        </w:rPr>
      </w:pPr>
      <w:r>
        <w:rPr>
          <w:rFonts w:ascii="Garamond" w:hAnsi="Garamond"/>
        </w:rPr>
        <w:t>Of course, not all nationwide</w:t>
      </w:r>
      <w:r w:rsidR="006E4EAA">
        <w:rPr>
          <w:rFonts w:ascii="Garamond" w:hAnsi="Garamond"/>
        </w:rPr>
        <w:t xml:space="preserve"> </w:t>
      </w:r>
      <w:r>
        <w:rPr>
          <w:rFonts w:ascii="Garamond" w:hAnsi="Garamond"/>
        </w:rPr>
        <w:t>injunction</w:t>
      </w:r>
      <w:r w:rsidR="006E4EAA">
        <w:rPr>
          <w:rFonts w:ascii="Garamond" w:hAnsi="Garamond"/>
        </w:rPr>
        <w:t>s</w:t>
      </w:r>
      <w:r>
        <w:rPr>
          <w:rFonts w:ascii="Garamond" w:hAnsi="Garamond"/>
        </w:rPr>
        <w:t xml:space="preserve"> concern highly salient issues. </w:t>
      </w:r>
      <w:r w:rsidR="004F2601">
        <w:rPr>
          <w:rFonts w:ascii="Garamond" w:hAnsi="Garamond"/>
        </w:rPr>
        <w:t>Some cases involve technical or narrow exercises of government power. So e</w:t>
      </w:r>
      <w:r w:rsidR="00A355C7">
        <w:rPr>
          <w:rFonts w:ascii="Garamond" w:hAnsi="Garamond"/>
        </w:rPr>
        <w:t>ven when a</w:t>
      </w:r>
      <w:r w:rsidR="00B0695C">
        <w:rPr>
          <w:rFonts w:ascii="Garamond" w:hAnsi="Garamond"/>
        </w:rPr>
        <w:t xml:space="preserve"> court enjoins </w:t>
      </w:r>
      <w:r w:rsidR="00A355C7">
        <w:rPr>
          <w:rFonts w:ascii="Garamond" w:hAnsi="Garamond"/>
        </w:rPr>
        <w:t>the government from enforcing a policy</w:t>
      </w:r>
      <w:r w:rsidR="008A5DC5">
        <w:rPr>
          <w:rFonts w:ascii="Garamond" w:hAnsi="Garamond"/>
        </w:rPr>
        <w:t>,</w:t>
      </w:r>
      <w:r w:rsidR="00A355C7">
        <w:rPr>
          <w:rFonts w:ascii="Garamond" w:hAnsi="Garamond"/>
        </w:rPr>
        <w:t xml:space="preserve"> there may be few who were captured by that regulation in the first place. </w:t>
      </w:r>
      <w:r w:rsidR="008A5DC5">
        <w:rPr>
          <w:rFonts w:ascii="Garamond" w:hAnsi="Garamond"/>
        </w:rPr>
        <w:t xml:space="preserve">But other types of litigation are unlikely to involve </w:t>
      </w:r>
      <w:r w:rsidR="006E4EAA">
        <w:rPr>
          <w:rFonts w:ascii="Garamond" w:hAnsi="Garamond"/>
        </w:rPr>
        <w:t>the same social and political dimensions</w:t>
      </w:r>
      <w:r w:rsidR="008A5DC5">
        <w:rPr>
          <w:rFonts w:ascii="Garamond" w:hAnsi="Garamond"/>
        </w:rPr>
        <w:t xml:space="preserve">—and thus raise </w:t>
      </w:r>
      <w:r w:rsidR="006E4EAA">
        <w:rPr>
          <w:rFonts w:ascii="Garamond" w:hAnsi="Garamond"/>
        </w:rPr>
        <w:t xml:space="preserve">the same </w:t>
      </w:r>
      <w:r w:rsidR="008A5DC5">
        <w:rPr>
          <w:rFonts w:ascii="Garamond" w:hAnsi="Garamond"/>
        </w:rPr>
        <w:t>questions about the judiciary’s neutrality—</w:t>
      </w:r>
      <w:r w:rsidR="0010482B">
        <w:rPr>
          <w:rFonts w:ascii="Garamond" w:hAnsi="Garamond"/>
        </w:rPr>
        <w:t>as those brought to change federal policy</w:t>
      </w:r>
      <w:r w:rsidR="004F2601">
        <w:rPr>
          <w:rFonts w:ascii="Garamond" w:hAnsi="Garamond"/>
        </w:rPr>
        <w:t>.</w:t>
      </w:r>
    </w:p>
    <w:p w14:paraId="0E08E05C" w14:textId="2C369FCD" w:rsidR="00566B04" w:rsidRDefault="00566B04" w:rsidP="00566B04">
      <w:pPr>
        <w:ind w:firstLine="360"/>
        <w:jc w:val="both"/>
        <w:rPr>
          <w:rFonts w:ascii="Garamond" w:hAnsi="Garamond"/>
        </w:rPr>
      </w:pPr>
      <w:r>
        <w:rPr>
          <w:rFonts w:ascii="Garamond" w:hAnsi="Garamond"/>
        </w:rPr>
        <w:t>Finally</w:t>
      </w:r>
      <w:r w:rsidR="000802A2" w:rsidRPr="00F90A54">
        <w:rPr>
          <w:rFonts w:ascii="Garamond" w:hAnsi="Garamond"/>
        </w:rPr>
        <w:t xml:space="preserve">, </w:t>
      </w:r>
      <w:r w:rsidR="00553767" w:rsidRPr="00F90A54">
        <w:rPr>
          <w:rFonts w:ascii="Garamond" w:hAnsi="Garamond"/>
        </w:rPr>
        <w:t>nationwide injunction</w:t>
      </w:r>
      <w:r>
        <w:rPr>
          <w:rFonts w:ascii="Garamond" w:hAnsi="Garamond"/>
        </w:rPr>
        <w:t>s</w:t>
      </w:r>
      <w:r w:rsidR="00553767" w:rsidRPr="00F90A54">
        <w:rPr>
          <w:rFonts w:ascii="Garamond" w:hAnsi="Garamond"/>
        </w:rPr>
        <w:t xml:space="preserve"> can prevent other avenues for participation. </w:t>
      </w:r>
      <w:r w:rsidR="006E0BAD" w:rsidRPr="00F90A54">
        <w:rPr>
          <w:rFonts w:ascii="Garamond" w:hAnsi="Garamond"/>
        </w:rPr>
        <w:t xml:space="preserve">One way is by foreclosing litigation by other </w:t>
      </w:r>
      <w:r>
        <w:rPr>
          <w:rFonts w:ascii="Garamond" w:hAnsi="Garamond"/>
        </w:rPr>
        <w:t>plaintiffs. Once one injunction prevents the government from enforcing the policy, litigants are unlikely to pursue duplicative injunctions in separate fora.</w:t>
      </w:r>
      <w:r w:rsidR="008A5F71" w:rsidRPr="00F90A54">
        <w:rPr>
          <w:rStyle w:val="FootnoteReference"/>
          <w:rFonts w:ascii="Garamond" w:hAnsi="Garamond"/>
        </w:rPr>
        <w:footnoteReference w:id="168"/>
      </w:r>
      <w:r w:rsidR="00FD75B5" w:rsidRPr="00F90A54">
        <w:rPr>
          <w:rFonts w:ascii="Garamond" w:hAnsi="Garamond"/>
        </w:rPr>
        <w:t xml:space="preserve"> </w:t>
      </w:r>
      <w:r>
        <w:rPr>
          <w:rFonts w:ascii="Garamond" w:hAnsi="Garamond"/>
        </w:rPr>
        <w:t>Similarly, because nationwide injunction incentivize forum shopping, many cases will be brought in the jurisdictions with well-known ideological leanings. That prevents the thoughtful deliberation and participation by judges in other jurisdictions.</w:t>
      </w:r>
      <w:r w:rsidR="00056303">
        <w:rPr>
          <w:rStyle w:val="FootnoteReference"/>
          <w:rFonts w:ascii="Garamond" w:hAnsi="Garamond"/>
        </w:rPr>
        <w:t xml:space="preserve"> </w:t>
      </w:r>
    </w:p>
    <w:p w14:paraId="51E3E1AB" w14:textId="703434CD" w:rsidR="00F528EA" w:rsidRPr="00F90A54" w:rsidRDefault="006049C7" w:rsidP="001F4A3F">
      <w:pPr>
        <w:ind w:firstLine="360"/>
        <w:jc w:val="both"/>
        <w:rPr>
          <w:rFonts w:ascii="Garamond" w:hAnsi="Garamond"/>
        </w:rPr>
      </w:pPr>
      <w:r w:rsidRPr="00F90A54">
        <w:rPr>
          <w:rFonts w:ascii="Garamond" w:hAnsi="Garamond"/>
        </w:rPr>
        <w:t xml:space="preserve">Another way nationwide injunctions hamper participation is by short-circuiting the political process. </w:t>
      </w:r>
      <w:r w:rsidR="00C93832" w:rsidRPr="00F90A54">
        <w:rPr>
          <w:rFonts w:ascii="Garamond" w:hAnsi="Garamond"/>
        </w:rPr>
        <w:t xml:space="preserve">The democratic </w:t>
      </w:r>
      <w:r w:rsidR="00056303">
        <w:rPr>
          <w:rFonts w:ascii="Garamond" w:hAnsi="Garamond"/>
        </w:rPr>
        <w:t>branches</w:t>
      </w:r>
      <w:r w:rsidR="00C93832" w:rsidRPr="00F90A54">
        <w:rPr>
          <w:rFonts w:ascii="Garamond" w:hAnsi="Garamond"/>
        </w:rPr>
        <w:t xml:space="preserve"> </w:t>
      </w:r>
      <w:r w:rsidR="00056303">
        <w:rPr>
          <w:rFonts w:ascii="Garamond" w:hAnsi="Garamond"/>
        </w:rPr>
        <w:t xml:space="preserve">are the preferred </w:t>
      </w:r>
      <w:r w:rsidR="00C93832" w:rsidRPr="00F90A54">
        <w:rPr>
          <w:rFonts w:ascii="Garamond" w:hAnsi="Garamond"/>
        </w:rPr>
        <w:t xml:space="preserve">venue for </w:t>
      </w:r>
      <w:r w:rsidR="00EA127F">
        <w:rPr>
          <w:rFonts w:ascii="Garamond" w:hAnsi="Garamond"/>
        </w:rPr>
        <w:t xml:space="preserve">making national </w:t>
      </w:r>
      <w:r w:rsidR="00C93832" w:rsidRPr="00F90A54">
        <w:rPr>
          <w:rFonts w:ascii="Garamond" w:hAnsi="Garamond"/>
        </w:rPr>
        <w:t xml:space="preserve">policy. Judges respect this principle by declining to adjudicate generalized </w:t>
      </w:r>
      <w:r w:rsidR="00CB44E8" w:rsidRPr="00F90A54">
        <w:rPr>
          <w:rFonts w:ascii="Garamond" w:hAnsi="Garamond"/>
        </w:rPr>
        <w:t xml:space="preserve">social and political </w:t>
      </w:r>
      <w:r w:rsidR="00C93832" w:rsidRPr="00F90A54">
        <w:rPr>
          <w:rFonts w:ascii="Garamond" w:hAnsi="Garamond"/>
        </w:rPr>
        <w:t xml:space="preserve">grievances. </w:t>
      </w:r>
      <w:r w:rsidR="000D7184" w:rsidRPr="00F90A54">
        <w:rPr>
          <w:rFonts w:ascii="Garamond" w:hAnsi="Garamond"/>
        </w:rPr>
        <w:t xml:space="preserve">But when a court enjoins a federal policy, it </w:t>
      </w:r>
      <w:r w:rsidR="00C93832" w:rsidRPr="00F90A54">
        <w:rPr>
          <w:rFonts w:ascii="Garamond" w:hAnsi="Garamond"/>
        </w:rPr>
        <w:t>cuts off that</w:t>
      </w:r>
      <w:r w:rsidR="00A71890" w:rsidRPr="00F90A54">
        <w:rPr>
          <w:rFonts w:ascii="Garamond" w:hAnsi="Garamond"/>
        </w:rPr>
        <w:t xml:space="preserve"> </w:t>
      </w:r>
      <w:r w:rsidR="006A53CB" w:rsidRPr="00F90A54">
        <w:rPr>
          <w:rFonts w:ascii="Garamond" w:hAnsi="Garamond"/>
        </w:rPr>
        <w:t xml:space="preserve">public </w:t>
      </w:r>
      <w:r w:rsidR="00EA127F">
        <w:rPr>
          <w:rFonts w:ascii="Garamond" w:hAnsi="Garamond"/>
        </w:rPr>
        <w:t>debate</w:t>
      </w:r>
      <w:r w:rsidR="00EF5563" w:rsidRPr="00F90A54">
        <w:rPr>
          <w:rFonts w:ascii="Garamond" w:hAnsi="Garamond"/>
        </w:rPr>
        <w:t>.</w:t>
      </w:r>
      <w:r w:rsidR="007A4342" w:rsidRPr="00F90A54">
        <w:rPr>
          <w:rStyle w:val="FootnoteReference"/>
          <w:rFonts w:ascii="Garamond" w:hAnsi="Garamond"/>
        </w:rPr>
        <w:footnoteReference w:id="169"/>
      </w:r>
      <w:r w:rsidR="007C1DC5" w:rsidRPr="00F90A54">
        <w:rPr>
          <w:rFonts w:ascii="Garamond" w:hAnsi="Garamond"/>
        </w:rPr>
        <w:t xml:space="preserve"> </w:t>
      </w:r>
      <w:r w:rsidR="00A85A51" w:rsidRPr="00F90A54">
        <w:rPr>
          <w:rFonts w:ascii="Garamond" w:hAnsi="Garamond"/>
        </w:rPr>
        <w:t xml:space="preserve">Nationwide injunctions therefore risk </w:t>
      </w:r>
      <w:r w:rsidR="00BB04D8" w:rsidRPr="00F90A54">
        <w:rPr>
          <w:rFonts w:ascii="Garamond" w:hAnsi="Garamond"/>
        </w:rPr>
        <w:t>undercut</w:t>
      </w:r>
      <w:r w:rsidR="00A85A51" w:rsidRPr="00F90A54">
        <w:rPr>
          <w:rFonts w:ascii="Garamond" w:hAnsi="Garamond"/>
        </w:rPr>
        <w:t>ting</w:t>
      </w:r>
      <w:r w:rsidR="00BB04D8" w:rsidRPr="00F90A54">
        <w:rPr>
          <w:rFonts w:ascii="Garamond" w:hAnsi="Garamond"/>
        </w:rPr>
        <w:t xml:space="preserve"> principles of self-governance</w:t>
      </w:r>
      <w:r w:rsidR="00CE0390" w:rsidRPr="00F90A54">
        <w:rPr>
          <w:rFonts w:ascii="Garamond" w:hAnsi="Garamond"/>
        </w:rPr>
        <w:t xml:space="preserve">, as members of the community have fewer opportunities to </w:t>
      </w:r>
      <w:r w:rsidR="00C075D0" w:rsidRPr="00F90A54">
        <w:rPr>
          <w:rFonts w:ascii="Garamond" w:hAnsi="Garamond"/>
        </w:rPr>
        <w:t xml:space="preserve">participate in defining their societal rights and obligations. </w:t>
      </w:r>
    </w:p>
    <w:p w14:paraId="39001401" w14:textId="7F255529" w:rsidR="00CC65AE" w:rsidRPr="00F90A54" w:rsidRDefault="007F7E34" w:rsidP="001F4A3F">
      <w:pPr>
        <w:ind w:firstLine="360"/>
        <w:jc w:val="both"/>
        <w:rPr>
          <w:rFonts w:ascii="Garamond" w:hAnsi="Garamond"/>
        </w:rPr>
      </w:pPr>
      <w:r w:rsidRPr="00F90A54">
        <w:rPr>
          <w:rFonts w:ascii="Garamond" w:hAnsi="Garamond"/>
        </w:rPr>
        <w:t xml:space="preserve">These features </w:t>
      </w:r>
      <w:r w:rsidR="00EA127F">
        <w:rPr>
          <w:rFonts w:ascii="Garamond" w:hAnsi="Garamond"/>
        </w:rPr>
        <w:t xml:space="preserve">emphasize the importance of the procedural architecture governing how nationwide injunctions are litigated. Procedural rules </w:t>
      </w:r>
      <w:r w:rsidR="006F401D" w:rsidRPr="00F90A54">
        <w:rPr>
          <w:rFonts w:ascii="Garamond" w:hAnsi="Garamond"/>
        </w:rPr>
        <w:t xml:space="preserve">can </w:t>
      </w:r>
      <w:r w:rsidR="00E02073" w:rsidRPr="00F90A54">
        <w:rPr>
          <w:rFonts w:ascii="Garamond" w:hAnsi="Garamond"/>
        </w:rPr>
        <w:t xml:space="preserve">increase opportunities for </w:t>
      </w:r>
      <w:r w:rsidR="00115698" w:rsidRPr="00F90A54">
        <w:rPr>
          <w:rFonts w:ascii="Garamond" w:hAnsi="Garamond"/>
        </w:rPr>
        <w:t xml:space="preserve">nonparties to participate, </w:t>
      </w:r>
      <w:r w:rsidR="00521FBE" w:rsidRPr="00F90A54">
        <w:rPr>
          <w:rFonts w:ascii="Garamond" w:hAnsi="Garamond"/>
        </w:rPr>
        <w:t xml:space="preserve">protecting interested outsiders and </w:t>
      </w:r>
      <w:r w:rsidR="006F401D" w:rsidRPr="00F90A54">
        <w:rPr>
          <w:rFonts w:ascii="Garamond" w:hAnsi="Garamond"/>
        </w:rPr>
        <w:t>offset</w:t>
      </w:r>
      <w:r w:rsidR="00521FBE" w:rsidRPr="00F90A54">
        <w:rPr>
          <w:rFonts w:ascii="Garamond" w:hAnsi="Garamond"/>
        </w:rPr>
        <w:t>ting</w:t>
      </w:r>
      <w:r w:rsidR="006F401D" w:rsidRPr="00F90A54">
        <w:rPr>
          <w:rFonts w:ascii="Garamond" w:hAnsi="Garamond"/>
        </w:rPr>
        <w:t xml:space="preserve"> </w:t>
      </w:r>
      <w:r w:rsidR="007E2C3E" w:rsidRPr="00F90A54">
        <w:rPr>
          <w:rFonts w:ascii="Garamond" w:hAnsi="Garamond"/>
        </w:rPr>
        <w:t xml:space="preserve">democratic participation costs. </w:t>
      </w:r>
      <w:r w:rsidR="002F3174" w:rsidRPr="00F90A54">
        <w:rPr>
          <w:rFonts w:ascii="Garamond" w:hAnsi="Garamond"/>
        </w:rPr>
        <w:t xml:space="preserve">It can also alleviate skepticism about judicial competency by </w:t>
      </w:r>
      <w:r w:rsidR="002F3174" w:rsidRPr="00F90A54">
        <w:rPr>
          <w:rFonts w:ascii="Garamond" w:hAnsi="Garamond"/>
        </w:rPr>
        <w:lastRenderedPageBreak/>
        <w:t>providing courts with increased access to information</w:t>
      </w:r>
      <w:r w:rsidR="001D3193" w:rsidRPr="00F90A54">
        <w:rPr>
          <w:rFonts w:ascii="Garamond" w:hAnsi="Garamond"/>
        </w:rPr>
        <w:t xml:space="preserve"> and </w:t>
      </w:r>
      <w:r w:rsidR="00EA127F">
        <w:rPr>
          <w:rFonts w:ascii="Garamond" w:hAnsi="Garamond"/>
        </w:rPr>
        <w:t>avenues</w:t>
      </w:r>
      <w:r w:rsidR="001D3193" w:rsidRPr="00F90A54">
        <w:rPr>
          <w:rFonts w:ascii="Garamond" w:hAnsi="Garamond"/>
        </w:rPr>
        <w:t xml:space="preserve"> to avoid politicized outcomes</w:t>
      </w:r>
      <w:r w:rsidR="00FA7DBC" w:rsidRPr="00F90A54">
        <w:rPr>
          <w:rFonts w:ascii="Garamond" w:hAnsi="Garamond"/>
        </w:rPr>
        <w:t xml:space="preserve">. </w:t>
      </w:r>
      <w:r w:rsidR="00EF4C94" w:rsidRPr="00F90A54">
        <w:rPr>
          <w:rFonts w:ascii="Garamond" w:hAnsi="Garamond"/>
        </w:rPr>
        <w:t xml:space="preserve">But to structure the system to best protect those values, it is critical to first know how the system is </w:t>
      </w:r>
      <w:r w:rsidR="001D027F" w:rsidRPr="00F90A54">
        <w:rPr>
          <w:rFonts w:ascii="Garamond" w:hAnsi="Garamond"/>
        </w:rPr>
        <w:t xml:space="preserve">working. </w:t>
      </w:r>
    </w:p>
    <w:p w14:paraId="2C218823" w14:textId="77777777" w:rsidR="007F7E34" w:rsidRPr="00F90A54" w:rsidRDefault="007F7E34" w:rsidP="006B12DB">
      <w:pPr>
        <w:ind w:firstLine="360"/>
        <w:rPr>
          <w:rFonts w:ascii="Garamond" w:hAnsi="Garamond"/>
        </w:rPr>
      </w:pPr>
    </w:p>
    <w:p w14:paraId="0BA84F2D" w14:textId="77777777" w:rsidR="001321A9" w:rsidRPr="00F90A54" w:rsidRDefault="001321A9" w:rsidP="00D9403B">
      <w:pPr>
        <w:pStyle w:val="Heading1"/>
        <w:keepNext/>
      </w:pPr>
      <w:bookmarkStart w:id="13" w:name="_Toc143336555"/>
      <w:r w:rsidRPr="00F90A54">
        <w:t>Intervention in Nationwide-Injunction Cases</w:t>
      </w:r>
      <w:bookmarkEnd w:id="13"/>
    </w:p>
    <w:p w14:paraId="52F236CE" w14:textId="77777777" w:rsidR="001321A9" w:rsidRPr="00F90A54" w:rsidRDefault="001321A9" w:rsidP="00D9403B">
      <w:pPr>
        <w:keepNext/>
        <w:ind w:left="360"/>
        <w:rPr>
          <w:rFonts w:ascii="Garamond" w:hAnsi="Garamond"/>
          <w:iCs/>
        </w:rPr>
      </w:pPr>
    </w:p>
    <w:p w14:paraId="312D654A" w14:textId="49E5943F" w:rsidR="001321A9" w:rsidRPr="00F90A54" w:rsidRDefault="00824E5D" w:rsidP="001F4A3F">
      <w:pPr>
        <w:ind w:firstLine="360"/>
        <w:jc w:val="both"/>
        <w:rPr>
          <w:rFonts w:ascii="Garamond" w:hAnsi="Garamond"/>
        </w:rPr>
      </w:pPr>
      <w:r>
        <w:rPr>
          <w:rFonts w:ascii="Garamond" w:hAnsi="Garamond"/>
        </w:rPr>
        <w:t xml:space="preserve">This </w:t>
      </w:r>
      <w:r w:rsidR="001321A9" w:rsidRPr="00F90A54">
        <w:rPr>
          <w:rFonts w:ascii="Garamond" w:hAnsi="Garamond"/>
        </w:rPr>
        <w:t xml:space="preserve">section </w:t>
      </w:r>
      <w:r>
        <w:rPr>
          <w:rFonts w:ascii="Garamond" w:hAnsi="Garamond"/>
        </w:rPr>
        <w:t>d</w:t>
      </w:r>
      <w:r w:rsidR="001321A9" w:rsidRPr="00F90A54">
        <w:rPr>
          <w:rFonts w:ascii="Garamond" w:hAnsi="Garamond"/>
        </w:rPr>
        <w:t xml:space="preserve">ocuments </w:t>
      </w:r>
      <w:r>
        <w:rPr>
          <w:rFonts w:ascii="Garamond" w:hAnsi="Garamond"/>
        </w:rPr>
        <w:t>the</w:t>
      </w:r>
      <w:r w:rsidR="001321A9" w:rsidRPr="00F90A54">
        <w:rPr>
          <w:rFonts w:ascii="Garamond" w:hAnsi="Garamond"/>
        </w:rPr>
        <w:t xml:space="preserve"> widespread</w:t>
      </w:r>
      <w:r>
        <w:rPr>
          <w:rFonts w:ascii="Garamond" w:hAnsi="Garamond"/>
        </w:rPr>
        <w:t xml:space="preserve"> but previously unrecognized</w:t>
      </w:r>
      <w:r w:rsidR="001321A9" w:rsidRPr="00F90A54">
        <w:rPr>
          <w:rFonts w:ascii="Garamond" w:hAnsi="Garamond"/>
        </w:rPr>
        <w:t xml:space="preserve"> </w:t>
      </w:r>
      <w:r>
        <w:rPr>
          <w:rFonts w:ascii="Garamond" w:hAnsi="Garamond"/>
        </w:rPr>
        <w:t xml:space="preserve">phenomena of outsiders seeking or gaining </w:t>
      </w:r>
      <w:r w:rsidR="001321A9" w:rsidRPr="00F90A54">
        <w:rPr>
          <w:rFonts w:ascii="Garamond" w:hAnsi="Garamond"/>
        </w:rPr>
        <w:t>party status to influence the results of high-profile</w:t>
      </w:r>
      <w:r w:rsidR="007843B5">
        <w:rPr>
          <w:rFonts w:ascii="Garamond" w:hAnsi="Garamond"/>
        </w:rPr>
        <w:t>,</w:t>
      </w:r>
      <w:r w:rsidR="001321A9" w:rsidRPr="00F90A54">
        <w:rPr>
          <w:rFonts w:ascii="Garamond" w:hAnsi="Garamond"/>
        </w:rPr>
        <w:t xml:space="preserve"> politically charged cases. Analyzing the</w:t>
      </w:r>
      <w:r>
        <w:rPr>
          <w:rFonts w:ascii="Garamond" w:hAnsi="Garamond"/>
        </w:rPr>
        <w:t xml:space="preserve"> granular details of how these cases have been litigated reveals that </w:t>
      </w:r>
      <w:r w:rsidR="001321A9" w:rsidRPr="00F90A54">
        <w:rPr>
          <w:rFonts w:ascii="Garamond" w:hAnsi="Garamond"/>
        </w:rPr>
        <w:t xml:space="preserve">intervenors play </w:t>
      </w:r>
      <w:r>
        <w:rPr>
          <w:rFonts w:ascii="Garamond" w:hAnsi="Garamond"/>
        </w:rPr>
        <w:t xml:space="preserve">an assortment of </w:t>
      </w:r>
      <w:r w:rsidR="001321A9" w:rsidRPr="00F90A54">
        <w:rPr>
          <w:rFonts w:ascii="Garamond" w:hAnsi="Garamond"/>
        </w:rPr>
        <w:t>roles once they become parties. Some of those functions—in particular, prevent</w:t>
      </w:r>
      <w:r w:rsidR="007843B5">
        <w:rPr>
          <w:rFonts w:ascii="Garamond" w:hAnsi="Garamond"/>
        </w:rPr>
        <w:t>ing</w:t>
      </w:r>
      <w:r w:rsidR="001321A9" w:rsidRPr="00F90A54">
        <w:rPr>
          <w:rFonts w:ascii="Garamond" w:hAnsi="Garamond"/>
        </w:rPr>
        <w:t xml:space="preserve"> settlement or guarantee</w:t>
      </w:r>
      <w:r w:rsidR="007843B5">
        <w:rPr>
          <w:rFonts w:ascii="Garamond" w:hAnsi="Garamond"/>
        </w:rPr>
        <w:t>ing</w:t>
      </w:r>
      <w:r w:rsidR="001321A9" w:rsidRPr="00F90A54">
        <w:rPr>
          <w:rFonts w:ascii="Garamond" w:hAnsi="Garamond"/>
        </w:rPr>
        <w:t xml:space="preserve"> an appeal of an adverse decision—</w:t>
      </w:r>
      <w:r>
        <w:rPr>
          <w:rFonts w:ascii="Garamond" w:hAnsi="Garamond"/>
        </w:rPr>
        <w:t xml:space="preserve">produce </w:t>
      </w:r>
      <w:r w:rsidR="007843B5">
        <w:rPr>
          <w:rFonts w:ascii="Garamond" w:hAnsi="Garamond"/>
        </w:rPr>
        <w:t>concerning</w:t>
      </w:r>
      <w:r w:rsidR="001321A9" w:rsidRPr="00F90A54">
        <w:rPr>
          <w:rFonts w:ascii="Garamond" w:hAnsi="Garamond"/>
        </w:rPr>
        <w:t xml:space="preserve"> normative </w:t>
      </w:r>
      <w:r>
        <w:rPr>
          <w:rFonts w:ascii="Garamond" w:hAnsi="Garamond"/>
        </w:rPr>
        <w:t>effects</w:t>
      </w:r>
      <w:r w:rsidR="001321A9" w:rsidRPr="00F90A54">
        <w:rPr>
          <w:rFonts w:ascii="Garamond" w:hAnsi="Garamond"/>
        </w:rPr>
        <w:t xml:space="preserve">. In turn, examining how courts have </w:t>
      </w:r>
      <w:r w:rsidR="007843B5">
        <w:rPr>
          <w:rFonts w:ascii="Garamond" w:hAnsi="Garamond"/>
        </w:rPr>
        <w:t>resolved</w:t>
      </w:r>
      <w:r w:rsidR="001321A9" w:rsidRPr="00F90A54">
        <w:rPr>
          <w:rFonts w:ascii="Garamond" w:hAnsi="Garamond"/>
        </w:rPr>
        <w:t xml:space="preserve"> these motions reveals that courts exercise unpredictable discretion that undermines the values of Rule 24 and exacerbates institutional fault lines. Th</w:t>
      </w:r>
      <w:r w:rsidR="007843B5">
        <w:rPr>
          <w:rFonts w:ascii="Garamond" w:hAnsi="Garamond"/>
        </w:rPr>
        <w:t>o</w:t>
      </w:r>
      <w:r w:rsidR="001321A9" w:rsidRPr="00F90A54">
        <w:rPr>
          <w:rFonts w:ascii="Garamond" w:hAnsi="Garamond"/>
        </w:rPr>
        <w:t xml:space="preserve">se concerns are discussed in Part III. </w:t>
      </w:r>
    </w:p>
    <w:p w14:paraId="3593834D" w14:textId="77777777" w:rsidR="001321A9" w:rsidRPr="00F90A54" w:rsidRDefault="001321A9" w:rsidP="001321A9">
      <w:pPr>
        <w:ind w:firstLine="360"/>
        <w:rPr>
          <w:rFonts w:ascii="Garamond" w:hAnsi="Garamond"/>
        </w:rPr>
      </w:pPr>
    </w:p>
    <w:p w14:paraId="7720FC62" w14:textId="6F3EB365" w:rsidR="001321A9" w:rsidRPr="00F90A54" w:rsidRDefault="00F74225" w:rsidP="00D9403B">
      <w:pPr>
        <w:pStyle w:val="Heading2"/>
        <w:keepNext/>
      </w:pPr>
      <w:bookmarkStart w:id="14" w:name="_Toc143336556"/>
      <w:r>
        <w:t>The Dataset</w:t>
      </w:r>
      <w:r w:rsidR="00143F39">
        <w:t xml:space="preserve">: </w:t>
      </w:r>
      <w:r w:rsidR="000629E4">
        <w:t>Methodology</w:t>
      </w:r>
      <w:r w:rsidR="00143F39">
        <w:t xml:space="preserve"> and Results</w:t>
      </w:r>
      <w:bookmarkEnd w:id="14"/>
    </w:p>
    <w:p w14:paraId="477F2C85" w14:textId="77777777" w:rsidR="001321A9" w:rsidRPr="00F90A54" w:rsidRDefault="001321A9" w:rsidP="00D9403B">
      <w:pPr>
        <w:keepNext/>
        <w:rPr>
          <w:rFonts w:ascii="Garamond" w:hAnsi="Garamond"/>
          <w:i/>
          <w:iCs/>
        </w:rPr>
      </w:pPr>
    </w:p>
    <w:p w14:paraId="74DBB9F6" w14:textId="04047144" w:rsidR="001321A9" w:rsidRPr="00F90A54" w:rsidRDefault="001321A9" w:rsidP="001F4A3F">
      <w:pPr>
        <w:ind w:firstLine="360"/>
        <w:jc w:val="both"/>
        <w:rPr>
          <w:rFonts w:ascii="Garamond" w:hAnsi="Garamond"/>
        </w:rPr>
      </w:pPr>
      <w:r w:rsidRPr="00F90A54">
        <w:rPr>
          <w:rFonts w:ascii="Garamond" w:hAnsi="Garamond"/>
        </w:rPr>
        <w:t>First a note about methodology.</w:t>
      </w:r>
      <w:r w:rsidRPr="00F90A54">
        <w:rPr>
          <w:rFonts w:ascii="Garamond" w:hAnsi="Garamond"/>
          <w:i/>
          <w:iCs/>
        </w:rPr>
        <w:t xml:space="preserve"> </w:t>
      </w:r>
      <w:r w:rsidRPr="00F90A54">
        <w:rPr>
          <w:rFonts w:ascii="Garamond" w:hAnsi="Garamond"/>
        </w:rPr>
        <w:t xml:space="preserve">To </w:t>
      </w:r>
      <w:r w:rsidR="007843B5">
        <w:rPr>
          <w:rFonts w:ascii="Garamond" w:hAnsi="Garamond"/>
        </w:rPr>
        <w:t>determine</w:t>
      </w:r>
      <w:r w:rsidRPr="00F90A54">
        <w:rPr>
          <w:rFonts w:ascii="Garamond" w:hAnsi="Garamond"/>
        </w:rPr>
        <w:t xml:space="preserve"> how often outsiders seek to intervene in cases for nationwide injunctions, </w:t>
      </w:r>
      <w:r w:rsidR="00C96CB2" w:rsidRPr="00F90A54">
        <w:rPr>
          <w:rFonts w:ascii="Garamond" w:hAnsi="Garamond"/>
        </w:rPr>
        <w:t>I</w:t>
      </w:r>
      <w:r w:rsidRPr="00F90A54">
        <w:rPr>
          <w:rFonts w:ascii="Garamond" w:hAnsi="Garamond"/>
        </w:rPr>
        <w:t xml:space="preserve"> began by examining the cases identified in preexisting nationwide-injunction scholarship.</w:t>
      </w:r>
      <w:r w:rsidRPr="00F90A54">
        <w:rPr>
          <w:rStyle w:val="FootnoteReference"/>
          <w:rFonts w:ascii="Garamond" w:hAnsi="Garamond"/>
        </w:rPr>
        <w:footnoteReference w:id="170"/>
      </w:r>
      <w:r w:rsidRPr="00F90A54">
        <w:rPr>
          <w:rFonts w:ascii="Garamond" w:hAnsi="Garamond"/>
        </w:rPr>
        <w:t xml:space="preserve"> I then </w:t>
      </w:r>
      <w:r w:rsidR="007843B5">
        <w:rPr>
          <w:rFonts w:ascii="Garamond" w:hAnsi="Garamond"/>
        </w:rPr>
        <w:t xml:space="preserve">built on that dataset </w:t>
      </w:r>
      <w:r w:rsidR="00F74225">
        <w:rPr>
          <w:rFonts w:ascii="Garamond" w:hAnsi="Garamond"/>
        </w:rPr>
        <w:t xml:space="preserve">by </w:t>
      </w:r>
      <w:r w:rsidRPr="00F90A54">
        <w:rPr>
          <w:rFonts w:ascii="Garamond" w:hAnsi="Garamond"/>
        </w:rPr>
        <w:t>conduct</w:t>
      </w:r>
      <w:r w:rsidR="00F74225">
        <w:rPr>
          <w:rFonts w:ascii="Garamond" w:hAnsi="Garamond"/>
        </w:rPr>
        <w:t>ing</w:t>
      </w:r>
      <w:r w:rsidRPr="00F90A54">
        <w:rPr>
          <w:rFonts w:ascii="Garamond" w:hAnsi="Garamond"/>
        </w:rPr>
        <w:t xml:space="preserve"> a </w:t>
      </w:r>
      <w:r w:rsidR="00F74225">
        <w:rPr>
          <w:rFonts w:ascii="Garamond" w:hAnsi="Garamond"/>
        </w:rPr>
        <w:t xml:space="preserve">Westlaw </w:t>
      </w:r>
      <w:r w:rsidRPr="00F90A54">
        <w:rPr>
          <w:rFonts w:ascii="Garamond" w:hAnsi="Garamond"/>
        </w:rPr>
        <w:t>search for references to nationwide injunctions—including similar monikers like “national</w:t>
      </w:r>
      <w:r w:rsidR="007843B5">
        <w:rPr>
          <w:rFonts w:ascii="Garamond" w:hAnsi="Garamond"/>
        </w:rPr>
        <w:t>,</w:t>
      </w:r>
      <w:r w:rsidRPr="00F90A54">
        <w:rPr>
          <w:rFonts w:ascii="Garamond" w:hAnsi="Garamond"/>
        </w:rPr>
        <w:t xml:space="preserve">” </w:t>
      </w:r>
      <w:r w:rsidR="007843B5">
        <w:rPr>
          <w:rFonts w:ascii="Garamond" w:hAnsi="Garamond"/>
        </w:rPr>
        <w:t xml:space="preserve">“universal,” </w:t>
      </w:r>
      <w:r w:rsidRPr="00F90A54">
        <w:rPr>
          <w:rFonts w:ascii="Garamond" w:hAnsi="Garamond"/>
        </w:rPr>
        <w:t>and</w:t>
      </w:r>
      <w:r w:rsidR="007843B5">
        <w:rPr>
          <w:rFonts w:ascii="Garamond" w:hAnsi="Garamond"/>
        </w:rPr>
        <w:t xml:space="preserve"> </w:t>
      </w:r>
      <w:r w:rsidRPr="00F90A54">
        <w:rPr>
          <w:rFonts w:ascii="Garamond" w:hAnsi="Garamond"/>
        </w:rPr>
        <w:t>“cosmic”—to find cases where the court considered or granted such relief.</w:t>
      </w:r>
      <w:r w:rsidR="007843B5">
        <w:rPr>
          <w:rStyle w:val="FootnoteReference"/>
          <w:rFonts w:ascii="Garamond" w:hAnsi="Garamond"/>
        </w:rPr>
        <w:footnoteReference w:id="171"/>
      </w:r>
      <w:r w:rsidRPr="00F90A54">
        <w:rPr>
          <w:rFonts w:ascii="Garamond" w:hAnsi="Garamond"/>
        </w:rPr>
        <w:t xml:space="preserve"> Only cases in which a nationwide injunction was sought or issued were included; complaints solely for other forms of universal remedies (like vacatur) were excluded, even if paired with injunctive relief so long as that relief was limited to a geographical area, jurisdiction, or set of plaintiffs.</w:t>
      </w:r>
      <w:r w:rsidR="00F74225">
        <w:rPr>
          <w:rStyle w:val="FootnoteReference"/>
          <w:rFonts w:ascii="Garamond" w:hAnsi="Garamond"/>
        </w:rPr>
        <w:footnoteReference w:id="172"/>
      </w:r>
    </w:p>
    <w:p w14:paraId="2C7A15CB" w14:textId="2DA8B25E" w:rsidR="001321A9" w:rsidRPr="00F90A54" w:rsidRDefault="001321A9" w:rsidP="001F4A3F">
      <w:pPr>
        <w:ind w:firstLine="360"/>
        <w:jc w:val="both"/>
        <w:rPr>
          <w:rFonts w:ascii="Garamond" w:hAnsi="Garamond"/>
        </w:rPr>
      </w:pPr>
      <w:r w:rsidRPr="00F90A54">
        <w:rPr>
          <w:rFonts w:ascii="Garamond" w:hAnsi="Garamond"/>
        </w:rPr>
        <w:lastRenderedPageBreak/>
        <w:t xml:space="preserve">This approach </w:t>
      </w:r>
      <w:r w:rsidR="00C96CB2" w:rsidRPr="00F90A54">
        <w:rPr>
          <w:rFonts w:ascii="Garamond" w:hAnsi="Garamond"/>
        </w:rPr>
        <w:t>is</w:t>
      </w:r>
      <w:r w:rsidRPr="00F90A54">
        <w:rPr>
          <w:rFonts w:ascii="Garamond" w:hAnsi="Garamond"/>
        </w:rPr>
        <w:t xml:space="preserve"> not without limitations. </w:t>
      </w:r>
      <w:r w:rsidR="002810F8" w:rsidRPr="00F90A54">
        <w:rPr>
          <w:rFonts w:ascii="Garamond" w:hAnsi="Garamond"/>
        </w:rPr>
        <w:t>I</w:t>
      </w:r>
      <w:r w:rsidRPr="00F90A54">
        <w:rPr>
          <w:rFonts w:ascii="Garamond" w:hAnsi="Garamond"/>
        </w:rPr>
        <w:t xml:space="preserve">t is difficult to identify all cases seeking nationwide injunctions because parties rarely specify the scope of relief in their complaint or motion for an injunction. Instead, </w:t>
      </w:r>
      <w:r w:rsidR="00F74225">
        <w:rPr>
          <w:rFonts w:ascii="Garamond" w:hAnsi="Garamond"/>
        </w:rPr>
        <w:t>many plaintiffs</w:t>
      </w:r>
      <w:r w:rsidR="004E3CDE" w:rsidRPr="00F90A54">
        <w:rPr>
          <w:rFonts w:ascii="Garamond" w:hAnsi="Garamond"/>
        </w:rPr>
        <w:t xml:space="preserve"> ask for a nationwide injunction by </w:t>
      </w:r>
      <w:r w:rsidR="00DD1A5F" w:rsidRPr="00F90A54">
        <w:rPr>
          <w:rFonts w:ascii="Garamond" w:hAnsi="Garamond"/>
        </w:rPr>
        <w:t>omitting</w:t>
      </w:r>
      <w:r w:rsidR="004E3CDE" w:rsidRPr="00F90A54">
        <w:rPr>
          <w:rFonts w:ascii="Garamond" w:hAnsi="Garamond"/>
        </w:rPr>
        <w:t xml:space="preserve"> </w:t>
      </w:r>
      <w:r w:rsidRPr="00F90A54">
        <w:rPr>
          <w:rFonts w:ascii="Garamond" w:hAnsi="Garamond"/>
        </w:rPr>
        <w:t xml:space="preserve">a geographic or party limitation. As a result, it is possible that this </w:t>
      </w:r>
      <w:r w:rsidR="00F74225">
        <w:rPr>
          <w:rFonts w:ascii="Garamond" w:hAnsi="Garamond"/>
        </w:rPr>
        <w:t>dataset</w:t>
      </w:r>
      <w:r w:rsidRPr="00F90A54">
        <w:rPr>
          <w:rFonts w:ascii="Garamond" w:hAnsi="Garamond"/>
        </w:rPr>
        <w:t xml:space="preserve"> includes </w:t>
      </w:r>
      <w:r w:rsidR="00DD1A5F" w:rsidRPr="00F90A54">
        <w:rPr>
          <w:rFonts w:ascii="Garamond" w:hAnsi="Garamond"/>
        </w:rPr>
        <w:t xml:space="preserve">only </w:t>
      </w:r>
      <w:r w:rsidRPr="00F90A54">
        <w:rPr>
          <w:rFonts w:ascii="Garamond" w:hAnsi="Garamond"/>
        </w:rPr>
        <w:t xml:space="preserve">the </w:t>
      </w:r>
      <w:r w:rsidR="00F74225">
        <w:rPr>
          <w:rFonts w:ascii="Garamond" w:hAnsi="Garamond"/>
        </w:rPr>
        <w:t>more</w:t>
      </w:r>
      <w:r w:rsidRPr="00F90A54">
        <w:rPr>
          <w:rFonts w:ascii="Garamond" w:hAnsi="Garamond"/>
        </w:rPr>
        <w:t xml:space="preserve"> high-profile</w:t>
      </w:r>
      <w:r w:rsidR="00F74225">
        <w:rPr>
          <w:rFonts w:ascii="Garamond" w:hAnsi="Garamond"/>
        </w:rPr>
        <w:t xml:space="preserve"> </w:t>
      </w:r>
      <w:r w:rsidRPr="00F90A54">
        <w:rPr>
          <w:rFonts w:ascii="Garamond" w:hAnsi="Garamond"/>
        </w:rPr>
        <w:t xml:space="preserve">nationwide-injunction suits—those that either received </w:t>
      </w:r>
      <w:r w:rsidR="0019188E">
        <w:rPr>
          <w:rFonts w:ascii="Garamond" w:hAnsi="Garamond"/>
        </w:rPr>
        <w:t>scholarly</w:t>
      </w:r>
      <w:r w:rsidRPr="00F90A54">
        <w:rPr>
          <w:rFonts w:ascii="Garamond" w:hAnsi="Garamond"/>
        </w:rPr>
        <w:t xml:space="preserve"> attention or </w:t>
      </w:r>
      <w:r w:rsidR="008D0D0B">
        <w:rPr>
          <w:rFonts w:ascii="Garamond" w:hAnsi="Garamond"/>
        </w:rPr>
        <w:t>that ended with a court opinion describing the relief sought</w:t>
      </w:r>
      <w:r w:rsidRPr="00F90A54">
        <w:rPr>
          <w:rFonts w:ascii="Garamond" w:hAnsi="Garamond"/>
        </w:rPr>
        <w:t xml:space="preserve">. </w:t>
      </w:r>
    </w:p>
    <w:p w14:paraId="62A2D74C" w14:textId="7B1C3115" w:rsidR="001321A9" w:rsidRPr="00F90A54" w:rsidRDefault="001321A9" w:rsidP="0019188E">
      <w:pPr>
        <w:ind w:firstLine="360"/>
        <w:jc w:val="both"/>
        <w:rPr>
          <w:rFonts w:ascii="Garamond" w:hAnsi="Garamond"/>
        </w:rPr>
      </w:pPr>
      <w:r w:rsidRPr="00F90A54">
        <w:rPr>
          <w:rFonts w:ascii="Garamond" w:hAnsi="Garamond"/>
        </w:rPr>
        <w:t xml:space="preserve">Those cases, however, are also the </w:t>
      </w:r>
      <w:r w:rsidR="00F74225">
        <w:rPr>
          <w:rFonts w:ascii="Garamond" w:hAnsi="Garamond"/>
        </w:rPr>
        <w:t xml:space="preserve">ones </w:t>
      </w:r>
      <w:r w:rsidRPr="00F90A54">
        <w:rPr>
          <w:rFonts w:ascii="Garamond" w:hAnsi="Garamond"/>
        </w:rPr>
        <w:t xml:space="preserve">most likely to raise the normative concerns discussed in Part III. </w:t>
      </w:r>
      <w:r w:rsidR="0019188E">
        <w:rPr>
          <w:rFonts w:ascii="Garamond" w:hAnsi="Garamond"/>
        </w:rPr>
        <w:t xml:space="preserve">If scholars and judges are likely to focus their attention on injunctions that meaningfully affect politically salient issues, </w:t>
      </w:r>
      <w:r w:rsidRPr="00F90A54">
        <w:rPr>
          <w:rFonts w:ascii="Garamond" w:hAnsi="Garamond"/>
        </w:rPr>
        <w:t xml:space="preserve">then this </w:t>
      </w:r>
      <w:r w:rsidR="00F74225">
        <w:rPr>
          <w:rFonts w:ascii="Garamond" w:hAnsi="Garamond"/>
        </w:rPr>
        <w:t>dataset</w:t>
      </w:r>
      <w:r w:rsidRPr="00F90A54">
        <w:rPr>
          <w:rFonts w:ascii="Garamond" w:hAnsi="Garamond"/>
        </w:rPr>
        <w:t xml:space="preserve"> likely captures those cases where we can expect the most problematic intervention practices to arise. </w:t>
      </w:r>
      <w:r w:rsidR="00013952" w:rsidRPr="00F90A54">
        <w:rPr>
          <w:rFonts w:ascii="Garamond" w:hAnsi="Garamond"/>
        </w:rPr>
        <w:t>And i</w:t>
      </w:r>
      <w:r w:rsidRPr="00F90A54">
        <w:rPr>
          <w:rFonts w:ascii="Garamond" w:hAnsi="Garamond"/>
        </w:rPr>
        <w:t xml:space="preserve">t is the discretionary decisions made in high-profile challenges to politically salient policies that </w:t>
      </w:r>
      <w:r w:rsidR="0019188E">
        <w:rPr>
          <w:rFonts w:ascii="Garamond" w:hAnsi="Garamond"/>
        </w:rPr>
        <w:t>run the risk that judges will be perceived as being</w:t>
      </w:r>
      <w:r w:rsidRPr="00F90A54">
        <w:rPr>
          <w:rFonts w:ascii="Garamond" w:hAnsi="Garamond"/>
        </w:rPr>
        <w:t xml:space="preserve"> guided by their political preferences when they grant or deny intervention.</w:t>
      </w:r>
      <w:r w:rsidR="00013952" w:rsidRPr="00F90A54">
        <w:rPr>
          <w:rStyle w:val="FootnoteReference"/>
          <w:rFonts w:ascii="Garamond" w:hAnsi="Garamond"/>
        </w:rPr>
        <w:footnoteReference w:id="173"/>
      </w:r>
      <w:r w:rsidRPr="00F90A54">
        <w:rPr>
          <w:rFonts w:ascii="Garamond" w:hAnsi="Garamond"/>
        </w:rPr>
        <w:t xml:space="preserve"> </w:t>
      </w:r>
    </w:p>
    <w:p w14:paraId="1C2A748D" w14:textId="7F279813" w:rsidR="001321A9" w:rsidRPr="00F90A54" w:rsidRDefault="001321A9" w:rsidP="001F4A3F">
      <w:pPr>
        <w:ind w:firstLine="360"/>
        <w:jc w:val="both"/>
        <w:rPr>
          <w:rFonts w:ascii="Garamond" w:hAnsi="Garamond"/>
        </w:rPr>
      </w:pPr>
      <w:r w:rsidRPr="00F90A54">
        <w:rPr>
          <w:rFonts w:ascii="Garamond" w:hAnsi="Garamond"/>
        </w:rPr>
        <w:t xml:space="preserve">Yet to </w:t>
      </w:r>
      <w:r w:rsidR="00F74225">
        <w:rPr>
          <w:rFonts w:ascii="Garamond" w:hAnsi="Garamond"/>
        </w:rPr>
        <w:t xml:space="preserve">mitigate these effects, </w:t>
      </w:r>
      <w:r w:rsidRPr="00F90A54">
        <w:rPr>
          <w:rFonts w:ascii="Garamond" w:hAnsi="Garamond"/>
        </w:rPr>
        <w:t xml:space="preserve">the </w:t>
      </w:r>
      <w:r w:rsidR="00F74225">
        <w:rPr>
          <w:rFonts w:ascii="Garamond" w:hAnsi="Garamond"/>
        </w:rPr>
        <w:t xml:space="preserve">dataset </w:t>
      </w:r>
      <w:r w:rsidRPr="00F90A54">
        <w:rPr>
          <w:rFonts w:ascii="Garamond" w:hAnsi="Garamond"/>
        </w:rPr>
        <w:t>included similar suits referenced by nationwide-injunction cases either in the parties’ briefing or in the court’s decision. This meant that many more cases that concerned a similar challenge to a federal policy were included, so long as the complaint did not limit its request for injunctive relief. These cases were included even if they quickly fizzled out as a more leading case continued</w:t>
      </w:r>
      <w:r w:rsidR="0019188E">
        <w:rPr>
          <w:rFonts w:ascii="Garamond" w:hAnsi="Garamond"/>
        </w:rPr>
        <w:t xml:space="preserve"> in another jurisdiction</w:t>
      </w:r>
      <w:r w:rsidRPr="00F90A54">
        <w:rPr>
          <w:rFonts w:ascii="Garamond" w:hAnsi="Garamond"/>
        </w:rPr>
        <w:t xml:space="preserve">. </w:t>
      </w:r>
      <w:r w:rsidR="00F74225">
        <w:rPr>
          <w:rFonts w:ascii="Garamond" w:hAnsi="Garamond"/>
        </w:rPr>
        <w:t>The dataset</w:t>
      </w:r>
      <w:r w:rsidRPr="00F90A54">
        <w:rPr>
          <w:rFonts w:ascii="Garamond" w:hAnsi="Garamond"/>
        </w:rPr>
        <w:t xml:space="preserve"> therefore include</w:t>
      </w:r>
      <w:r w:rsidR="00F74225">
        <w:rPr>
          <w:rFonts w:ascii="Garamond" w:hAnsi="Garamond"/>
        </w:rPr>
        <w:t>s</w:t>
      </w:r>
      <w:r w:rsidRPr="00F90A54">
        <w:rPr>
          <w:rFonts w:ascii="Garamond" w:hAnsi="Garamond"/>
        </w:rPr>
        <w:t xml:space="preserve"> a meaningful number of cases that are nominally nationwide-injunction suits, but that were stayed or dismissed before an intervenor could have participated.</w:t>
      </w:r>
      <w:r w:rsidR="006A246E">
        <w:rPr>
          <w:rStyle w:val="FootnoteReference"/>
          <w:rFonts w:ascii="Garamond" w:hAnsi="Garamond"/>
        </w:rPr>
        <w:footnoteReference w:id="174"/>
      </w:r>
      <w:r w:rsidRPr="00F90A54">
        <w:rPr>
          <w:rFonts w:ascii="Garamond" w:hAnsi="Garamond"/>
        </w:rPr>
        <w:t xml:space="preserve"> </w:t>
      </w:r>
    </w:p>
    <w:p w14:paraId="23C5F4F4" w14:textId="75E30576" w:rsidR="001321A9" w:rsidRPr="00F90A54" w:rsidRDefault="001321A9" w:rsidP="001F4A3F">
      <w:pPr>
        <w:ind w:firstLine="360"/>
        <w:jc w:val="both"/>
        <w:rPr>
          <w:rFonts w:ascii="Garamond" w:hAnsi="Garamond"/>
        </w:rPr>
      </w:pPr>
      <w:r w:rsidRPr="00F90A54">
        <w:rPr>
          <w:rFonts w:ascii="Garamond" w:hAnsi="Garamond"/>
        </w:rPr>
        <w:t xml:space="preserve">Nevertheless, the results are striking. In the </w:t>
      </w:r>
      <w:r w:rsidR="007640D0">
        <w:rPr>
          <w:rFonts w:ascii="Garamond" w:hAnsi="Garamond"/>
        </w:rPr>
        <w:t>50</w:t>
      </w:r>
      <w:r w:rsidR="001D2FB6">
        <w:rPr>
          <w:rFonts w:ascii="Garamond" w:hAnsi="Garamond"/>
        </w:rPr>
        <w:t>8</w:t>
      </w:r>
      <w:r w:rsidRPr="00F90A54">
        <w:rPr>
          <w:rFonts w:ascii="Garamond" w:hAnsi="Garamond"/>
        </w:rPr>
        <w:t xml:space="preserve"> cases analyzed, </w:t>
      </w:r>
      <w:r w:rsidR="007640D0">
        <w:rPr>
          <w:rFonts w:ascii="Garamond" w:hAnsi="Garamond"/>
        </w:rPr>
        <w:t xml:space="preserve">over a third </w:t>
      </w:r>
      <w:r w:rsidRPr="00F90A54">
        <w:rPr>
          <w:rFonts w:ascii="Garamond" w:hAnsi="Garamond"/>
        </w:rPr>
        <w:t>of those cases—</w:t>
      </w:r>
      <w:r w:rsidR="00DD1A5F" w:rsidRPr="00F90A54">
        <w:rPr>
          <w:rFonts w:ascii="Garamond" w:hAnsi="Garamond"/>
        </w:rPr>
        <w:t>1</w:t>
      </w:r>
      <w:r w:rsidR="007640D0">
        <w:rPr>
          <w:rFonts w:ascii="Garamond" w:hAnsi="Garamond"/>
        </w:rPr>
        <w:t>7</w:t>
      </w:r>
      <w:r w:rsidR="005E1477">
        <w:rPr>
          <w:rFonts w:ascii="Garamond" w:hAnsi="Garamond"/>
        </w:rPr>
        <w:t>3</w:t>
      </w:r>
      <w:r w:rsidRPr="00F90A54">
        <w:rPr>
          <w:rFonts w:ascii="Garamond" w:hAnsi="Garamond"/>
        </w:rPr>
        <w:t xml:space="preserve"> or about </w:t>
      </w:r>
      <w:r w:rsidR="007640D0">
        <w:rPr>
          <w:rFonts w:ascii="Garamond" w:hAnsi="Garamond"/>
        </w:rPr>
        <w:t>34</w:t>
      </w:r>
      <w:r w:rsidRPr="00F90A54">
        <w:rPr>
          <w:rFonts w:ascii="Garamond" w:hAnsi="Garamond"/>
        </w:rPr>
        <w:t>%—include at least one motion by an intervenor.</w:t>
      </w:r>
      <w:r w:rsidRPr="00F90A54">
        <w:rPr>
          <w:rStyle w:val="FootnoteReference"/>
          <w:rFonts w:ascii="Garamond" w:hAnsi="Garamond"/>
        </w:rPr>
        <w:footnoteReference w:id="175"/>
      </w:r>
      <w:r w:rsidRPr="00F90A54">
        <w:rPr>
          <w:rFonts w:ascii="Garamond" w:hAnsi="Garamond"/>
        </w:rPr>
        <w:t xml:space="preserve"> </w:t>
      </w:r>
      <w:r w:rsidR="009D1F35">
        <w:rPr>
          <w:rFonts w:ascii="Garamond" w:hAnsi="Garamond"/>
        </w:rPr>
        <w:t xml:space="preserve">In those cases where intervention was sought, the motion was </w:t>
      </w:r>
      <w:r w:rsidRPr="00F90A54">
        <w:rPr>
          <w:rFonts w:ascii="Garamond" w:hAnsi="Garamond"/>
        </w:rPr>
        <w:t xml:space="preserve">granted to at least one party in </w:t>
      </w:r>
      <w:r w:rsidR="009D1F35">
        <w:rPr>
          <w:rFonts w:ascii="Garamond" w:hAnsi="Garamond"/>
        </w:rPr>
        <w:t>two-thirds</w:t>
      </w:r>
      <w:r w:rsidR="007640D0">
        <w:rPr>
          <w:rFonts w:ascii="Garamond" w:hAnsi="Garamond"/>
        </w:rPr>
        <w:t xml:space="preserve"> </w:t>
      </w:r>
      <w:r w:rsidRPr="00F90A54">
        <w:rPr>
          <w:rFonts w:ascii="Garamond" w:hAnsi="Garamond"/>
        </w:rPr>
        <w:t>of the cases (</w:t>
      </w:r>
      <w:r w:rsidR="007C0181" w:rsidRPr="00F90A54">
        <w:rPr>
          <w:rFonts w:ascii="Garamond" w:hAnsi="Garamond"/>
        </w:rPr>
        <w:t>1</w:t>
      </w:r>
      <w:r w:rsidR="00093A9E">
        <w:rPr>
          <w:rFonts w:ascii="Garamond" w:hAnsi="Garamond"/>
        </w:rPr>
        <w:t>1</w:t>
      </w:r>
      <w:r w:rsidR="005E1477">
        <w:rPr>
          <w:rFonts w:ascii="Garamond" w:hAnsi="Garamond"/>
        </w:rPr>
        <w:t>4</w:t>
      </w:r>
      <w:r w:rsidRPr="00F90A54">
        <w:rPr>
          <w:rFonts w:ascii="Garamond" w:hAnsi="Garamond"/>
        </w:rPr>
        <w:t xml:space="preserve"> cases or </w:t>
      </w:r>
      <w:r w:rsidR="00093A9E">
        <w:rPr>
          <w:rFonts w:ascii="Garamond" w:hAnsi="Garamond"/>
        </w:rPr>
        <w:t>66</w:t>
      </w:r>
      <w:r w:rsidRPr="00F90A54">
        <w:rPr>
          <w:rFonts w:ascii="Garamond" w:hAnsi="Garamond"/>
        </w:rPr>
        <w:t>%)</w:t>
      </w:r>
      <w:r w:rsidR="00F4742D" w:rsidRPr="00F90A54">
        <w:rPr>
          <w:rFonts w:ascii="Garamond" w:hAnsi="Garamond"/>
        </w:rPr>
        <w:t xml:space="preserve"> and was</w:t>
      </w:r>
      <w:r w:rsidRPr="00F90A54">
        <w:rPr>
          <w:rFonts w:ascii="Garamond" w:hAnsi="Garamond"/>
        </w:rPr>
        <w:t xml:space="preserve"> denied to at least one party </w:t>
      </w:r>
      <w:r w:rsidR="00F4742D" w:rsidRPr="00F90A54">
        <w:rPr>
          <w:rFonts w:ascii="Garamond" w:hAnsi="Garamond"/>
        </w:rPr>
        <w:t xml:space="preserve">in </w:t>
      </w:r>
      <w:r w:rsidR="009D1F35">
        <w:rPr>
          <w:rFonts w:ascii="Garamond" w:hAnsi="Garamond"/>
        </w:rPr>
        <w:t xml:space="preserve">a third </w:t>
      </w:r>
      <w:r w:rsidR="00F4742D" w:rsidRPr="00F90A54">
        <w:rPr>
          <w:rFonts w:ascii="Garamond" w:hAnsi="Garamond"/>
        </w:rPr>
        <w:t xml:space="preserve">of the cases </w:t>
      </w:r>
      <w:r w:rsidRPr="00F90A54">
        <w:rPr>
          <w:rFonts w:ascii="Garamond" w:hAnsi="Garamond"/>
        </w:rPr>
        <w:t>(</w:t>
      </w:r>
      <w:r w:rsidR="00093A9E">
        <w:rPr>
          <w:rFonts w:ascii="Garamond" w:hAnsi="Garamond"/>
        </w:rPr>
        <w:t>5</w:t>
      </w:r>
      <w:r w:rsidR="003A0C04">
        <w:rPr>
          <w:rFonts w:ascii="Garamond" w:hAnsi="Garamond"/>
        </w:rPr>
        <w:t>6</w:t>
      </w:r>
      <w:r w:rsidRPr="00F90A54">
        <w:rPr>
          <w:rFonts w:ascii="Garamond" w:hAnsi="Garamond"/>
        </w:rPr>
        <w:t xml:space="preserve"> cases or about </w:t>
      </w:r>
      <w:r w:rsidR="009D1F35">
        <w:rPr>
          <w:rFonts w:ascii="Garamond" w:hAnsi="Garamond"/>
        </w:rPr>
        <w:t>3</w:t>
      </w:r>
      <w:r w:rsidR="003A0C04">
        <w:rPr>
          <w:rFonts w:ascii="Garamond" w:hAnsi="Garamond"/>
        </w:rPr>
        <w:t>2.7</w:t>
      </w:r>
      <w:r w:rsidRPr="00F90A54">
        <w:rPr>
          <w:rFonts w:ascii="Garamond" w:hAnsi="Garamond"/>
        </w:rPr>
        <w:t>%)</w:t>
      </w:r>
      <w:r w:rsidR="00F4742D" w:rsidRPr="00F90A54">
        <w:rPr>
          <w:rFonts w:ascii="Garamond" w:hAnsi="Garamond"/>
        </w:rPr>
        <w:t>.</w:t>
      </w:r>
      <w:r w:rsidR="00F4742D" w:rsidRPr="00F90A54">
        <w:rPr>
          <w:rStyle w:val="FootnoteReference"/>
          <w:rFonts w:ascii="Garamond" w:hAnsi="Garamond"/>
        </w:rPr>
        <w:footnoteReference w:id="176"/>
      </w:r>
      <w:r w:rsidRPr="00F90A54">
        <w:rPr>
          <w:rFonts w:ascii="Garamond" w:hAnsi="Garamond"/>
        </w:rPr>
        <w:t xml:space="preserve"> The Appendix provides a full list of the cases included, along with a brief description of the policy at issue, whether intervention was sought, and the result of the intervention motion.</w:t>
      </w:r>
    </w:p>
    <w:p w14:paraId="7C53032A" w14:textId="478C66C9" w:rsidR="001321A9" w:rsidRPr="00F90A54" w:rsidRDefault="001321A9" w:rsidP="001F4A3F">
      <w:pPr>
        <w:ind w:firstLine="360"/>
        <w:jc w:val="both"/>
        <w:rPr>
          <w:rFonts w:ascii="Garamond" w:hAnsi="Garamond"/>
        </w:rPr>
      </w:pPr>
      <w:r w:rsidRPr="00F90A54">
        <w:rPr>
          <w:rFonts w:ascii="Garamond" w:hAnsi="Garamond"/>
        </w:rPr>
        <w:t xml:space="preserve">These results demonstrate that intervention is a significant feature of how nationwide-injunction cases are litigated. Although an important </w:t>
      </w:r>
      <w:proofErr w:type="gramStart"/>
      <w:r w:rsidRPr="00F90A54">
        <w:rPr>
          <w:rFonts w:ascii="Garamond" w:hAnsi="Garamond"/>
        </w:rPr>
        <w:t>conclusion in its own right, the</w:t>
      </w:r>
      <w:proofErr w:type="gramEnd"/>
      <w:r w:rsidRPr="00F90A54">
        <w:rPr>
          <w:rFonts w:ascii="Garamond" w:hAnsi="Garamond"/>
        </w:rPr>
        <w:t xml:space="preserve"> next three sections provide more </w:t>
      </w:r>
      <w:r w:rsidR="00517704">
        <w:rPr>
          <w:rFonts w:ascii="Garamond" w:hAnsi="Garamond"/>
        </w:rPr>
        <w:t>context</w:t>
      </w:r>
      <w:r w:rsidRPr="00F90A54">
        <w:rPr>
          <w:rFonts w:ascii="Garamond" w:hAnsi="Garamond"/>
        </w:rPr>
        <w:t xml:space="preserve"> to that result by analyzing the motions filed in these cases, the decisions courts reach, and the consequences that granting intervention had</w:t>
      </w:r>
      <w:r w:rsidR="00517704">
        <w:rPr>
          <w:rFonts w:ascii="Garamond" w:hAnsi="Garamond"/>
        </w:rPr>
        <w:t xml:space="preserve"> on the case</w:t>
      </w:r>
      <w:r w:rsidRPr="00F90A54">
        <w:rPr>
          <w:rFonts w:ascii="Garamond" w:hAnsi="Garamond"/>
        </w:rPr>
        <w:t xml:space="preserve">. This </w:t>
      </w:r>
      <w:r w:rsidR="00517704">
        <w:rPr>
          <w:rFonts w:ascii="Garamond" w:hAnsi="Garamond"/>
        </w:rPr>
        <w:t>provides</w:t>
      </w:r>
      <w:r w:rsidRPr="00F90A54">
        <w:rPr>
          <w:rFonts w:ascii="Garamond" w:hAnsi="Garamond"/>
        </w:rPr>
        <w:t xml:space="preserve"> a clearer view of three aspects of </w:t>
      </w:r>
      <w:r w:rsidRPr="00F90A54">
        <w:rPr>
          <w:rFonts w:ascii="Garamond" w:hAnsi="Garamond"/>
        </w:rPr>
        <w:lastRenderedPageBreak/>
        <w:t xml:space="preserve">intervention practice in this context: the role that proposed intervenors have sought to play, how courts have reacted to </w:t>
      </w:r>
      <w:r w:rsidR="006361E0" w:rsidRPr="00F90A54">
        <w:rPr>
          <w:rFonts w:ascii="Garamond" w:hAnsi="Garamond"/>
        </w:rPr>
        <w:t>nonparties</w:t>
      </w:r>
      <w:r w:rsidRPr="00F90A54">
        <w:rPr>
          <w:rFonts w:ascii="Garamond" w:hAnsi="Garamond"/>
        </w:rPr>
        <w:t xml:space="preserve"> seeking to intervene, and the results that intervenors have achieved when allowed to participate. </w:t>
      </w:r>
    </w:p>
    <w:p w14:paraId="17AD49E3" w14:textId="77777777" w:rsidR="001321A9" w:rsidRPr="00F90A54" w:rsidRDefault="001321A9" w:rsidP="001321A9">
      <w:pPr>
        <w:ind w:firstLine="360"/>
        <w:rPr>
          <w:rFonts w:ascii="Garamond" w:hAnsi="Garamond"/>
        </w:rPr>
      </w:pPr>
      <w:r w:rsidRPr="00F90A54">
        <w:rPr>
          <w:rFonts w:ascii="Garamond" w:hAnsi="Garamond"/>
        </w:rPr>
        <w:t xml:space="preserve"> </w:t>
      </w:r>
    </w:p>
    <w:p w14:paraId="687D2D41" w14:textId="670F1789" w:rsidR="001321A9" w:rsidRPr="00F90A54" w:rsidRDefault="00292622" w:rsidP="00D9403B">
      <w:pPr>
        <w:pStyle w:val="Heading2"/>
        <w:keepNext/>
      </w:pPr>
      <w:bookmarkStart w:id="15" w:name="_Toc143336557"/>
      <w:r>
        <w:t>Motives to Intervene</w:t>
      </w:r>
      <w:bookmarkEnd w:id="15"/>
    </w:p>
    <w:p w14:paraId="253DFF71" w14:textId="77777777" w:rsidR="001321A9" w:rsidRPr="00F90A54" w:rsidRDefault="001321A9" w:rsidP="00D9403B">
      <w:pPr>
        <w:keepNext/>
        <w:ind w:left="720" w:hanging="360"/>
        <w:rPr>
          <w:rFonts w:ascii="Garamond" w:hAnsi="Garamond"/>
        </w:rPr>
      </w:pPr>
    </w:p>
    <w:p w14:paraId="6AEA7672" w14:textId="1329F6AC" w:rsidR="00C3103D" w:rsidRDefault="001321A9" w:rsidP="001F4A3F">
      <w:pPr>
        <w:ind w:firstLine="360"/>
        <w:jc w:val="both"/>
        <w:rPr>
          <w:rFonts w:ascii="Garamond" w:hAnsi="Garamond"/>
        </w:rPr>
      </w:pPr>
      <w:r w:rsidRPr="00F90A54">
        <w:rPr>
          <w:rFonts w:ascii="Garamond" w:hAnsi="Garamond"/>
        </w:rPr>
        <w:t xml:space="preserve">What should we make of the fact that intervention is commonly sought in nationwide-injunction cases? A nationwide injunction by its nature affects large numbers of nonparties. </w:t>
      </w:r>
      <w:proofErr w:type="gramStart"/>
      <w:r w:rsidRPr="00F90A54">
        <w:rPr>
          <w:rFonts w:ascii="Garamond" w:hAnsi="Garamond"/>
        </w:rPr>
        <w:t>So</w:t>
      </w:r>
      <w:proofErr w:type="gramEnd"/>
      <w:r w:rsidRPr="00F90A54">
        <w:rPr>
          <w:rFonts w:ascii="Garamond" w:hAnsi="Garamond"/>
        </w:rPr>
        <w:t xml:space="preserve"> it </w:t>
      </w:r>
      <w:r w:rsidR="002A3007">
        <w:rPr>
          <w:rFonts w:ascii="Garamond" w:hAnsi="Garamond"/>
        </w:rPr>
        <w:t>may seem</w:t>
      </w:r>
      <w:r w:rsidRPr="00F90A54">
        <w:rPr>
          <w:rFonts w:ascii="Garamond" w:hAnsi="Garamond"/>
        </w:rPr>
        <w:t xml:space="preserve"> unsurprising that at least some of them have the desire and the resources to try to participate. </w:t>
      </w:r>
      <w:r w:rsidR="00C3103D">
        <w:rPr>
          <w:rFonts w:ascii="Garamond" w:hAnsi="Garamond"/>
        </w:rPr>
        <w:t xml:space="preserve">This section describes </w:t>
      </w:r>
      <w:r w:rsidR="00277285">
        <w:rPr>
          <w:rFonts w:ascii="Garamond" w:hAnsi="Garamond"/>
        </w:rPr>
        <w:t>six</w:t>
      </w:r>
      <w:r w:rsidR="00C3103D" w:rsidRPr="00F90A54">
        <w:rPr>
          <w:rFonts w:ascii="Garamond" w:hAnsi="Garamond"/>
        </w:rPr>
        <w:t xml:space="preserve"> overarching motives that </w:t>
      </w:r>
      <w:r w:rsidR="00C3103D">
        <w:rPr>
          <w:rFonts w:ascii="Garamond" w:hAnsi="Garamond"/>
        </w:rPr>
        <w:t xml:space="preserve">have </w:t>
      </w:r>
      <w:r w:rsidR="00C3103D" w:rsidRPr="00F90A54">
        <w:rPr>
          <w:rFonts w:ascii="Garamond" w:hAnsi="Garamond"/>
        </w:rPr>
        <w:t>drive</w:t>
      </w:r>
      <w:r w:rsidR="00C3103D">
        <w:rPr>
          <w:rFonts w:ascii="Garamond" w:hAnsi="Garamond"/>
        </w:rPr>
        <w:t>n</w:t>
      </w:r>
      <w:r w:rsidR="00C3103D" w:rsidRPr="00F90A54">
        <w:rPr>
          <w:rFonts w:ascii="Garamond" w:hAnsi="Garamond"/>
        </w:rPr>
        <w:t xml:space="preserve"> intervention in nationwide-injunction cases: (1) to add evidence, (2) to add arguments</w:t>
      </w:r>
      <w:r w:rsidR="00277285">
        <w:rPr>
          <w:rFonts w:ascii="Garamond" w:hAnsi="Garamond"/>
        </w:rPr>
        <w:t>,</w:t>
      </w:r>
      <w:r w:rsidR="00C3103D" w:rsidRPr="00F90A54">
        <w:rPr>
          <w:rFonts w:ascii="Garamond" w:hAnsi="Garamond"/>
        </w:rPr>
        <w:t xml:space="preserve"> </w:t>
      </w:r>
      <w:r w:rsidR="00277285">
        <w:rPr>
          <w:rFonts w:ascii="Garamond" w:hAnsi="Garamond"/>
        </w:rPr>
        <w:t xml:space="preserve">(3) to add new claims, </w:t>
      </w:r>
      <w:r w:rsidR="00C3103D" w:rsidRPr="00F90A54">
        <w:rPr>
          <w:rFonts w:ascii="Garamond" w:hAnsi="Garamond"/>
        </w:rPr>
        <w:t>(</w:t>
      </w:r>
      <w:r w:rsidR="00277285">
        <w:rPr>
          <w:rFonts w:ascii="Garamond" w:hAnsi="Garamond"/>
        </w:rPr>
        <w:t>4</w:t>
      </w:r>
      <w:r w:rsidR="00C3103D" w:rsidRPr="00F90A54">
        <w:rPr>
          <w:rFonts w:ascii="Garamond" w:hAnsi="Garamond"/>
        </w:rPr>
        <w:t>) to add a new perspective or change the narrative framing of the case, (</w:t>
      </w:r>
      <w:r w:rsidR="00277285">
        <w:rPr>
          <w:rFonts w:ascii="Garamond" w:hAnsi="Garamond"/>
        </w:rPr>
        <w:t>5</w:t>
      </w:r>
      <w:r w:rsidR="00C3103D" w:rsidRPr="00F90A54">
        <w:rPr>
          <w:rFonts w:ascii="Garamond" w:hAnsi="Garamond"/>
        </w:rPr>
        <w:t>) to add a new party with an injury sufficient to show Article III standing, or (</w:t>
      </w:r>
      <w:r w:rsidR="00277285">
        <w:rPr>
          <w:rFonts w:ascii="Garamond" w:hAnsi="Garamond"/>
        </w:rPr>
        <w:t>6</w:t>
      </w:r>
      <w:r w:rsidR="00C3103D" w:rsidRPr="00F90A54">
        <w:rPr>
          <w:rFonts w:ascii="Garamond" w:hAnsi="Garamond"/>
        </w:rPr>
        <w:t>) to prevent a settlement or guarantee an appeal.</w:t>
      </w:r>
    </w:p>
    <w:p w14:paraId="6DFCF815" w14:textId="77777777" w:rsidR="00C3103D" w:rsidRDefault="00C3103D" w:rsidP="00C3103D">
      <w:pPr>
        <w:ind w:firstLine="360"/>
        <w:jc w:val="both"/>
        <w:rPr>
          <w:rFonts w:ascii="Garamond" w:hAnsi="Garamond"/>
        </w:rPr>
      </w:pPr>
      <w:r w:rsidRPr="00F90A54">
        <w:rPr>
          <w:rFonts w:ascii="Garamond" w:hAnsi="Garamond"/>
        </w:rPr>
        <w:t xml:space="preserve">The aim is not to perfectly capture every reason </w:t>
      </w:r>
      <w:r>
        <w:rPr>
          <w:rFonts w:ascii="Garamond" w:hAnsi="Garamond"/>
        </w:rPr>
        <w:t>for intervening</w:t>
      </w:r>
      <w:r w:rsidRPr="00F90A54">
        <w:rPr>
          <w:rFonts w:ascii="Garamond" w:hAnsi="Garamond"/>
        </w:rPr>
        <w:t>. This analysis necessarily relies on how outsiders have articulated their interests to the court and the other parties. There may well be some hidden motivations that one does not typically reveal in an institutional setting.</w:t>
      </w:r>
      <w:r w:rsidRPr="00F90A54">
        <w:rPr>
          <w:rStyle w:val="FootnoteReference"/>
          <w:rFonts w:ascii="Garamond" w:hAnsi="Garamond"/>
        </w:rPr>
        <w:footnoteReference w:id="177"/>
      </w:r>
      <w:r w:rsidRPr="00F90A54">
        <w:rPr>
          <w:rFonts w:ascii="Garamond" w:hAnsi="Garamond"/>
        </w:rPr>
        <w:t xml:space="preserve"> Many parties will also have more than one reason for intervening. </w:t>
      </w:r>
    </w:p>
    <w:p w14:paraId="012B48BC" w14:textId="46F7CEE3" w:rsidR="00C3103D" w:rsidRDefault="00C3103D" w:rsidP="00C3103D">
      <w:pPr>
        <w:ind w:firstLine="360"/>
        <w:jc w:val="both"/>
        <w:rPr>
          <w:rFonts w:ascii="Garamond" w:hAnsi="Garamond"/>
        </w:rPr>
      </w:pPr>
      <w:r w:rsidRPr="00F90A54">
        <w:rPr>
          <w:rFonts w:ascii="Garamond" w:hAnsi="Garamond"/>
        </w:rPr>
        <w:t>But</w:t>
      </w:r>
      <w:r>
        <w:rPr>
          <w:rFonts w:ascii="Garamond" w:hAnsi="Garamond"/>
        </w:rPr>
        <w:t xml:space="preserve"> b</w:t>
      </w:r>
      <w:r w:rsidRPr="00F90A54">
        <w:rPr>
          <w:rFonts w:ascii="Garamond" w:hAnsi="Garamond"/>
        </w:rPr>
        <w:t>y identifying the general categories of motives, we can see how courts have responded to those reasons and compare them to what intervenors have been able to achieve. These categories also allow us to separate benign or beneficial purposes from those that are more detrimental.</w:t>
      </w:r>
      <w:r>
        <w:rPr>
          <w:rFonts w:ascii="Garamond" w:hAnsi="Garamond"/>
        </w:rPr>
        <w:t xml:space="preserve"> As discussed in Part III, intervenors in this </w:t>
      </w:r>
      <w:r w:rsidR="00277285">
        <w:rPr>
          <w:rFonts w:ascii="Garamond" w:hAnsi="Garamond"/>
        </w:rPr>
        <w:t>sixth</w:t>
      </w:r>
      <w:r>
        <w:rPr>
          <w:rFonts w:ascii="Garamond" w:hAnsi="Garamond"/>
        </w:rPr>
        <w:t xml:space="preserve"> category, whose purpose is to prevent a settlement or guarantee an appeal, give rise to the most concerning normative consequences. </w:t>
      </w:r>
    </w:p>
    <w:p w14:paraId="2778366C" w14:textId="051C83D6" w:rsidR="001321A9" w:rsidRPr="00F90A54" w:rsidRDefault="001321A9" w:rsidP="001F4A3F">
      <w:pPr>
        <w:ind w:firstLine="360"/>
        <w:jc w:val="both"/>
        <w:rPr>
          <w:rFonts w:ascii="Garamond" w:hAnsi="Garamond"/>
        </w:rPr>
      </w:pPr>
      <w:r w:rsidRPr="00F90A54">
        <w:rPr>
          <w:rFonts w:ascii="Garamond" w:hAnsi="Garamond"/>
          <w:i/>
          <w:iCs/>
        </w:rPr>
        <w:t xml:space="preserve">1. </w:t>
      </w:r>
      <w:r w:rsidRPr="00F90A54">
        <w:rPr>
          <w:rFonts w:ascii="Garamond" w:hAnsi="Garamond"/>
          <w:i/>
          <w:iCs/>
        </w:rPr>
        <w:tab/>
        <w:t xml:space="preserve">To </w:t>
      </w:r>
      <w:r w:rsidR="00C3103D">
        <w:rPr>
          <w:rFonts w:ascii="Garamond" w:hAnsi="Garamond"/>
          <w:i/>
          <w:iCs/>
        </w:rPr>
        <w:t>supplement the evidentiary record</w:t>
      </w:r>
      <w:r w:rsidRPr="00F90A54">
        <w:rPr>
          <w:rFonts w:ascii="Garamond" w:hAnsi="Garamond"/>
        </w:rPr>
        <w:t xml:space="preserve">. – Many intervenors seek to add new evidence for the court to consider, </w:t>
      </w:r>
      <w:r w:rsidR="00A71541" w:rsidRPr="00F90A54">
        <w:rPr>
          <w:rFonts w:ascii="Garamond" w:hAnsi="Garamond"/>
        </w:rPr>
        <w:t>often to bolster a</w:t>
      </w:r>
      <w:r w:rsidRPr="00F90A54">
        <w:rPr>
          <w:rFonts w:ascii="Garamond" w:hAnsi="Garamond"/>
        </w:rPr>
        <w:t xml:space="preserve"> substantive claim or </w:t>
      </w:r>
      <w:r w:rsidR="00A71541" w:rsidRPr="00F90A54">
        <w:rPr>
          <w:rFonts w:ascii="Garamond" w:hAnsi="Garamond"/>
        </w:rPr>
        <w:t xml:space="preserve">to justify </w:t>
      </w:r>
      <w:r w:rsidRPr="00F90A54">
        <w:rPr>
          <w:rFonts w:ascii="Garamond" w:hAnsi="Garamond"/>
        </w:rPr>
        <w:t xml:space="preserve">the scope of the </w:t>
      </w:r>
      <w:r w:rsidR="00A71541" w:rsidRPr="00F90A54">
        <w:rPr>
          <w:rFonts w:ascii="Garamond" w:hAnsi="Garamond"/>
        </w:rPr>
        <w:t>remedy</w:t>
      </w:r>
      <w:r w:rsidRPr="00F90A54">
        <w:rPr>
          <w:rFonts w:ascii="Garamond" w:hAnsi="Garamond"/>
        </w:rPr>
        <w:t>.</w:t>
      </w:r>
      <w:r w:rsidRPr="00F90A54">
        <w:rPr>
          <w:rStyle w:val="FootnoteReference"/>
          <w:rFonts w:ascii="Garamond" w:hAnsi="Garamond"/>
        </w:rPr>
        <w:footnoteReference w:id="178"/>
      </w:r>
      <w:r w:rsidRPr="00F90A54">
        <w:rPr>
          <w:rFonts w:ascii="Garamond" w:hAnsi="Garamond"/>
        </w:rPr>
        <w:t xml:space="preserve"> Some</w:t>
      </w:r>
      <w:r w:rsidR="00A71541" w:rsidRPr="00F90A54">
        <w:rPr>
          <w:rFonts w:ascii="Garamond" w:hAnsi="Garamond"/>
        </w:rPr>
        <w:t xml:space="preserve">times the intervenor submits that evidence directly to the court. </w:t>
      </w:r>
      <w:r w:rsidR="00CA5804" w:rsidRPr="00F90A54">
        <w:rPr>
          <w:rFonts w:ascii="Garamond" w:hAnsi="Garamond"/>
        </w:rPr>
        <w:lastRenderedPageBreak/>
        <w:t>Or the</w:t>
      </w:r>
      <w:r w:rsidR="00A71541" w:rsidRPr="00F90A54">
        <w:rPr>
          <w:rFonts w:ascii="Garamond" w:hAnsi="Garamond"/>
        </w:rPr>
        <w:t xml:space="preserve"> intervenor might bring the evidence to the court’s attention after obtaining discovery from one of the original parties.</w:t>
      </w:r>
      <w:r w:rsidRPr="00F90A54">
        <w:rPr>
          <w:rStyle w:val="FootnoteReference"/>
          <w:rFonts w:ascii="Garamond" w:hAnsi="Garamond"/>
        </w:rPr>
        <w:footnoteReference w:id="179"/>
      </w:r>
      <w:r w:rsidRPr="00F90A54">
        <w:rPr>
          <w:rFonts w:ascii="Garamond" w:hAnsi="Garamond"/>
        </w:rPr>
        <w:t xml:space="preserve"> </w:t>
      </w:r>
    </w:p>
    <w:p w14:paraId="49CC8B33" w14:textId="45F58501" w:rsidR="001321A9" w:rsidRPr="00F90A54" w:rsidRDefault="001321A9" w:rsidP="001F4A3F">
      <w:pPr>
        <w:ind w:firstLine="360"/>
        <w:jc w:val="both"/>
        <w:rPr>
          <w:rFonts w:ascii="Garamond" w:hAnsi="Garamond"/>
        </w:rPr>
      </w:pPr>
      <w:r w:rsidRPr="00F90A54">
        <w:rPr>
          <w:rFonts w:ascii="Garamond" w:hAnsi="Garamond"/>
        </w:rPr>
        <w:t xml:space="preserve">For example, in two challenges against the Trump </w:t>
      </w:r>
      <w:r w:rsidR="005E7968" w:rsidRPr="00F90A54">
        <w:rPr>
          <w:rFonts w:ascii="Garamond" w:hAnsi="Garamond"/>
        </w:rPr>
        <w:t>a</w:t>
      </w:r>
      <w:r w:rsidRPr="00F90A54">
        <w:rPr>
          <w:rFonts w:ascii="Garamond" w:hAnsi="Garamond"/>
        </w:rPr>
        <w:t>dministration’s ban on transgender individuals serving in the military,</w:t>
      </w:r>
      <w:r w:rsidRPr="00F90A54">
        <w:rPr>
          <w:rStyle w:val="FootnoteReference"/>
          <w:rFonts w:ascii="Garamond" w:hAnsi="Garamond"/>
        </w:rPr>
        <w:footnoteReference w:id="180"/>
      </w:r>
      <w:r w:rsidRPr="00F90A54">
        <w:rPr>
          <w:rFonts w:ascii="Garamond" w:hAnsi="Garamond"/>
        </w:rPr>
        <w:t xml:space="preserve"> several states moved to intervene to develop the factual record to support a nationwide injunction.</w:t>
      </w:r>
      <w:r w:rsidRPr="00F90A54">
        <w:rPr>
          <w:rStyle w:val="FootnoteReference"/>
          <w:rFonts w:ascii="Garamond" w:hAnsi="Garamond"/>
        </w:rPr>
        <w:footnoteReference w:id="181"/>
      </w:r>
      <w:r w:rsidRPr="00F90A54">
        <w:rPr>
          <w:rFonts w:ascii="Garamond" w:hAnsi="Garamond"/>
        </w:rPr>
        <w:t xml:space="preserve"> California intervened in </w:t>
      </w:r>
      <w:r w:rsidRPr="00F90A54">
        <w:rPr>
          <w:rFonts w:ascii="Garamond" w:hAnsi="Garamond"/>
          <w:i/>
          <w:iCs/>
        </w:rPr>
        <w:t>Stockman v. Trump</w:t>
      </w:r>
      <w:r w:rsidRPr="00F90A54">
        <w:rPr>
          <w:rFonts w:ascii="Garamond" w:hAnsi="Garamond"/>
        </w:rPr>
        <w:t xml:space="preserve"> to introduce harms to “California’s national Guard,” the “State’s public colleges and universities, which support ROTC programs,” and the “State’s transgender community.”</w:t>
      </w:r>
      <w:r w:rsidRPr="00F90A54">
        <w:rPr>
          <w:rStyle w:val="FootnoteReference"/>
          <w:rFonts w:ascii="Garamond" w:hAnsi="Garamond"/>
        </w:rPr>
        <w:footnoteReference w:id="182"/>
      </w:r>
      <w:r w:rsidRPr="00F90A54">
        <w:rPr>
          <w:rFonts w:ascii="Garamond" w:hAnsi="Garamond"/>
        </w:rPr>
        <w:t xml:space="preserve"> And Washington state intervened in </w:t>
      </w:r>
      <w:proofErr w:type="spellStart"/>
      <w:r w:rsidRPr="00F90A54">
        <w:rPr>
          <w:rFonts w:ascii="Garamond" w:hAnsi="Garamond"/>
          <w:i/>
          <w:iCs/>
        </w:rPr>
        <w:t>Karnoski</w:t>
      </w:r>
      <w:proofErr w:type="spellEnd"/>
      <w:r w:rsidRPr="00F90A54">
        <w:rPr>
          <w:rFonts w:ascii="Garamond" w:hAnsi="Garamond"/>
          <w:i/>
          <w:iCs/>
        </w:rPr>
        <w:t xml:space="preserve"> v. Trump</w:t>
      </w:r>
      <w:r w:rsidRPr="00F90A54">
        <w:rPr>
          <w:rFonts w:ascii="Garamond" w:hAnsi="Garamond"/>
        </w:rPr>
        <w:t xml:space="preserve"> to “seek discovery to establish further evidence related to its proprietary and sovereign harms.”</w:t>
      </w:r>
      <w:r w:rsidRPr="00F90A54">
        <w:rPr>
          <w:rStyle w:val="FootnoteReference"/>
          <w:rFonts w:ascii="Garamond" w:hAnsi="Garamond"/>
        </w:rPr>
        <w:footnoteReference w:id="183"/>
      </w:r>
      <w:r w:rsidRPr="00F90A54">
        <w:rPr>
          <w:rFonts w:ascii="Garamond" w:hAnsi="Garamond"/>
        </w:rPr>
        <w:t xml:space="preserve"> Similarly, in the multi-suit challenge to President Trump’s “Travel Ban,” several states moved to intervene on appeal to “present evidence and argument as to standing, irreparable injury, the equities, and the public interest” including harms to the states’ “healthcare systems,” “companies,” and “tax revenue.”</w:t>
      </w:r>
      <w:r w:rsidRPr="00F90A54">
        <w:rPr>
          <w:rStyle w:val="FootnoteReference"/>
          <w:rFonts w:ascii="Garamond" w:hAnsi="Garamond"/>
        </w:rPr>
        <w:footnoteReference w:id="184"/>
      </w:r>
      <w:r w:rsidRPr="00F90A54">
        <w:rPr>
          <w:rFonts w:ascii="Garamond" w:hAnsi="Garamond"/>
        </w:rPr>
        <w:t xml:space="preserve"> </w:t>
      </w:r>
    </w:p>
    <w:p w14:paraId="470505AF" w14:textId="780BD003" w:rsidR="001321A9" w:rsidRPr="00F90A54" w:rsidRDefault="001321A9" w:rsidP="001F4A3F">
      <w:pPr>
        <w:ind w:firstLine="360"/>
        <w:jc w:val="both"/>
        <w:rPr>
          <w:rFonts w:ascii="Garamond" w:hAnsi="Garamond"/>
        </w:rPr>
      </w:pPr>
      <w:r w:rsidRPr="00F90A54">
        <w:rPr>
          <w:rFonts w:ascii="Garamond" w:hAnsi="Garamond"/>
        </w:rPr>
        <w:t>Intervenors defending challenged policies also seek to supplement the record or pursue discovery. For example, in the case against the FDA’s in-person dispensing requirements for a medical-abortion drug, Mifepristone, several states sought to add evidence to show “the purposes that FDA drug approvals are intended to serve.”</w:t>
      </w:r>
      <w:r w:rsidRPr="00F90A54">
        <w:rPr>
          <w:rStyle w:val="FootnoteReference"/>
          <w:rFonts w:ascii="Garamond" w:hAnsi="Garamond"/>
        </w:rPr>
        <w:footnoteReference w:id="185"/>
      </w:r>
      <w:r w:rsidRPr="00F90A54">
        <w:rPr>
          <w:rFonts w:ascii="Garamond" w:hAnsi="Garamond"/>
        </w:rPr>
        <w:t xml:space="preserve"> As they explained in their opening brief </w:t>
      </w:r>
      <w:r w:rsidR="005E11A6" w:rsidRPr="00F90A54">
        <w:rPr>
          <w:rFonts w:ascii="Garamond" w:hAnsi="Garamond"/>
        </w:rPr>
        <w:t>i</w:t>
      </w:r>
      <w:r w:rsidRPr="00F90A54">
        <w:rPr>
          <w:rFonts w:ascii="Garamond" w:hAnsi="Garamond"/>
        </w:rPr>
        <w:t xml:space="preserve">n their appeal, </w:t>
      </w:r>
      <w:r w:rsidR="005E7968" w:rsidRPr="00F90A54">
        <w:rPr>
          <w:rFonts w:ascii="Garamond" w:hAnsi="Garamond"/>
        </w:rPr>
        <w:t xml:space="preserve">after the district court denied their motion to intervene, </w:t>
      </w:r>
      <w:r w:rsidRPr="00F90A54">
        <w:rPr>
          <w:rFonts w:ascii="Garamond" w:hAnsi="Garamond"/>
        </w:rPr>
        <w:t xml:space="preserve">the states were “forced” to “watch from the sidelines as amici while </w:t>
      </w:r>
      <w:r w:rsidR="005E7968" w:rsidRPr="00F90A54">
        <w:rPr>
          <w:rFonts w:ascii="Garamond" w:hAnsi="Garamond"/>
        </w:rPr>
        <w:t>[the plaintiff]</w:t>
      </w:r>
      <w:r w:rsidRPr="00F90A54">
        <w:rPr>
          <w:rFonts w:ascii="Garamond" w:hAnsi="Garamond"/>
        </w:rPr>
        <w:t xml:space="preserve"> and FDA developed the factual record.”</w:t>
      </w:r>
      <w:r w:rsidRPr="00F90A54">
        <w:rPr>
          <w:rStyle w:val="FootnoteReference"/>
          <w:rFonts w:ascii="Garamond" w:hAnsi="Garamond"/>
        </w:rPr>
        <w:footnoteReference w:id="186"/>
      </w:r>
      <w:r w:rsidRPr="00F90A54">
        <w:rPr>
          <w:rFonts w:ascii="Garamond" w:hAnsi="Garamond"/>
        </w:rPr>
        <w:t xml:space="preserve"> Had they been allowed to intervene, the states would have sought “direct access to technical discussions in FDA’s safety reviews of mifepristone,” that was otherwise “significant[</w:t>
      </w:r>
      <w:proofErr w:type="spellStart"/>
      <w:r w:rsidRPr="00F90A54">
        <w:rPr>
          <w:rFonts w:ascii="Garamond" w:hAnsi="Garamond"/>
        </w:rPr>
        <w:t>ly</w:t>
      </w:r>
      <w:proofErr w:type="spellEnd"/>
      <w:r w:rsidRPr="00F90A54">
        <w:rPr>
          <w:rFonts w:ascii="Garamond" w:hAnsi="Garamond"/>
        </w:rPr>
        <w:t>] redact[ed]</w:t>
      </w:r>
      <w:r w:rsidR="00C8476E" w:rsidRPr="00F90A54">
        <w:rPr>
          <w:rFonts w:ascii="Garamond" w:hAnsi="Garamond"/>
        </w:rPr>
        <w:t>,</w:t>
      </w:r>
      <w:r w:rsidRPr="00F90A54">
        <w:rPr>
          <w:rFonts w:ascii="Garamond" w:hAnsi="Garamond"/>
        </w:rPr>
        <w:t xml:space="preserve">” </w:t>
      </w:r>
      <w:r w:rsidR="00C8476E" w:rsidRPr="00F90A54">
        <w:rPr>
          <w:rFonts w:ascii="Garamond" w:hAnsi="Garamond"/>
        </w:rPr>
        <w:t xml:space="preserve">making </w:t>
      </w:r>
      <w:r w:rsidRPr="00F90A54">
        <w:rPr>
          <w:rFonts w:ascii="Garamond" w:hAnsi="Garamond"/>
        </w:rPr>
        <w:t>it difficult to “fully assess[] the information before the agency.”</w:t>
      </w:r>
      <w:r w:rsidRPr="00F90A54">
        <w:rPr>
          <w:rStyle w:val="FootnoteReference"/>
          <w:rFonts w:ascii="Garamond" w:hAnsi="Garamond"/>
        </w:rPr>
        <w:footnoteReference w:id="187"/>
      </w:r>
      <w:r w:rsidRPr="00F90A54">
        <w:rPr>
          <w:rFonts w:ascii="Garamond" w:hAnsi="Garamond"/>
        </w:rPr>
        <w:t xml:space="preserve"> </w:t>
      </w:r>
    </w:p>
    <w:p w14:paraId="26B7E278" w14:textId="692237BC" w:rsidR="001321A9" w:rsidRPr="00F90A54" w:rsidRDefault="001321A9" w:rsidP="001F4A3F">
      <w:pPr>
        <w:ind w:firstLine="360"/>
        <w:jc w:val="both"/>
        <w:rPr>
          <w:rFonts w:ascii="Garamond" w:hAnsi="Garamond"/>
        </w:rPr>
      </w:pPr>
      <w:r w:rsidRPr="00F90A54">
        <w:rPr>
          <w:rFonts w:ascii="Garamond" w:hAnsi="Garamond"/>
        </w:rPr>
        <w:t xml:space="preserve">Similarly, when several states challenged President Obama’s Deferred Action for Parents of Americans and Lawful Permanent Residents (DAPA), a group of </w:t>
      </w:r>
      <w:r w:rsidRPr="00F90A54">
        <w:rPr>
          <w:rFonts w:ascii="Garamond" w:hAnsi="Garamond"/>
        </w:rPr>
        <w:lastRenderedPageBreak/>
        <w:t>undocumented individuals—DAPA-eligible mothers of U.S. citizen children—moved to intervene.</w:t>
      </w:r>
      <w:r w:rsidRPr="00F90A54">
        <w:rPr>
          <w:rStyle w:val="FootnoteReference"/>
          <w:rFonts w:ascii="Garamond" w:hAnsi="Garamond"/>
        </w:rPr>
        <w:footnoteReference w:id="188"/>
      </w:r>
      <w:r w:rsidRPr="00F90A54">
        <w:rPr>
          <w:rFonts w:ascii="Garamond" w:hAnsi="Garamond"/>
        </w:rPr>
        <w:t xml:space="preserve"> They wanted to “submit evidence from their own experiences and the experience of other undocumented immigrants” in the suing states. This evidence was relevant to “rebut the States’ claims that DAPA will have negative economic and social effects,” </w:t>
      </w:r>
      <w:r w:rsidR="00C8476E" w:rsidRPr="00F90A54">
        <w:rPr>
          <w:rFonts w:ascii="Garamond" w:hAnsi="Garamond"/>
        </w:rPr>
        <w:t>and thus show</w:t>
      </w:r>
      <w:r w:rsidRPr="00F90A54">
        <w:rPr>
          <w:rFonts w:ascii="Garamond" w:hAnsi="Garamond"/>
        </w:rPr>
        <w:t xml:space="preserve"> that </w:t>
      </w:r>
      <w:r w:rsidR="00F13A94" w:rsidRPr="00F90A54">
        <w:rPr>
          <w:rFonts w:ascii="Garamond" w:hAnsi="Garamond"/>
        </w:rPr>
        <w:t xml:space="preserve">the </w:t>
      </w:r>
      <w:r w:rsidRPr="00F90A54">
        <w:rPr>
          <w:rFonts w:ascii="Garamond" w:hAnsi="Garamond"/>
        </w:rPr>
        <w:t>states lacked Article III standing.</w:t>
      </w:r>
      <w:r w:rsidRPr="00F90A54">
        <w:rPr>
          <w:rStyle w:val="FootnoteReference"/>
          <w:rFonts w:ascii="Garamond" w:hAnsi="Garamond"/>
        </w:rPr>
        <w:footnoteReference w:id="189"/>
      </w:r>
      <w:r w:rsidRPr="00F90A54">
        <w:rPr>
          <w:rFonts w:ascii="Garamond" w:hAnsi="Garamond"/>
        </w:rPr>
        <w:t xml:space="preserve"> In a later lawsuit against Deferred Action for Childhood Arrivals (DACA), </w:t>
      </w:r>
      <w:r w:rsidR="00F13A94" w:rsidRPr="00F90A54">
        <w:rPr>
          <w:rFonts w:ascii="Garamond" w:hAnsi="Garamond"/>
        </w:rPr>
        <w:t xml:space="preserve">the same set of undocumented immigrants intervened, joined this time by </w:t>
      </w:r>
      <w:r w:rsidRPr="00F90A54">
        <w:rPr>
          <w:rFonts w:ascii="Garamond" w:hAnsi="Garamond"/>
        </w:rPr>
        <w:t>New Jersey. New Jersey explained that it wanted to “include essential additional facts for the court to consider in the balancing of equities necessary for a preliminary injunction and an ultimate adjudication on the merits.”</w:t>
      </w:r>
      <w:r w:rsidRPr="00F90A54">
        <w:rPr>
          <w:rStyle w:val="FootnoteReference"/>
          <w:rFonts w:ascii="Garamond" w:hAnsi="Garamond"/>
        </w:rPr>
        <w:footnoteReference w:id="190"/>
      </w:r>
      <w:r w:rsidRPr="00F90A54">
        <w:rPr>
          <w:rFonts w:ascii="Garamond" w:hAnsi="Garamond"/>
        </w:rPr>
        <w:t xml:space="preserve"> In opposing New Jersey’s motion, the plaintiff </w:t>
      </w:r>
      <w:r w:rsidR="00F13A94" w:rsidRPr="00F90A54">
        <w:rPr>
          <w:rFonts w:ascii="Garamond" w:hAnsi="Garamond"/>
        </w:rPr>
        <w:t>S</w:t>
      </w:r>
      <w:r w:rsidRPr="00F90A54">
        <w:rPr>
          <w:rFonts w:ascii="Garamond" w:hAnsi="Garamond"/>
        </w:rPr>
        <w:t>tates argued that they would be prejudiced by having to spend time addressing New Jersey’s “extensive list of witnesses” including “declarations from thirteen individuals—including an ‘expert on immigration politics and policy,’ three ‘tax policy experts,’ an economist, DACA recipients, and state officials.”</w:t>
      </w:r>
      <w:r w:rsidRPr="00F90A54">
        <w:rPr>
          <w:rStyle w:val="FootnoteReference"/>
          <w:rFonts w:ascii="Garamond" w:hAnsi="Garamond"/>
        </w:rPr>
        <w:footnoteReference w:id="191"/>
      </w:r>
      <w:r w:rsidRPr="00F90A54">
        <w:rPr>
          <w:rFonts w:ascii="Garamond" w:hAnsi="Garamond"/>
        </w:rPr>
        <w:t xml:space="preserve"> </w:t>
      </w:r>
    </w:p>
    <w:p w14:paraId="7777CB8A" w14:textId="42ED5549" w:rsidR="001321A9" w:rsidRPr="00F90A54" w:rsidRDefault="001321A9" w:rsidP="001F4A3F">
      <w:pPr>
        <w:ind w:firstLine="360"/>
        <w:jc w:val="both"/>
        <w:rPr>
          <w:rFonts w:ascii="Garamond" w:hAnsi="Garamond"/>
        </w:rPr>
      </w:pPr>
      <w:r w:rsidRPr="00F90A54">
        <w:rPr>
          <w:rFonts w:ascii="Garamond" w:hAnsi="Garamond"/>
          <w:i/>
          <w:iCs/>
        </w:rPr>
        <w:t xml:space="preserve">2. </w:t>
      </w:r>
      <w:r w:rsidRPr="00F90A54">
        <w:rPr>
          <w:rFonts w:ascii="Garamond" w:hAnsi="Garamond"/>
          <w:i/>
          <w:iCs/>
        </w:rPr>
        <w:tab/>
        <w:t>To add new arguments</w:t>
      </w:r>
      <w:r w:rsidRPr="00F90A54">
        <w:rPr>
          <w:rFonts w:ascii="Garamond" w:hAnsi="Garamond"/>
        </w:rPr>
        <w:t xml:space="preserve">. – </w:t>
      </w:r>
      <w:r w:rsidR="00C3103D">
        <w:rPr>
          <w:rFonts w:ascii="Garamond" w:hAnsi="Garamond"/>
        </w:rPr>
        <w:t>This category involves i</w:t>
      </w:r>
      <w:r w:rsidRPr="00F90A54">
        <w:rPr>
          <w:rFonts w:ascii="Garamond" w:hAnsi="Garamond"/>
        </w:rPr>
        <w:t xml:space="preserve">ntervenors </w:t>
      </w:r>
      <w:r w:rsidR="00C3103D">
        <w:rPr>
          <w:rFonts w:ascii="Garamond" w:hAnsi="Garamond"/>
        </w:rPr>
        <w:t xml:space="preserve">who seek to supplement the arguments the court considers for a particular claim. </w:t>
      </w:r>
      <w:proofErr w:type="gramStart"/>
      <w:r w:rsidRPr="00F90A54">
        <w:rPr>
          <w:rFonts w:ascii="Garamond" w:hAnsi="Garamond"/>
        </w:rPr>
        <w:t>As plaintiffs, intervenors</w:t>
      </w:r>
      <w:proofErr w:type="gramEnd"/>
      <w:r w:rsidRPr="00F90A54">
        <w:rPr>
          <w:rFonts w:ascii="Garamond" w:hAnsi="Garamond"/>
        </w:rPr>
        <w:t xml:space="preserve"> raise additional reasons why the challenged policy is unlawful. </w:t>
      </w:r>
      <w:proofErr w:type="gramStart"/>
      <w:r w:rsidRPr="00F90A54">
        <w:rPr>
          <w:rFonts w:ascii="Garamond" w:hAnsi="Garamond"/>
        </w:rPr>
        <w:t>As defendants, intervenors</w:t>
      </w:r>
      <w:proofErr w:type="gramEnd"/>
      <w:r w:rsidRPr="00F90A54">
        <w:rPr>
          <w:rFonts w:ascii="Garamond" w:hAnsi="Garamond"/>
        </w:rPr>
        <w:t xml:space="preserve"> </w:t>
      </w:r>
      <w:r w:rsidR="00C3103D">
        <w:rPr>
          <w:rFonts w:ascii="Garamond" w:hAnsi="Garamond"/>
        </w:rPr>
        <w:t>augment</w:t>
      </w:r>
      <w:r w:rsidRPr="00F90A54">
        <w:rPr>
          <w:rFonts w:ascii="Garamond" w:hAnsi="Garamond"/>
        </w:rPr>
        <w:t xml:space="preserve"> the federal government’s defense. </w:t>
      </w:r>
    </w:p>
    <w:p w14:paraId="49C864F1" w14:textId="006EF962" w:rsidR="001321A9" w:rsidRPr="00F90A54" w:rsidRDefault="001321A9" w:rsidP="001F4A3F">
      <w:pPr>
        <w:ind w:firstLine="360"/>
        <w:jc w:val="both"/>
        <w:rPr>
          <w:rFonts w:ascii="Garamond" w:hAnsi="Garamond"/>
        </w:rPr>
      </w:pPr>
      <w:r w:rsidRPr="00F90A54">
        <w:rPr>
          <w:rFonts w:ascii="Garamond" w:hAnsi="Garamond"/>
        </w:rPr>
        <w:t xml:space="preserve">For </w:t>
      </w:r>
      <w:r w:rsidR="00F13A94" w:rsidRPr="00F90A54">
        <w:rPr>
          <w:rFonts w:ascii="Garamond" w:hAnsi="Garamond"/>
        </w:rPr>
        <w:t xml:space="preserve">an </w:t>
      </w:r>
      <w:r w:rsidRPr="00F90A54">
        <w:rPr>
          <w:rFonts w:ascii="Garamond" w:hAnsi="Garamond"/>
        </w:rPr>
        <w:t xml:space="preserve">example on the plaintiff’s side, several intervenors sought to assert new arguments in the challenges against the Travel Ban. In the Ninth Circuit appeal from Washington </w:t>
      </w:r>
      <w:r w:rsidR="00F13A94" w:rsidRPr="00F90A54">
        <w:rPr>
          <w:rFonts w:ascii="Garamond" w:hAnsi="Garamond"/>
        </w:rPr>
        <w:t>s</w:t>
      </w:r>
      <w:r w:rsidRPr="00F90A54">
        <w:rPr>
          <w:rFonts w:ascii="Garamond" w:hAnsi="Garamond"/>
        </w:rPr>
        <w:t>tate’s claim, Hawaii sought to intervene to protect its own temporary restraining order and add arguments that Washington had not raised.</w:t>
      </w:r>
      <w:r w:rsidRPr="00F90A54">
        <w:rPr>
          <w:rStyle w:val="FootnoteReference"/>
          <w:rFonts w:ascii="Garamond" w:hAnsi="Garamond"/>
        </w:rPr>
        <w:footnoteReference w:id="192"/>
      </w:r>
      <w:r w:rsidRPr="00F90A54">
        <w:rPr>
          <w:rFonts w:ascii="Garamond" w:hAnsi="Garamond"/>
        </w:rPr>
        <w:t xml:space="preserve"> Hawaii also wanted to </w:t>
      </w:r>
      <w:r w:rsidR="00F13A94" w:rsidRPr="00F90A54">
        <w:rPr>
          <w:rFonts w:ascii="Garamond" w:hAnsi="Garamond"/>
        </w:rPr>
        <w:t xml:space="preserve">counter </w:t>
      </w:r>
      <w:r w:rsidRPr="00F90A54">
        <w:rPr>
          <w:rFonts w:ascii="Garamond" w:hAnsi="Garamond"/>
        </w:rPr>
        <w:t xml:space="preserve">the federal government’s assertion that it had </w:t>
      </w:r>
      <w:r w:rsidR="00F13A94" w:rsidRPr="00F90A54">
        <w:rPr>
          <w:rFonts w:ascii="Garamond" w:hAnsi="Garamond"/>
        </w:rPr>
        <w:t>“</w:t>
      </w:r>
      <w:r w:rsidRPr="00F90A54">
        <w:rPr>
          <w:rFonts w:ascii="Garamond" w:hAnsi="Garamond"/>
        </w:rPr>
        <w:t>plenary powers” over immigration policy—an argument to which Washington had yet to respond.</w:t>
      </w:r>
      <w:r w:rsidRPr="00F90A54">
        <w:rPr>
          <w:rStyle w:val="FootnoteReference"/>
          <w:rFonts w:ascii="Garamond" w:hAnsi="Garamond"/>
        </w:rPr>
        <w:footnoteReference w:id="193"/>
      </w:r>
      <w:r w:rsidRPr="00F90A54">
        <w:rPr>
          <w:rFonts w:ascii="Garamond" w:hAnsi="Garamond"/>
        </w:rPr>
        <w:t xml:space="preserve"> </w:t>
      </w:r>
    </w:p>
    <w:p w14:paraId="27D55C7A" w14:textId="2CAFB6DD" w:rsidR="001321A9" w:rsidRPr="00F90A54" w:rsidRDefault="001321A9" w:rsidP="001F4A3F">
      <w:pPr>
        <w:ind w:firstLine="360"/>
        <w:jc w:val="both"/>
        <w:rPr>
          <w:rFonts w:ascii="Garamond" w:hAnsi="Garamond"/>
        </w:rPr>
      </w:pPr>
      <w:r w:rsidRPr="00F90A54">
        <w:rPr>
          <w:rFonts w:ascii="Garamond" w:hAnsi="Garamond"/>
        </w:rPr>
        <w:t xml:space="preserve">Intervenors on the defendant’s side often explain how their arguments are different in scope from those asserted by the federal government. In a challenge to the Environmental Protection Agency’s </w:t>
      </w:r>
      <w:r w:rsidR="00937A8A" w:rsidRPr="00F90A54">
        <w:rPr>
          <w:rFonts w:ascii="Garamond" w:hAnsi="Garamond"/>
        </w:rPr>
        <w:t xml:space="preserve">(EPA) </w:t>
      </w:r>
      <w:r w:rsidRPr="00F90A54">
        <w:rPr>
          <w:rFonts w:ascii="Garamond" w:hAnsi="Garamond"/>
        </w:rPr>
        <w:t xml:space="preserve">rule defining “Waters of the United States,” for instance, conservation groups intervened to argue that “the Final Rule does not go </w:t>
      </w:r>
      <w:r w:rsidRPr="00F90A54">
        <w:rPr>
          <w:rFonts w:ascii="Garamond" w:hAnsi="Garamond"/>
          <w:i/>
          <w:iCs/>
        </w:rPr>
        <w:t>far enough</w:t>
      </w:r>
      <w:r w:rsidRPr="00F90A54">
        <w:rPr>
          <w:rFonts w:ascii="Garamond" w:hAnsi="Garamond"/>
        </w:rPr>
        <w:t xml:space="preserve"> in identifying waters protected under the Clean Water Act.”</w:t>
      </w:r>
      <w:r w:rsidRPr="00F90A54">
        <w:rPr>
          <w:rStyle w:val="FootnoteReference"/>
          <w:rFonts w:ascii="Garamond" w:hAnsi="Garamond"/>
        </w:rPr>
        <w:footnoteReference w:id="194"/>
      </w:r>
      <w:r w:rsidRPr="00F90A54">
        <w:rPr>
          <w:rFonts w:ascii="Garamond" w:hAnsi="Garamond"/>
        </w:rPr>
        <w:t xml:space="preserve"> </w:t>
      </w:r>
      <w:r w:rsidRPr="00F90A54">
        <w:rPr>
          <w:rFonts w:ascii="Garamond" w:hAnsi="Garamond"/>
        </w:rPr>
        <w:lastRenderedPageBreak/>
        <w:t xml:space="preserve">Similarly, several health-care providers sought to intervene in a suit against </w:t>
      </w:r>
      <w:r w:rsidR="00937A8A" w:rsidRPr="00F90A54">
        <w:rPr>
          <w:rFonts w:ascii="Garamond" w:hAnsi="Garamond"/>
        </w:rPr>
        <w:t xml:space="preserve">HHS’s </w:t>
      </w:r>
      <w:r w:rsidRPr="00F90A54">
        <w:rPr>
          <w:rFonts w:ascii="Garamond" w:hAnsi="Garamond"/>
        </w:rPr>
        <w:t>rules allow</w:t>
      </w:r>
      <w:r w:rsidR="00937A8A" w:rsidRPr="00F90A54">
        <w:rPr>
          <w:rFonts w:ascii="Garamond" w:hAnsi="Garamond"/>
        </w:rPr>
        <w:t>ing</w:t>
      </w:r>
      <w:r w:rsidRPr="00F90A54">
        <w:rPr>
          <w:rFonts w:ascii="Garamond" w:hAnsi="Garamond"/>
        </w:rPr>
        <w:t xml:space="preserve"> health-care providers to abstain from providing medical services that conflict with their beliefs.</w:t>
      </w:r>
      <w:r w:rsidRPr="00F90A54">
        <w:rPr>
          <w:rStyle w:val="FootnoteReference"/>
          <w:rFonts w:ascii="Garamond" w:hAnsi="Garamond"/>
        </w:rPr>
        <w:footnoteReference w:id="195"/>
      </w:r>
      <w:r w:rsidRPr="00F90A54">
        <w:rPr>
          <w:rFonts w:ascii="Garamond" w:hAnsi="Garamond"/>
        </w:rPr>
        <w:t xml:space="preserve"> The providers wanted to advocate for the rule as a whole, in contrast to HHS that they argued was likely to “endorse a more limited construction of the Rule” to avoid constitutional questions.</w:t>
      </w:r>
      <w:r w:rsidRPr="00F90A54">
        <w:rPr>
          <w:rStyle w:val="FootnoteReference"/>
          <w:rFonts w:ascii="Garamond" w:hAnsi="Garamond"/>
        </w:rPr>
        <w:footnoteReference w:id="196"/>
      </w:r>
    </w:p>
    <w:p w14:paraId="3F496F84" w14:textId="700D23DF" w:rsidR="001321A9" w:rsidRPr="00F90A54" w:rsidRDefault="001321A9" w:rsidP="001F4A3F">
      <w:pPr>
        <w:ind w:firstLine="360"/>
        <w:jc w:val="both"/>
        <w:rPr>
          <w:rFonts w:ascii="Garamond" w:hAnsi="Garamond"/>
        </w:rPr>
      </w:pPr>
      <w:r w:rsidRPr="00F90A54">
        <w:rPr>
          <w:rFonts w:ascii="Garamond" w:hAnsi="Garamond"/>
        </w:rPr>
        <w:t xml:space="preserve">In addition, defense-side intervenors argue that their participation is important because the federal government </w:t>
      </w:r>
      <w:r w:rsidR="00EE23D6" w:rsidRPr="00F90A54">
        <w:rPr>
          <w:rFonts w:ascii="Garamond" w:hAnsi="Garamond"/>
        </w:rPr>
        <w:t xml:space="preserve">either </w:t>
      </w:r>
      <w:r w:rsidRPr="00F90A54">
        <w:rPr>
          <w:rFonts w:ascii="Garamond" w:hAnsi="Garamond"/>
        </w:rPr>
        <w:t xml:space="preserve">failed to raise a defense or asserted an incorrect legal argument. For instance, the </w:t>
      </w:r>
      <w:r w:rsidR="00EE23D6" w:rsidRPr="00F90A54">
        <w:rPr>
          <w:rFonts w:ascii="Garamond" w:hAnsi="Garamond"/>
        </w:rPr>
        <w:t>S</w:t>
      </w:r>
      <w:r w:rsidRPr="00F90A54">
        <w:rPr>
          <w:rFonts w:ascii="Garamond" w:hAnsi="Garamond"/>
        </w:rPr>
        <w:t>tates who wanted to defend in-person dispens</w:t>
      </w:r>
      <w:r w:rsidR="00EE23D6" w:rsidRPr="00F90A54">
        <w:rPr>
          <w:rFonts w:ascii="Garamond" w:hAnsi="Garamond"/>
        </w:rPr>
        <w:t>ation</w:t>
      </w:r>
      <w:r w:rsidRPr="00F90A54">
        <w:rPr>
          <w:rFonts w:ascii="Garamond" w:hAnsi="Garamond"/>
        </w:rPr>
        <w:t xml:space="preserve"> for Mifepristone explained that they would </w:t>
      </w:r>
      <w:r w:rsidR="00EE23D6" w:rsidRPr="00F90A54">
        <w:rPr>
          <w:rFonts w:ascii="Garamond" w:hAnsi="Garamond"/>
        </w:rPr>
        <w:t xml:space="preserve">have raised the additional defense that </w:t>
      </w:r>
      <w:r w:rsidRPr="00F90A54">
        <w:rPr>
          <w:rFonts w:ascii="Garamond" w:hAnsi="Garamond"/>
        </w:rPr>
        <w:t>the plaintiffs failed to exhaust their administrative remedies.</w:t>
      </w:r>
      <w:r w:rsidRPr="00F90A54">
        <w:rPr>
          <w:rStyle w:val="FootnoteReference"/>
          <w:rFonts w:ascii="Garamond" w:hAnsi="Garamond"/>
        </w:rPr>
        <w:footnoteReference w:id="197"/>
      </w:r>
      <w:r w:rsidRPr="00F90A54">
        <w:rPr>
          <w:rFonts w:ascii="Garamond" w:hAnsi="Garamond"/>
        </w:rPr>
        <w:t xml:space="preserve"> And in the challenge to DAPA, the individual intervenors objected to the federal government’s position on one of the key questions underlying the dispute—whether the policy created a substantive right to state driver’s licenses.</w:t>
      </w:r>
      <w:r w:rsidRPr="00F90A54">
        <w:rPr>
          <w:rStyle w:val="FootnoteReference"/>
          <w:rFonts w:ascii="Garamond" w:hAnsi="Garamond"/>
        </w:rPr>
        <w:footnoteReference w:id="198"/>
      </w:r>
      <w:r w:rsidRPr="00F90A54">
        <w:rPr>
          <w:rFonts w:ascii="Garamond" w:hAnsi="Garamond"/>
        </w:rPr>
        <w:t xml:space="preserve"> The plaintiff </w:t>
      </w:r>
      <w:r w:rsidR="00DA096E" w:rsidRPr="00F90A54">
        <w:rPr>
          <w:rFonts w:ascii="Garamond" w:hAnsi="Garamond"/>
        </w:rPr>
        <w:t>S</w:t>
      </w:r>
      <w:r w:rsidRPr="00F90A54">
        <w:rPr>
          <w:rFonts w:ascii="Garamond" w:hAnsi="Garamond"/>
        </w:rPr>
        <w:t>tates argued they had Article III standing in part because federal law required them to spend resources processing driver’s license applications from DAPA recipients.</w:t>
      </w:r>
      <w:r w:rsidRPr="00F90A54">
        <w:rPr>
          <w:rStyle w:val="FootnoteReference"/>
          <w:rFonts w:ascii="Garamond" w:hAnsi="Garamond"/>
        </w:rPr>
        <w:footnoteReference w:id="199"/>
      </w:r>
      <w:r w:rsidRPr="00F90A54">
        <w:rPr>
          <w:rFonts w:ascii="Garamond" w:hAnsi="Garamond"/>
        </w:rPr>
        <w:t xml:space="preserve"> Rather than dispute the assertion that DAPA </w:t>
      </w:r>
      <w:r w:rsidR="00DA096E" w:rsidRPr="00F90A54">
        <w:rPr>
          <w:rFonts w:ascii="Garamond" w:hAnsi="Garamond"/>
        </w:rPr>
        <w:t>created</w:t>
      </w:r>
      <w:r w:rsidRPr="00F90A54">
        <w:rPr>
          <w:rFonts w:ascii="Garamond" w:hAnsi="Garamond"/>
        </w:rPr>
        <w:t xml:space="preserve"> a financial burden, the federal government’s strategy was to undermine their standing by claiming that the </w:t>
      </w:r>
      <w:r w:rsidR="00DA096E" w:rsidRPr="00F90A54">
        <w:rPr>
          <w:rFonts w:ascii="Garamond" w:hAnsi="Garamond"/>
        </w:rPr>
        <w:t>S</w:t>
      </w:r>
      <w:r w:rsidRPr="00F90A54">
        <w:rPr>
          <w:rFonts w:ascii="Garamond" w:hAnsi="Garamond"/>
        </w:rPr>
        <w:t>tates were free to refuse such licenses, so any injury was “self-inflicted.”</w:t>
      </w:r>
      <w:r w:rsidRPr="00F90A54">
        <w:rPr>
          <w:rStyle w:val="FootnoteReference"/>
          <w:rFonts w:ascii="Garamond" w:hAnsi="Garamond"/>
        </w:rPr>
        <w:footnoteReference w:id="200"/>
      </w:r>
      <w:r w:rsidRPr="00F90A54">
        <w:rPr>
          <w:rFonts w:ascii="Garamond" w:hAnsi="Garamond"/>
        </w:rPr>
        <w:t xml:space="preserve"> The intervenors, by contrast, </w:t>
      </w:r>
      <w:r w:rsidR="00225EF6" w:rsidRPr="00F90A54">
        <w:rPr>
          <w:rFonts w:ascii="Garamond" w:hAnsi="Garamond"/>
        </w:rPr>
        <w:t xml:space="preserve">thought </w:t>
      </w:r>
      <w:r w:rsidR="00DA096E" w:rsidRPr="00F90A54">
        <w:rPr>
          <w:rFonts w:ascii="Garamond" w:hAnsi="Garamond"/>
        </w:rPr>
        <w:t xml:space="preserve">the States </w:t>
      </w:r>
      <w:r w:rsidR="00225EF6" w:rsidRPr="00F90A54">
        <w:rPr>
          <w:rFonts w:ascii="Garamond" w:hAnsi="Garamond"/>
        </w:rPr>
        <w:t xml:space="preserve">were right that they </w:t>
      </w:r>
      <w:r w:rsidR="00CE55B7">
        <w:rPr>
          <w:rFonts w:ascii="Garamond" w:hAnsi="Garamond"/>
        </w:rPr>
        <w:t>were obligated</w:t>
      </w:r>
      <w:r w:rsidR="00DA096E" w:rsidRPr="00F90A54">
        <w:rPr>
          <w:rFonts w:ascii="Garamond" w:hAnsi="Garamond"/>
        </w:rPr>
        <w:t xml:space="preserve"> to issue licenses</w:t>
      </w:r>
      <w:r w:rsidR="00225EF6" w:rsidRPr="00F90A54">
        <w:rPr>
          <w:rFonts w:ascii="Garamond" w:hAnsi="Garamond"/>
        </w:rPr>
        <w:t xml:space="preserve"> to DAPA applicants</w:t>
      </w:r>
      <w:r w:rsidR="00DA096E" w:rsidRPr="00F90A54">
        <w:rPr>
          <w:rFonts w:ascii="Garamond" w:hAnsi="Garamond"/>
        </w:rPr>
        <w:t>, but incorrect that it was a burden—</w:t>
      </w:r>
      <w:r w:rsidR="00CE55B7">
        <w:rPr>
          <w:rFonts w:ascii="Garamond" w:hAnsi="Garamond"/>
        </w:rPr>
        <w:t>the intervenors</w:t>
      </w:r>
      <w:r w:rsidR="00DA096E" w:rsidRPr="00F90A54">
        <w:rPr>
          <w:rFonts w:ascii="Garamond" w:hAnsi="Garamond"/>
        </w:rPr>
        <w:t xml:space="preserve"> argued that</w:t>
      </w:r>
      <w:r w:rsidRPr="00F90A54">
        <w:rPr>
          <w:rFonts w:ascii="Garamond" w:hAnsi="Garamond"/>
        </w:rPr>
        <w:t xml:space="preserve"> the </w:t>
      </w:r>
      <w:r w:rsidR="00DA096E" w:rsidRPr="00F90A54">
        <w:rPr>
          <w:rFonts w:ascii="Garamond" w:hAnsi="Garamond"/>
        </w:rPr>
        <w:t>S</w:t>
      </w:r>
      <w:r w:rsidRPr="00F90A54">
        <w:rPr>
          <w:rFonts w:ascii="Garamond" w:hAnsi="Garamond"/>
        </w:rPr>
        <w:t>tates lacked standing because DAPA was a net-positive for state resources.</w:t>
      </w:r>
      <w:r w:rsidRPr="00F90A54">
        <w:rPr>
          <w:rStyle w:val="FootnoteReference"/>
          <w:rFonts w:ascii="Garamond" w:hAnsi="Garamond"/>
        </w:rPr>
        <w:footnoteReference w:id="201"/>
      </w:r>
      <w:r w:rsidRPr="00F90A54">
        <w:rPr>
          <w:rFonts w:ascii="Garamond" w:hAnsi="Garamond"/>
        </w:rPr>
        <w:t xml:space="preserve"> </w:t>
      </w:r>
    </w:p>
    <w:p w14:paraId="3FA6D29D" w14:textId="7B893B48" w:rsidR="00CE55B7" w:rsidRDefault="00CE55B7" w:rsidP="001F4A3F">
      <w:pPr>
        <w:ind w:firstLine="360"/>
        <w:jc w:val="both"/>
        <w:rPr>
          <w:rFonts w:ascii="Garamond" w:hAnsi="Garamond"/>
        </w:rPr>
      </w:pPr>
      <w:r>
        <w:rPr>
          <w:rFonts w:ascii="Garamond" w:hAnsi="Garamond"/>
          <w:i/>
          <w:iCs/>
        </w:rPr>
        <w:t>3</w:t>
      </w:r>
      <w:r w:rsidRPr="00F90A54">
        <w:rPr>
          <w:rFonts w:ascii="Garamond" w:hAnsi="Garamond"/>
          <w:i/>
          <w:iCs/>
        </w:rPr>
        <w:t xml:space="preserve">. </w:t>
      </w:r>
      <w:r w:rsidRPr="00F90A54">
        <w:rPr>
          <w:rFonts w:ascii="Garamond" w:hAnsi="Garamond"/>
          <w:i/>
          <w:iCs/>
        </w:rPr>
        <w:tab/>
        <w:t xml:space="preserve">To add new </w:t>
      </w:r>
      <w:r>
        <w:rPr>
          <w:rFonts w:ascii="Garamond" w:hAnsi="Garamond"/>
          <w:i/>
          <w:iCs/>
        </w:rPr>
        <w:t>claims</w:t>
      </w:r>
      <w:r w:rsidRPr="00F90A54">
        <w:rPr>
          <w:rFonts w:ascii="Garamond" w:hAnsi="Garamond"/>
        </w:rPr>
        <w:t xml:space="preserve">. – </w:t>
      </w:r>
      <w:r w:rsidR="001321A9" w:rsidRPr="00F90A54">
        <w:rPr>
          <w:rFonts w:ascii="Garamond" w:hAnsi="Garamond"/>
        </w:rPr>
        <w:t xml:space="preserve">More rarely, </w:t>
      </w:r>
      <w:r>
        <w:rPr>
          <w:rFonts w:ascii="Garamond" w:hAnsi="Garamond"/>
        </w:rPr>
        <w:t xml:space="preserve">intervenors seek to add separate claims against one of the original parties. For instance, </w:t>
      </w:r>
      <w:r w:rsidRPr="00F90A54">
        <w:rPr>
          <w:rFonts w:ascii="Garamond" w:hAnsi="Garamond"/>
        </w:rPr>
        <w:t>in the Fourth Circuit appeal from the International Refugee Assistance Project’s challenge to the Travel Ban, a lawful permanent resident sought to intervene to add a claim under the APA and to address the federal government’s argument that a statute barred judicial review of the Order.</w:t>
      </w:r>
      <w:r w:rsidRPr="00F90A54">
        <w:rPr>
          <w:rStyle w:val="FootnoteReference"/>
          <w:rFonts w:ascii="Garamond" w:hAnsi="Garamond"/>
        </w:rPr>
        <w:footnoteReference w:id="202"/>
      </w:r>
    </w:p>
    <w:p w14:paraId="7F47E175" w14:textId="11DDFE41" w:rsidR="001321A9" w:rsidRPr="00F90A54" w:rsidRDefault="00CE55B7" w:rsidP="001F4A3F">
      <w:pPr>
        <w:ind w:firstLine="360"/>
        <w:jc w:val="both"/>
        <w:rPr>
          <w:rFonts w:ascii="Garamond" w:hAnsi="Garamond"/>
        </w:rPr>
      </w:pPr>
      <w:r>
        <w:rPr>
          <w:rFonts w:ascii="Garamond" w:hAnsi="Garamond"/>
        </w:rPr>
        <w:t>D</w:t>
      </w:r>
      <w:r w:rsidR="001321A9" w:rsidRPr="00F90A54">
        <w:rPr>
          <w:rFonts w:ascii="Garamond" w:hAnsi="Garamond"/>
        </w:rPr>
        <w:t xml:space="preserve">efendant-intervenors </w:t>
      </w:r>
      <w:r>
        <w:rPr>
          <w:rFonts w:ascii="Garamond" w:hAnsi="Garamond"/>
        </w:rPr>
        <w:t xml:space="preserve">have </w:t>
      </w:r>
      <w:r w:rsidR="001321A9" w:rsidRPr="00F90A54">
        <w:rPr>
          <w:rFonts w:ascii="Garamond" w:hAnsi="Garamond"/>
        </w:rPr>
        <w:t>also add</w:t>
      </w:r>
      <w:r>
        <w:rPr>
          <w:rFonts w:ascii="Garamond" w:hAnsi="Garamond"/>
        </w:rPr>
        <w:t>ed</w:t>
      </w:r>
      <w:r w:rsidR="001321A9" w:rsidRPr="00F90A54">
        <w:rPr>
          <w:rFonts w:ascii="Garamond" w:hAnsi="Garamond"/>
        </w:rPr>
        <w:t xml:space="preserve"> individual claims against the parties seeking nationwide injunctions. As an example, in </w:t>
      </w:r>
      <w:r w:rsidR="001321A9" w:rsidRPr="00F90A54">
        <w:rPr>
          <w:rFonts w:ascii="Garamond" w:hAnsi="Garamond"/>
          <w:i/>
          <w:iCs/>
        </w:rPr>
        <w:t>Highland Local School District v. United States Department of Education</w:t>
      </w:r>
      <w:r w:rsidR="001321A9" w:rsidRPr="00F90A54">
        <w:rPr>
          <w:rFonts w:ascii="Garamond" w:hAnsi="Garamond"/>
        </w:rPr>
        <w:t xml:space="preserve">, a school district sought a nationwide injunction barring </w:t>
      </w:r>
      <w:r w:rsidR="001321A9" w:rsidRPr="00F90A54">
        <w:rPr>
          <w:rFonts w:ascii="Garamond" w:hAnsi="Garamond"/>
        </w:rPr>
        <w:lastRenderedPageBreak/>
        <w:t>the federal government from enforcing a policy interpreting “sex” in Title IX and its regulations from including “gender identity.”</w:t>
      </w:r>
      <w:r w:rsidR="001321A9" w:rsidRPr="00F90A54">
        <w:rPr>
          <w:rStyle w:val="FootnoteReference"/>
          <w:rFonts w:ascii="Garamond" w:hAnsi="Garamond"/>
        </w:rPr>
        <w:footnoteReference w:id="203"/>
      </w:r>
      <w:r w:rsidR="001321A9" w:rsidRPr="00F90A54">
        <w:rPr>
          <w:rFonts w:ascii="Garamond" w:hAnsi="Garamond"/>
        </w:rPr>
        <w:t xml:space="preserve"> A transgender student in the district intervened to defend the </w:t>
      </w:r>
      <w:r w:rsidR="00225EF6" w:rsidRPr="00F90A54">
        <w:rPr>
          <w:rFonts w:ascii="Garamond" w:hAnsi="Garamond"/>
        </w:rPr>
        <w:t xml:space="preserve">department’s </w:t>
      </w:r>
      <w:r w:rsidR="001321A9" w:rsidRPr="00F90A54">
        <w:rPr>
          <w:rFonts w:ascii="Garamond" w:hAnsi="Garamond"/>
        </w:rPr>
        <w:t xml:space="preserve">interpretation and </w:t>
      </w:r>
      <w:r w:rsidR="00225EF6" w:rsidRPr="00F90A54">
        <w:rPr>
          <w:rFonts w:ascii="Garamond" w:hAnsi="Garamond"/>
        </w:rPr>
        <w:t xml:space="preserve">to </w:t>
      </w:r>
      <w:r w:rsidR="001321A9" w:rsidRPr="00F90A54">
        <w:rPr>
          <w:rFonts w:ascii="Garamond" w:hAnsi="Garamond"/>
        </w:rPr>
        <w:t>pursue her own claims that the district violated her constitutional and Title IX rights.</w:t>
      </w:r>
      <w:r w:rsidR="001321A9" w:rsidRPr="00F90A54">
        <w:rPr>
          <w:rStyle w:val="FootnoteReference"/>
          <w:rFonts w:ascii="Garamond" w:hAnsi="Garamond"/>
        </w:rPr>
        <w:footnoteReference w:id="204"/>
      </w:r>
      <w:r w:rsidR="001321A9" w:rsidRPr="00F90A54">
        <w:rPr>
          <w:rFonts w:ascii="Garamond" w:hAnsi="Garamond"/>
        </w:rPr>
        <w:t xml:space="preserve"> </w:t>
      </w:r>
    </w:p>
    <w:p w14:paraId="03A142CA" w14:textId="432B4427" w:rsidR="001321A9" w:rsidRPr="00F90A54" w:rsidRDefault="009A4852" w:rsidP="001F4A3F">
      <w:pPr>
        <w:ind w:firstLine="360"/>
        <w:jc w:val="both"/>
        <w:rPr>
          <w:rFonts w:ascii="Garamond" w:hAnsi="Garamond"/>
        </w:rPr>
      </w:pPr>
      <w:r>
        <w:rPr>
          <w:rFonts w:ascii="Garamond" w:hAnsi="Garamond"/>
          <w:i/>
          <w:iCs/>
        </w:rPr>
        <w:t>4</w:t>
      </w:r>
      <w:r w:rsidR="001321A9" w:rsidRPr="00F90A54">
        <w:rPr>
          <w:rFonts w:ascii="Garamond" w:hAnsi="Garamond"/>
          <w:i/>
          <w:iCs/>
        </w:rPr>
        <w:t xml:space="preserve">. </w:t>
      </w:r>
      <w:r w:rsidR="001321A9" w:rsidRPr="00F90A54">
        <w:rPr>
          <w:rFonts w:ascii="Garamond" w:hAnsi="Garamond"/>
          <w:i/>
          <w:iCs/>
        </w:rPr>
        <w:tab/>
        <w:t>To add a new perspective or narrative framing.</w:t>
      </w:r>
      <w:r w:rsidR="001321A9" w:rsidRPr="00F90A54">
        <w:rPr>
          <w:rStyle w:val="FootnoteReference"/>
          <w:rFonts w:ascii="Garamond" w:hAnsi="Garamond"/>
        </w:rPr>
        <w:footnoteReference w:id="205"/>
      </w:r>
      <w:r w:rsidR="001321A9" w:rsidRPr="00F90A54">
        <w:rPr>
          <w:rFonts w:ascii="Garamond" w:hAnsi="Garamond"/>
          <w:i/>
          <w:iCs/>
        </w:rPr>
        <w:t xml:space="preserve"> </w:t>
      </w:r>
      <w:r w:rsidR="001321A9" w:rsidRPr="00F90A54">
        <w:rPr>
          <w:rFonts w:ascii="Garamond" w:hAnsi="Garamond"/>
        </w:rPr>
        <w:t xml:space="preserve">– Proposed intervenors often seek to participate in nationwide-injunction cases to provide an additional perspective for the court to consider when evaluating the substantive claims or the propriety of injunctive relief. This aim often dovetails with goals to influence how the case is perceived by the public, especially in politically salient cases. </w:t>
      </w:r>
    </w:p>
    <w:p w14:paraId="5C8BE778" w14:textId="0E64293D" w:rsidR="001321A9" w:rsidRPr="00F90A54" w:rsidRDefault="001321A9" w:rsidP="001F4A3F">
      <w:pPr>
        <w:ind w:firstLine="360"/>
        <w:jc w:val="both"/>
        <w:rPr>
          <w:rFonts w:ascii="Garamond" w:hAnsi="Garamond"/>
        </w:rPr>
      </w:pPr>
      <w:r w:rsidRPr="00F90A54">
        <w:rPr>
          <w:rFonts w:ascii="Garamond" w:hAnsi="Garamond"/>
        </w:rPr>
        <w:t xml:space="preserve">For example, numerous intervenors have claimed that their participation is necessary to present the perspective of the individual or entity who will be harmed </w:t>
      </w:r>
      <w:r w:rsidR="00EC2B25" w:rsidRPr="00F90A54">
        <w:rPr>
          <w:rFonts w:ascii="Garamond" w:hAnsi="Garamond"/>
        </w:rPr>
        <w:t xml:space="preserve">if </w:t>
      </w:r>
      <w:r w:rsidRPr="00F90A54">
        <w:rPr>
          <w:rFonts w:ascii="Garamond" w:hAnsi="Garamond"/>
        </w:rPr>
        <w:t xml:space="preserve">the challenged policy </w:t>
      </w:r>
      <w:r w:rsidR="00EC2B25" w:rsidRPr="00F90A54">
        <w:rPr>
          <w:rFonts w:ascii="Garamond" w:hAnsi="Garamond"/>
        </w:rPr>
        <w:t xml:space="preserve">is </w:t>
      </w:r>
      <w:r w:rsidRPr="00F90A54">
        <w:rPr>
          <w:rFonts w:ascii="Garamond" w:hAnsi="Garamond"/>
        </w:rPr>
        <w:t xml:space="preserve">enjoined or allowed to continue. In cases involving immigration policy, for instance, intervenors often represent the views of individual immigrants potentially subject to </w:t>
      </w:r>
      <w:r w:rsidR="005E11A6" w:rsidRPr="00F90A54">
        <w:rPr>
          <w:rFonts w:ascii="Garamond" w:hAnsi="Garamond"/>
        </w:rPr>
        <w:t>removal</w:t>
      </w:r>
      <w:r w:rsidRPr="00F90A54">
        <w:rPr>
          <w:rFonts w:ascii="Garamond" w:hAnsi="Garamond"/>
        </w:rPr>
        <w:t>. In the suit against DACA, the individual intervenors wanted to present the court with the perspective of “the young immigrants who are the real targets of this lawsuit and who have a direct and personal stake in the outcome of this case.”</w:t>
      </w:r>
      <w:r w:rsidRPr="00F90A54">
        <w:rPr>
          <w:rStyle w:val="FootnoteReference"/>
          <w:rFonts w:ascii="Garamond" w:hAnsi="Garamond"/>
        </w:rPr>
        <w:footnoteReference w:id="206"/>
      </w:r>
      <w:r w:rsidRPr="00F90A54">
        <w:rPr>
          <w:rFonts w:ascii="Garamond" w:hAnsi="Garamond"/>
        </w:rPr>
        <w:t xml:space="preserve"> And in a challenge by several states against a DHS memo temporarily pausing deportations as </w:t>
      </w:r>
      <w:r w:rsidR="00EC2B25" w:rsidRPr="00F90A54">
        <w:rPr>
          <w:rFonts w:ascii="Garamond" w:hAnsi="Garamond"/>
        </w:rPr>
        <w:t xml:space="preserve">the new </w:t>
      </w:r>
      <w:r w:rsidRPr="00F90A54">
        <w:rPr>
          <w:rFonts w:ascii="Garamond" w:hAnsi="Garamond"/>
        </w:rPr>
        <w:t>Biden administration reassessed its policies,</w:t>
      </w:r>
      <w:r w:rsidRPr="00F90A54">
        <w:rPr>
          <w:rStyle w:val="FootnoteReference"/>
          <w:rFonts w:ascii="Garamond" w:hAnsi="Garamond"/>
        </w:rPr>
        <w:footnoteReference w:id="207"/>
      </w:r>
      <w:r w:rsidRPr="00F90A54">
        <w:rPr>
          <w:rFonts w:ascii="Garamond" w:hAnsi="Garamond"/>
        </w:rPr>
        <w:t xml:space="preserve"> two nonprofits intervened to provide “a necessary perspective” to the litigation—that the case was “not just a fight among governments over sovereign power” but involved “serious human stakes.”</w:t>
      </w:r>
      <w:r w:rsidRPr="00F90A54">
        <w:rPr>
          <w:rStyle w:val="FootnoteReference"/>
          <w:rFonts w:ascii="Garamond" w:hAnsi="Garamond"/>
        </w:rPr>
        <w:footnoteReference w:id="208"/>
      </w:r>
      <w:r w:rsidRPr="00F90A54">
        <w:rPr>
          <w:rFonts w:ascii="Garamond" w:hAnsi="Garamond"/>
        </w:rPr>
        <w:t xml:space="preserve"> The nonprofits presented the </w:t>
      </w:r>
      <w:r w:rsidR="005E0B99" w:rsidRPr="00F90A54">
        <w:rPr>
          <w:rFonts w:ascii="Garamond" w:hAnsi="Garamond"/>
        </w:rPr>
        <w:t>views</w:t>
      </w:r>
      <w:r w:rsidRPr="00F90A54">
        <w:rPr>
          <w:rFonts w:ascii="Garamond" w:hAnsi="Garamond"/>
        </w:rPr>
        <w:t xml:space="preserve"> of noncitizens who would be at risk of </w:t>
      </w:r>
      <w:r w:rsidR="00D970A6" w:rsidRPr="00F90A54">
        <w:rPr>
          <w:rFonts w:ascii="Garamond" w:hAnsi="Garamond"/>
        </w:rPr>
        <w:t>removal</w:t>
      </w:r>
      <w:r w:rsidRPr="00F90A54">
        <w:rPr>
          <w:rFonts w:ascii="Garamond" w:hAnsi="Garamond"/>
        </w:rPr>
        <w:t xml:space="preserve"> if the court enjoined the pause, including those who “had paths to regularize their immigration status, claim[ed] humanitarian protection, or s[ought] long-term grants of prosecutorial discretion in their favor.”</w:t>
      </w:r>
      <w:r w:rsidRPr="00F90A54">
        <w:rPr>
          <w:rStyle w:val="FootnoteReference"/>
          <w:rFonts w:ascii="Garamond" w:hAnsi="Garamond"/>
        </w:rPr>
        <w:footnoteReference w:id="209"/>
      </w:r>
    </w:p>
    <w:p w14:paraId="7E3BC73F" w14:textId="0EAF4650" w:rsidR="001321A9" w:rsidRPr="00F90A54" w:rsidRDefault="001321A9" w:rsidP="001F4A3F">
      <w:pPr>
        <w:ind w:firstLine="360"/>
        <w:jc w:val="both"/>
        <w:rPr>
          <w:rFonts w:ascii="Garamond" w:hAnsi="Garamond"/>
        </w:rPr>
      </w:pPr>
      <w:r w:rsidRPr="00F90A54">
        <w:rPr>
          <w:rFonts w:ascii="Garamond" w:hAnsi="Garamond"/>
        </w:rPr>
        <w:lastRenderedPageBreak/>
        <w:t>This perspective-based intervention is by no means limited to the immigration context. For example, in the challenge against the ACA highlighted in the introduction, several employers sought to intervene to “provide a critical perspective” on “how the ACA’s unconstitutional mandate and Congress’s zeroing out of the individual tax penalty impact and injure private employers.”</w:t>
      </w:r>
      <w:r w:rsidRPr="00F90A54">
        <w:rPr>
          <w:rStyle w:val="FootnoteReference"/>
          <w:rFonts w:ascii="Garamond" w:hAnsi="Garamond"/>
        </w:rPr>
        <w:footnoteReference w:id="210"/>
      </w:r>
      <w:r w:rsidRPr="00F90A54">
        <w:rPr>
          <w:rFonts w:ascii="Garamond" w:hAnsi="Garamond"/>
        </w:rPr>
        <w:t xml:space="preserve"> Similarly, in a challenge against the Department of Education’s exemptions for religious schools from LGBTQ </w:t>
      </w:r>
      <w:r w:rsidR="00D970A6" w:rsidRPr="00F90A54">
        <w:rPr>
          <w:rFonts w:ascii="Garamond" w:hAnsi="Garamond"/>
        </w:rPr>
        <w:t>anti-</w:t>
      </w:r>
      <w:r w:rsidRPr="00F90A54">
        <w:rPr>
          <w:rFonts w:ascii="Garamond" w:hAnsi="Garamond"/>
        </w:rPr>
        <w:t>discrimination requirements, several religious schools sought to intervene. They argued that the court “should not assess the Religion Exemption’s constitutionality without hearing from the very institutions the exemption was designed to protect.”</w:t>
      </w:r>
      <w:r w:rsidRPr="00F90A54">
        <w:rPr>
          <w:rStyle w:val="FootnoteReference"/>
          <w:rFonts w:ascii="Garamond" w:hAnsi="Garamond"/>
        </w:rPr>
        <w:footnoteReference w:id="211"/>
      </w:r>
      <w:r w:rsidRPr="00F90A54">
        <w:rPr>
          <w:rFonts w:ascii="Garamond" w:hAnsi="Garamond"/>
        </w:rPr>
        <w:t xml:space="preserve"> An organization representing religious higher education </w:t>
      </w:r>
      <w:r w:rsidR="00D970A6" w:rsidRPr="00F90A54">
        <w:rPr>
          <w:rFonts w:ascii="Garamond" w:hAnsi="Garamond"/>
        </w:rPr>
        <w:t>institutions</w:t>
      </w:r>
      <w:r w:rsidRPr="00F90A54">
        <w:rPr>
          <w:rFonts w:ascii="Garamond" w:hAnsi="Garamond"/>
        </w:rPr>
        <w:t xml:space="preserve"> also sought to intervene to explain “the vital importance of the religious exemption to religious colleges in an ever-changing world.”</w:t>
      </w:r>
      <w:r w:rsidRPr="00F90A54">
        <w:rPr>
          <w:rStyle w:val="FootnoteReference"/>
          <w:rFonts w:ascii="Garamond" w:hAnsi="Garamond"/>
        </w:rPr>
        <w:footnoteReference w:id="212"/>
      </w:r>
      <w:r w:rsidRPr="00F90A54">
        <w:rPr>
          <w:rFonts w:ascii="Garamond" w:hAnsi="Garamond"/>
        </w:rPr>
        <w:t xml:space="preserve"> And in a challenge to HHS’s conscience-based abstention </w:t>
      </w:r>
      <w:r w:rsidR="00943ADD" w:rsidRPr="00F90A54">
        <w:rPr>
          <w:rFonts w:ascii="Garamond" w:hAnsi="Garamond"/>
        </w:rPr>
        <w:t>r</w:t>
      </w:r>
      <w:r w:rsidRPr="00F90A54">
        <w:rPr>
          <w:rFonts w:ascii="Garamond" w:hAnsi="Garamond"/>
        </w:rPr>
        <w:t>ule, proposed intervenors argued that they were “uniquely situated to provide the Court with the perspective of physicians and medical professionals who advocated for the Rule and rely on it to protect their conscience rights.”</w:t>
      </w:r>
      <w:r w:rsidRPr="00F90A54">
        <w:rPr>
          <w:rStyle w:val="FootnoteReference"/>
          <w:rFonts w:ascii="Garamond" w:hAnsi="Garamond"/>
        </w:rPr>
        <w:footnoteReference w:id="213"/>
      </w:r>
      <w:r w:rsidRPr="00F90A54">
        <w:rPr>
          <w:rFonts w:ascii="Garamond" w:hAnsi="Garamond"/>
        </w:rPr>
        <w:t xml:space="preserve"> </w:t>
      </w:r>
    </w:p>
    <w:p w14:paraId="5657C83A" w14:textId="774F4303" w:rsidR="001321A9" w:rsidRPr="00F90A54" w:rsidRDefault="009A4852" w:rsidP="001F4A3F">
      <w:pPr>
        <w:ind w:firstLine="360"/>
        <w:jc w:val="both"/>
        <w:rPr>
          <w:rFonts w:ascii="Garamond" w:hAnsi="Garamond"/>
        </w:rPr>
      </w:pPr>
      <w:r>
        <w:rPr>
          <w:rFonts w:ascii="Garamond" w:hAnsi="Garamond"/>
          <w:i/>
          <w:iCs/>
        </w:rPr>
        <w:t>5</w:t>
      </w:r>
      <w:r w:rsidR="001321A9" w:rsidRPr="00F90A54">
        <w:rPr>
          <w:rFonts w:ascii="Garamond" w:hAnsi="Garamond"/>
          <w:i/>
          <w:iCs/>
        </w:rPr>
        <w:t xml:space="preserve">. </w:t>
      </w:r>
      <w:r w:rsidR="001321A9" w:rsidRPr="00F90A54">
        <w:rPr>
          <w:rFonts w:ascii="Garamond" w:hAnsi="Garamond"/>
          <w:i/>
          <w:iCs/>
        </w:rPr>
        <w:tab/>
        <w:t>To add a new injured plaintiff for Article III standing.</w:t>
      </w:r>
      <w:r w:rsidR="001321A9" w:rsidRPr="00F90A54">
        <w:rPr>
          <w:rFonts w:ascii="Garamond" w:hAnsi="Garamond"/>
        </w:rPr>
        <w:t xml:space="preserve"> Outsiders also seek to intervene to prevent courts from dismissing nationwide-injunction suits for lack of standing. This strategy turns on the interplay of two doctrines. The first is the recognition by federal courts that intervenors, once added to a case, are full parties to the litigation equal to the original plaintiff.</w:t>
      </w:r>
      <w:r w:rsidR="001321A9" w:rsidRPr="00F90A54">
        <w:rPr>
          <w:rStyle w:val="FootnoteReference"/>
          <w:rFonts w:ascii="Garamond" w:hAnsi="Garamond"/>
        </w:rPr>
        <w:footnoteReference w:id="214"/>
      </w:r>
      <w:r w:rsidR="001321A9" w:rsidRPr="00F90A54">
        <w:rPr>
          <w:rFonts w:ascii="Garamond" w:hAnsi="Garamond"/>
        </w:rPr>
        <w:t xml:space="preserve"> The second is an exception to the Article III standing requirement known as the “one-good plaintiff rule.”</w:t>
      </w:r>
      <w:r w:rsidR="001321A9" w:rsidRPr="00F90A54">
        <w:rPr>
          <w:rStyle w:val="FootnoteReference"/>
          <w:rFonts w:ascii="Garamond" w:hAnsi="Garamond"/>
        </w:rPr>
        <w:footnoteReference w:id="215"/>
      </w:r>
      <w:r w:rsidR="001321A9" w:rsidRPr="00F90A54">
        <w:rPr>
          <w:rFonts w:ascii="Garamond" w:hAnsi="Garamond"/>
        </w:rPr>
        <w:t xml:space="preserve"> </w:t>
      </w:r>
      <w:r w:rsidR="000B3CCE" w:rsidRPr="00F90A54">
        <w:rPr>
          <w:rFonts w:ascii="Garamond" w:hAnsi="Garamond"/>
        </w:rPr>
        <w:t>T</w:t>
      </w:r>
      <w:r w:rsidR="001321A9" w:rsidRPr="00F90A54">
        <w:rPr>
          <w:rFonts w:ascii="Garamond" w:hAnsi="Garamond"/>
        </w:rPr>
        <w:t>his rule</w:t>
      </w:r>
      <w:r w:rsidR="000B3CCE" w:rsidRPr="00F90A54">
        <w:rPr>
          <w:rFonts w:ascii="Garamond" w:hAnsi="Garamond"/>
        </w:rPr>
        <w:t xml:space="preserve"> allows</w:t>
      </w:r>
      <w:r w:rsidR="001321A9" w:rsidRPr="00F90A54">
        <w:rPr>
          <w:rFonts w:ascii="Garamond" w:hAnsi="Garamond"/>
        </w:rPr>
        <w:t xml:space="preserve"> courts </w:t>
      </w:r>
      <w:r w:rsidR="000B3CCE" w:rsidRPr="00F90A54">
        <w:rPr>
          <w:rFonts w:ascii="Garamond" w:hAnsi="Garamond"/>
        </w:rPr>
        <w:t>to</w:t>
      </w:r>
      <w:r w:rsidR="001321A9" w:rsidRPr="00F90A54">
        <w:rPr>
          <w:rFonts w:ascii="Garamond" w:hAnsi="Garamond"/>
        </w:rPr>
        <w:t xml:space="preserve"> adjudicate cases involving multiple plaintiffs </w:t>
      </w:r>
      <w:r w:rsidR="009B6116">
        <w:rPr>
          <w:rFonts w:ascii="Garamond" w:hAnsi="Garamond"/>
        </w:rPr>
        <w:t>if</w:t>
      </w:r>
      <w:r w:rsidR="001321A9" w:rsidRPr="00F90A54">
        <w:rPr>
          <w:rFonts w:ascii="Garamond" w:hAnsi="Garamond"/>
        </w:rPr>
        <w:t xml:space="preserve"> one plaintiff demonstrates standing.</w:t>
      </w:r>
      <w:r w:rsidR="001321A9" w:rsidRPr="00F90A54">
        <w:rPr>
          <w:rStyle w:val="FootnoteReference"/>
          <w:rFonts w:ascii="Garamond" w:hAnsi="Garamond"/>
        </w:rPr>
        <w:footnoteReference w:id="216"/>
      </w:r>
      <w:r w:rsidR="001321A9" w:rsidRPr="00F90A54">
        <w:rPr>
          <w:rFonts w:ascii="Garamond" w:hAnsi="Garamond"/>
        </w:rPr>
        <w:t xml:space="preserve"> Together, these two doctrines mean that a plaintiff can continue pressing their claim for relief, even if they lack standing, so long as an outsider with sufficient standing intervenes. </w:t>
      </w:r>
    </w:p>
    <w:p w14:paraId="00A93B28" w14:textId="240CA250" w:rsidR="001321A9" w:rsidRPr="00F90A54" w:rsidRDefault="001321A9" w:rsidP="001F4A3F">
      <w:pPr>
        <w:ind w:firstLine="360"/>
        <w:jc w:val="both"/>
        <w:rPr>
          <w:rFonts w:ascii="Garamond" w:hAnsi="Garamond"/>
        </w:rPr>
      </w:pPr>
      <w:r w:rsidRPr="00F90A54">
        <w:rPr>
          <w:rFonts w:ascii="Garamond" w:hAnsi="Garamond"/>
        </w:rPr>
        <w:t xml:space="preserve">For example, in the Travel Ban case, several visa petitioners and two lawful permanent residents sought to intervene because the government had challenged the plaintiff </w:t>
      </w:r>
      <w:r w:rsidR="00BA1079" w:rsidRPr="00F90A54">
        <w:rPr>
          <w:rFonts w:ascii="Garamond" w:hAnsi="Garamond"/>
        </w:rPr>
        <w:t>S</w:t>
      </w:r>
      <w:r w:rsidRPr="00F90A54">
        <w:rPr>
          <w:rFonts w:ascii="Garamond" w:hAnsi="Garamond"/>
        </w:rPr>
        <w:t xml:space="preserve">tate’s standing. The individuals had an independent basis for standing and so were potentially “critical to the Court retaining Article III jurisdiction over that </w:t>
      </w:r>
      <w:r w:rsidRPr="00F90A54">
        <w:rPr>
          <w:rFonts w:ascii="Garamond" w:hAnsi="Garamond"/>
        </w:rPr>
        <w:lastRenderedPageBreak/>
        <w:t>claim.”</w:t>
      </w:r>
      <w:r w:rsidRPr="00F90A54">
        <w:rPr>
          <w:rStyle w:val="FootnoteReference"/>
          <w:rFonts w:ascii="Garamond" w:hAnsi="Garamond"/>
        </w:rPr>
        <w:footnoteReference w:id="217"/>
      </w:r>
      <w:r w:rsidRPr="00F90A54">
        <w:rPr>
          <w:rFonts w:ascii="Garamond" w:hAnsi="Garamond"/>
        </w:rPr>
        <w:t xml:space="preserve"> Later, in a related challenge to the third Travel Ban executive order, Washington </w:t>
      </w:r>
      <w:r w:rsidR="00BA1079" w:rsidRPr="00F90A54">
        <w:rPr>
          <w:rFonts w:ascii="Garamond" w:hAnsi="Garamond"/>
        </w:rPr>
        <w:t xml:space="preserve">state </w:t>
      </w:r>
      <w:r w:rsidRPr="00F90A54">
        <w:rPr>
          <w:rFonts w:ascii="Garamond" w:hAnsi="Garamond"/>
        </w:rPr>
        <w:t>sought to intervene to prevent “gamesmanship” by the federal government, which had “repeatedly sought to use [its] control over the immigration system to change [individual] plaintiffs’ circumstances to affect their standing.”</w:t>
      </w:r>
      <w:r w:rsidRPr="00F90A54">
        <w:rPr>
          <w:rStyle w:val="FootnoteReference"/>
          <w:rFonts w:ascii="Garamond" w:hAnsi="Garamond"/>
        </w:rPr>
        <w:footnoteReference w:id="218"/>
      </w:r>
      <w:r w:rsidRPr="00F90A54">
        <w:rPr>
          <w:rFonts w:ascii="Garamond" w:hAnsi="Garamond"/>
        </w:rPr>
        <w:t xml:space="preserve"> Similarly, in Chicago’s lawsuit against </w:t>
      </w:r>
      <w:r w:rsidR="00BA1079" w:rsidRPr="00F90A54">
        <w:rPr>
          <w:rFonts w:ascii="Garamond" w:hAnsi="Garamond"/>
        </w:rPr>
        <w:t xml:space="preserve">the </w:t>
      </w:r>
      <w:r w:rsidRPr="00F90A54">
        <w:rPr>
          <w:rFonts w:ascii="Garamond" w:hAnsi="Garamond"/>
        </w:rPr>
        <w:t>Trump</w:t>
      </w:r>
      <w:r w:rsidR="00BA1079" w:rsidRPr="00F90A54">
        <w:rPr>
          <w:rFonts w:ascii="Garamond" w:hAnsi="Garamond"/>
        </w:rPr>
        <w:t xml:space="preserve"> administration</w:t>
      </w:r>
      <w:r w:rsidRPr="00F90A54">
        <w:rPr>
          <w:rFonts w:ascii="Garamond" w:hAnsi="Garamond"/>
        </w:rPr>
        <w:t>’s sanctuary-city policies, the United States Conference of Mayors attempted to intervene to buttress the city’s standing with its own standing as an organization.</w:t>
      </w:r>
      <w:r w:rsidRPr="00F90A54">
        <w:rPr>
          <w:rStyle w:val="FootnoteReference"/>
          <w:rFonts w:ascii="Garamond" w:hAnsi="Garamond"/>
        </w:rPr>
        <w:footnoteReference w:id="219"/>
      </w:r>
      <w:r w:rsidRPr="00F90A54">
        <w:rPr>
          <w:rFonts w:ascii="Garamond" w:hAnsi="Garamond"/>
        </w:rPr>
        <w:t xml:space="preserve"> </w:t>
      </w:r>
    </w:p>
    <w:p w14:paraId="774F1816" w14:textId="511A6074" w:rsidR="001321A9" w:rsidRPr="00F90A54" w:rsidRDefault="009A4852" w:rsidP="001F4A3F">
      <w:pPr>
        <w:ind w:firstLine="360"/>
        <w:jc w:val="both"/>
        <w:rPr>
          <w:rFonts w:ascii="Garamond" w:hAnsi="Garamond"/>
        </w:rPr>
      </w:pPr>
      <w:r>
        <w:rPr>
          <w:rFonts w:ascii="Garamond" w:hAnsi="Garamond"/>
          <w:i/>
          <w:iCs/>
        </w:rPr>
        <w:t>6</w:t>
      </w:r>
      <w:r w:rsidR="001321A9" w:rsidRPr="00F90A54">
        <w:rPr>
          <w:rFonts w:ascii="Garamond" w:hAnsi="Garamond"/>
          <w:i/>
          <w:iCs/>
        </w:rPr>
        <w:t xml:space="preserve">. </w:t>
      </w:r>
      <w:r w:rsidR="001321A9" w:rsidRPr="00F90A54">
        <w:rPr>
          <w:rFonts w:ascii="Garamond" w:hAnsi="Garamond"/>
          <w:i/>
          <w:iCs/>
        </w:rPr>
        <w:tab/>
        <w:t>To prevent the parties from settling or to guarantee an appeal.</w:t>
      </w:r>
      <w:r w:rsidR="001321A9" w:rsidRPr="00F90A54">
        <w:rPr>
          <w:rFonts w:ascii="Garamond" w:hAnsi="Garamond"/>
        </w:rPr>
        <w:t xml:space="preserve"> Finally, outsiders also intervene to prevent the original parties from dismissing the case, either by settling or by declining to take an appeal after an adverse judgment. </w:t>
      </w:r>
      <w:r w:rsidR="00090CBC">
        <w:rPr>
          <w:rFonts w:ascii="Garamond" w:hAnsi="Garamond"/>
        </w:rPr>
        <w:t xml:space="preserve">These intervenors essentially hijack the </w:t>
      </w:r>
      <w:r w:rsidR="000629E4">
        <w:rPr>
          <w:rFonts w:ascii="Garamond" w:hAnsi="Garamond"/>
        </w:rPr>
        <w:t>suit</w:t>
      </w:r>
      <w:r w:rsidR="00090CBC">
        <w:rPr>
          <w:rFonts w:ascii="Garamond" w:hAnsi="Garamond"/>
        </w:rPr>
        <w:t>, overriding the wishes of the original parties</w:t>
      </w:r>
      <w:r w:rsidR="000629E4">
        <w:rPr>
          <w:rFonts w:ascii="Garamond" w:hAnsi="Garamond"/>
        </w:rPr>
        <w:t xml:space="preserve">. </w:t>
      </w:r>
    </w:p>
    <w:p w14:paraId="305C0ACA" w14:textId="47F76070" w:rsidR="001321A9" w:rsidRPr="00F90A54" w:rsidRDefault="001321A9" w:rsidP="001F4A3F">
      <w:pPr>
        <w:ind w:firstLine="360"/>
        <w:jc w:val="both"/>
        <w:rPr>
          <w:rFonts w:ascii="Garamond" w:hAnsi="Garamond"/>
        </w:rPr>
      </w:pPr>
      <w:r w:rsidRPr="00F90A54">
        <w:rPr>
          <w:rFonts w:ascii="Garamond" w:hAnsi="Garamond"/>
        </w:rPr>
        <w:t>In nationwide-injunction suits, this often arises when the intervening party wants to prevent the federal government from making a strategic litigation decision that curbs or ends a policy the intervenor wants to protect. For instance, in a challenge to a final agency rule interpreting the definition of “waters of the United States,” several conservation nonprofits sought to intervene to prevent the agency from “settling this suit on terms different than the Conservation Groups would accept.”</w:t>
      </w:r>
      <w:r w:rsidRPr="00F90A54">
        <w:rPr>
          <w:rStyle w:val="FootnoteReference"/>
          <w:rFonts w:ascii="Garamond" w:hAnsi="Garamond"/>
        </w:rPr>
        <w:footnoteReference w:id="220"/>
      </w:r>
      <w:r w:rsidRPr="00F90A54">
        <w:rPr>
          <w:rFonts w:ascii="Garamond" w:hAnsi="Garamond"/>
        </w:rPr>
        <w:t xml:space="preserve"> Similarly, in the case about Title IX religious exemptions, the set of religious schools argued that they had a right to intervene to defend those exemptions because the federal government might “consider settlement on terms that the Religious Schools may not accept.”</w:t>
      </w:r>
      <w:r w:rsidRPr="00F90A54">
        <w:rPr>
          <w:rStyle w:val="FootnoteReference"/>
          <w:rFonts w:ascii="Garamond" w:hAnsi="Garamond"/>
        </w:rPr>
        <w:footnoteReference w:id="221"/>
      </w:r>
      <w:r w:rsidRPr="00F90A54">
        <w:rPr>
          <w:rFonts w:ascii="Garamond" w:hAnsi="Garamond"/>
        </w:rPr>
        <w:t xml:space="preserve"> The organization representing religious higher education </w:t>
      </w:r>
      <w:r w:rsidR="00D970A6" w:rsidRPr="00F90A54">
        <w:rPr>
          <w:rFonts w:ascii="Garamond" w:hAnsi="Garamond"/>
        </w:rPr>
        <w:t>institutions</w:t>
      </w:r>
      <w:r w:rsidRPr="00F90A54">
        <w:rPr>
          <w:rFonts w:ascii="Garamond" w:hAnsi="Garamond"/>
        </w:rPr>
        <w:t xml:space="preserve"> went even further, arguing that “any attempt to settle </w:t>
      </w:r>
      <w:proofErr w:type="spellStart"/>
      <w:r w:rsidRPr="00F90A54">
        <w:rPr>
          <w:rFonts w:ascii="Garamond" w:hAnsi="Garamond"/>
        </w:rPr>
        <w:t>th</w:t>
      </w:r>
      <w:proofErr w:type="spellEnd"/>
      <w:r w:rsidRPr="00F90A54">
        <w:rPr>
          <w:rFonts w:ascii="Garamond" w:hAnsi="Garamond"/>
        </w:rPr>
        <w:t>[e] case short of outright dismissal would be woefully inadequate.”</w:t>
      </w:r>
      <w:r w:rsidRPr="00F90A54">
        <w:rPr>
          <w:rStyle w:val="FootnoteReference"/>
          <w:rFonts w:ascii="Garamond" w:hAnsi="Garamond"/>
        </w:rPr>
        <w:footnoteReference w:id="222"/>
      </w:r>
      <w:r w:rsidRPr="00F90A54">
        <w:rPr>
          <w:rFonts w:ascii="Garamond" w:hAnsi="Garamond"/>
        </w:rPr>
        <w:t xml:space="preserve"> </w:t>
      </w:r>
    </w:p>
    <w:p w14:paraId="5616C411" w14:textId="783B7244" w:rsidR="001321A9" w:rsidRPr="00F90A54" w:rsidRDefault="001321A9" w:rsidP="001F4A3F">
      <w:pPr>
        <w:ind w:firstLine="360"/>
        <w:jc w:val="both"/>
        <w:rPr>
          <w:rFonts w:ascii="Garamond" w:hAnsi="Garamond"/>
        </w:rPr>
      </w:pPr>
      <w:r w:rsidRPr="00F90A54">
        <w:rPr>
          <w:rFonts w:ascii="Garamond" w:hAnsi="Garamond"/>
        </w:rPr>
        <w:t>Another important category are cases where outsiders sought to intervene to prevent the federal government from dropping its defense of a challenged policy—either because of a change in views or a change in administration.</w:t>
      </w:r>
      <w:r w:rsidRPr="00F90A54">
        <w:rPr>
          <w:rStyle w:val="FootnoteReference"/>
          <w:rFonts w:ascii="Garamond" w:hAnsi="Garamond"/>
        </w:rPr>
        <w:footnoteReference w:id="223"/>
      </w:r>
      <w:r w:rsidRPr="00F90A54">
        <w:rPr>
          <w:rFonts w:ascii="Garamond" w:hAnsi="Garamond"/>
        </w:rPr>
        <w:t xml:space="preserve"> For example, in a </w:t>
      </w:r>
      <w:r w:rsidRPr="00F90A54">
        <w:rPr>
          <w:rFonts w:ascii="Garamond" w:hAnsi="Garamond"/>
        </w:rPr>
        <w:lastRenderedPageBreak/>
        <w:t>later lawsuit against a rule providing a different definition of “waters of the United States,” several energy organizations sought to intervene because “the upcoming presidential election present[ed] the real possibility that the interests of a new administration will cause a change in the way the present case is litigated.”</w:t>
      </w:r>
      <w:r w:rsidRPr="00F90A54">
        <w:rPr>
          <w:rStyle w:val="FootnoteReference"/>
          <w:rFonts w:ascii="Garamond" w:hAnsi="Garamond"/>
        </w:rPr>
        <w:footnoteReference w:id="224"/>
      </w:r>
      <w:r w:rsidRPr="00F90A54">
        <w:rPr>
          <w:rFonts w:ascii="Garamond" w:hAnsi="Garamond"/>
        </w:rPr>
        <w:t xml:space="preserve"> Likewise, in </w:t>
      </w:r>
      <w:r w:rsidR="00C5195A" w:rsidRPr="00F90A54">
        <w:rPr>
          <w:rFonts w:ascii="Garamond" w:hAnsi="Garamond"/>
        </w:rPr>
        <w:t>the</w:t>
      </w:r>
      <w:r w:rsidRPr="00F90A54">
        <w:rPr>
          <w:rFonts w:ascii="Garamond" w:hAnsi="Garamond"/>
        </w:rPr>
        <w:t xml:space="preserve"> challenge against the </w:t>
      </w:r>
      <w:r w:rsidR="00C5195A" w:rsidRPr="00F90A54">
        <w:rPr>
          <w:rFonts w:ascii="Garamond" w:hAnsi="Garamond"/>
        </w:rPr>
        <w:t xml:space="preserve">FDA’s </w:t>
      </w:r>
      <w:r w:rsidRPr="00F90A54">
        <w:rPr>
          <w:rFonts w:ascii="Garamond" w:hAnsi="Garamond"/>
        </w:rPr>
        <w:t>in-person dispens</w:t>
      </w:r>
      <w:r w:rsidR="00C5195A" w:rsidRPr="00F90A54">
        <w:rPr>
          <w:rFonts w:ascii="Garamond" w:hAnsi="Garamond"/>
        </w:rPr>
        <w:t>ation</w:t>
      </w:r>
      <w:r w:rsidRPr="00F90A54">
        <w:rPr>
          <w:rFonts w:ascii="Garamond" w:hAnsi="Garamond"/>
        </w:rPr>
        <w:t xml:space="preserve"> </w:t>
      </w:r>
      <w:r w:rsidR="00C5195A" w:rsidRPr="00F90A54">
        <w:rPr>
          <w:rFonts w:ascii="Garamond" w:hAnsi="Garamond"/>
        </w:rPr>
        <w:t xml:space="preserve">requirements </w:t>
      </w:r>
      <w:r w:rsidRPr="00F90A54">
        <w:rPr>
          <w:rFonts w:ascii="Garamond" w:hAnsi="Garamond"/>
        </w:rPr>
        <w:t xml:space="preserve">for Mifepristone, </w:t>
      </w:r>
      <w:r w:rsidR="00C5195A" w:rsidRPr="00F90A54">
        <w:rPr>
          <w:rFonts w:ascii="Garamond" w:hAnsi="Garamond"/>
        </w:rPr>
        <w:t>the S</w:t>
      </w:r>
      <w:r w:rsidRPr="00F90A54">
        <w:rPr>
          <w:rFonts w:ascii="Garamond" w:hAnsi="Garamond"/>
        </w:rPr>
        <w:t>tates attempted to intervene to prevent “a circumstance where the injunction remains in place, but the United States in effect refuses to defend” the rule.</w:t>
      </w:r>
      <w:r w:rsidRPr="00F90A54">
        <w:rPr>
          <w:rStyle w:val="FootnoteReference"/>
          <w:rFonts w:ascii="Garamond" w:hAnsi="Garamond"/>
        </w:rPr>
        <w:footnoteReference w:id="225"/>
      </w:r>
      <w:r w:rsidRPr="00F90A54">
        <w:rPr>
          <w:rFonts w:ascii="Garamond" w:hAnsi="Garamond"/>
        </w:rPr>
        <w:t xml:space="preserve"> The states asserted that their intervention was necessary so “that a lawful federal rule does not fall, undefended, into a litigation black hole.”</w:t>
      </w:r>
      <w:r w:rsidRPr="00F90A54">
        <w:rPr>
          <w:rStyle w:val="FootnoteReference"/>
          <w:rFonts w:ascii="Garamond" w:hAnsi="Garamond"/>
        </w:rPr>
        <w:footnoteReference w:id="226"/>
      </w:r>
    </w:p>
    <w:p w14:paraId="426CB477" w14:textId="77777777" w:rsidR="001321A9" w:rsidRPr="00F90A54" w:rsidRDefault="001321A9" w:rsidP="001F4A3F">
      <w:pPr>
        <w:ind w:firstLine="360"/>
        <w:jc w:val="both"/>
        <w:rPr>
          <w:rFonts w:ascii="Garamond" w:hAnsi="Garamond"/>
        </w:rPr>
      </w:pPr>
      <w:r w:rsidRPr="00F90A54">
        <w:rPr>
          <w:rFonts w:ascii="Garamond" w:hAnsi="Garamond"/>
        </w:rPr>
        <w:t xml:space="preserve">Many intervenors justify their participation as necessary to preserve the court’s power to review potentially problematic decisions or litigation strategies. After the Fifth Circuit enjoined the Department of Labor’s Fiduciary Rule and the federal government (following a change in presidential administration) declined to seek </w:t>
      </w:r>
      <w:proofErr w:type="spellStart"/>
      <w:r w:rsidRPr="00F90A54">
        <w:rPr>
          <w:rFonts w:ascii="Garamond" w:hAnsi="Garamond"/>
        </w:rPr>
        <w:t>en</w:t>
      </w:r>
      <w:proofErr w:type="spellEnd"/>
      <w:r w:rsidRPr="00F90A54">
        <w:rPr>
          <w:rFonts w:ascii="Garamond" w:hAnsi="Garamond"/>
        </w:rPr>
        <w:t xml:space="preserve"> banc review, several states and an advocacy organization sought to intervene. The intervenors asserted that denying their motion would be “especially troubling because it effectively insulates the decision to vacate the Fiduciary Rule from further appellate scrutiny.”</w:t>
      </w:r>
      <w:r w:rsidRPr="00F90A54">
        <w:rPr>
          <w:rStyle w:val="FootnoteReference"/>
          <w:rFonts w:ascii="Garamond" w:hAnsi="Garamond"/>
        </w:rPr>
        <w:footnoteReference w:id="227"/>
      </w:r>
      <w:r w:rsidRPr="00F90A54">
        <w:rPr>
          <w:rFonts w:ascii="Garamond" w:hAnsi="Garamond"/>
        </w:rPr>
        <w:t xml:space="preserve"> </w:t>
      </w:r>
    </w:p>
    <w:p w14:paraId="5F540F79" w14:textId="2E79925B" w:rsidR="001321A9" w:rsidRPr="00F90A54" w:rsidRDefault="001321A9" w:rsidP="001F4A3F">
      <w:pPr>
        <w:ind w:firstLine="360"/>
        <w:jc w:val="both"/>
        <w:rPr>
          <w:rFonts w:ascii="Garamond" w:hAnsi="Garamond"/>
        </w:rPr>
      </w:pPr>
      <w:r w:rsidRPr="00F90A54">
        <w:rPr>
          <w:rFonts w:ascii="Garamond" w:hAnsi="Garamond"/>
        </w:rPr>
        <w:t xml:space="preserve">Some intervenors have referred to this concern as one over so-called “sue and settle” tactics by federal agencies. According to its critics, this practice involves agencies agreeing to collusive settlements with plaintiffs that bind the agency’s discretion to make policy going forward. Or, in the nationwide-injunction cases, the government declines to appeal injunctions </w:t>
      </w:r>
      <w:r w:rsidR="00D970A6" w:rsidRPr="00F90A54">
        <w:rPr>
          <w:rFonts w:ascii="Garamond" w:hAnsi="Garamond"/>
        </w:rPr>
        <w:t>blocking</w:t>
      </w:r>
      <w:r w:rsidRPr="00F90A54">
        <w:rPr>
          <w:rFonts w:ascii="Garamond" w:hAnsi="Garamond"/>
        </w:rPr>
        <w:t xml:space="preserve"> federal rules and then uses that </w:t>
      </w:r>
      <w:r w:rsidRPr="00F90A54">
        <w:rPr>
          <w:rFonts w:ascii="Garamond" w:hAnsi="Garamond"/>
        </w:rPr>
        <w:lastRenderedPageBreak/>
        <w:t>injunction as a justification for bypassing the Administrative Procedure Act’s requirements that agencies repeal rules only through notice and comment.</w:t>
      </w:r>
      <w:r w:rsidRPr="00F90A54">
        <w:rPr>
          <w:rStyle w:val="FootnoteReference"/>
          <w:rFonts w:ascii="Garamond" w:hAnsi="Garamond"/>
        </w:rPr>
        <w:footnoteReference w:id="228"/>
      </w:r>
    </w:p>
    <w:p w14:paraId="36E2716B" w14:textId="14ED1063" w:rsidR="001321A9" w:rsidRPr="00F90A54" w:rsidRDefault="001321A9" w:rsidP="001F4A3F">
      <w:pPr>
        <w:ind w:firstLine="360"/>
        <w:jc w:val="both"/>
        <w:rPr>
          <w:rFonts w:ascii="Garamond" w:hAnsi="Garamond"/>
        </w:rPr>
      </w:pPr>
      <w:r w:rsidRPr="00F90A54">
        <w:rPr>
          <w:rFonts w:ascii="Garamond" w:hAnsi="Garamond"/>
        </w:rPr>
        <w:t>Two recent high-profile cases demonstrate this phenomenon. Several states sought to intervene in the Public Charge cases after the government moved to dismiss following a change in the presidential administration.</w:t>
      </w:r>
      <w:r w:rsidRPr="00F90A54">
        <w:rPr>
          <w:rStyle w:val="FootnoteReference"/>
          <w:rFonts w:ascii="Garamond" w:hAnsi="Garamond"/>
        </w:rPr>
        <w:footnoteReference w:id="229"/>
      </w:r>
      <w:r w:rsidRPr="00F90A54">
        <w:rPr>
          <w:rFonts w:ascii="Garamond" w:hAnsi="Garamond"/>
        </w:rPr>
        <w:t xml:space="preserve"> The states asserted that their intervention was necessary because the federal government “abandoned” its defense and thus “evaded the Administrative Procedure Act’s strictures for modifying a rule it no longer finds genial.”</w:t>
      </w:r>
      <w:r w:rsidRPr="00F90A54">
        <w:rPr>
          <w:rStyle w:val="FootnoteReference"/>
          <w:rFonts w:ascii="Garamond" w:hAnsi="Garamond"/>
        </w:rPr>
        <w:footnoteReference w:id="230"/>
      </w:r>
      <w:r w:rsidRPr="00F90A54">
        <w:rPr>
          <w:rFonts w:ascii="Garamond" w:hAnsi="Garamond"/>
        </w:rPr>
        <w:t xml:space="preserve"> Similarly, several states sought to intervene after a district court enjoined the Title 42 policy limiting immigration at border during the Covid-19 emergency and the government chose not to stay the injunction. The states sought “to intervene to offer a defense of the Title 42 policy so that its validity can be resolved on the merits, rather than through strategic surrender.”</w:t>
      </w:r>
      <w:r w:rsidRPr="00F90A54">
        <w:rPr>
          <w:rStyle w:val="FootnoteReference"/>
          <w:rFonts w:ascii="Garamond" w:hAnsi="Garamond"/>
        </w:rPr>
        <w:footnoteReference w:id="231"/>
      </w:r>
      <w:r w:rsidRPr="00F90A54">
        <w:rPr>
          <w:rFonts w:ascii="Garamond" w:hAnsi="Garamond"/>
        </w:rPr>
        <w:t xml:space="preserve"> The Supreme Court granted cert</w:t>
      </w:r>
      <w:r w:rsidR="004654F8" w:rsidRPr="00F90A54">
        <w:rPr>
          <w:rFonts w:ascii="Garamond" w:hAnsi="Garamond"/>
        </w:rPr>
        <w:t>iorari</w:t>
      </w:r>
      <w:r w:rsidRPr="00F90A54">
        <w:rPr>
          <w:rFonts w:ascii="Garamond" w:hAnsi="Garamond"/>
        </w:rPr>
        <w:t xml:space="preserve"> in both cases to review the denials of intervention, though it declined to reach a decision in either.</w:t>
      </w:r>
      <w:r w:rsidRPr="00F90A54">
        <w:rPr>
          <w:rStyle w:val="FootnoteReference"/>
          <w:rFonts w:ascii="Garamond" w:hAnsi="Garamond"/>
        </w:rPr>
        <w:footnoteReference w:id="232"/>
      </w:r>
    </w:p>
    <w:p w14:paraId="46979F2F" w14:textId="77777777" w:rsidR="00D9403B" w:rsidRPr="00F90A54" w:rsidRDefault="00D9403B" w:rsidP="001321A9">
      <w:pPr>
        <w:ind w:firstLine="360"/>
        <w:rPr>
          <w:rFonts w:ascii="Garamond" w:hAnsi="Garamond"/>
        </w:rPr>
      </w:pPr>
    </w:p>
    <w:p w14:paraId="2825F542" w14:textId="77777777" w:rsidR="001321A9" w:rsidRPr="00F90A54" w:rsidRDefault="001321A9" w:rsidP="00D9403B">
      <w:pPr>
        <w:keepNext/>
        <w:jc w:val="center"/>
        <w:rPr>
          <w:rFonts w:ascii="Garamond" w:hAnsi="Garamond"/>
        </w:rPr>
      </w:pPr>
      <w:r w:rsidRPr="00F90A54">
        <w:rPr>
          <w:rFonts w:ascii="Garamond" w:hAnsi="Garamond"/>
        </w:rPr>
        <w:t>****</w:t>
      </w:r>
    </w:p>
    <w:p w14:paraId="660F1264" w14:textId="77777777" w:rsidR="00D9403B" w:rsidRPr="00F90A54" w:rsidRDefault="00D9403B" w:rsidP="00D9403B">
      <w:pPr>
        <w:keepNext/>
        <w:jc w:val="center"/>
        <w:rPr>
          <w:rFonts w:ascii="Garamond" w:hAnsi="Garamond"/>
        </w:rPr>
      </w:pPr>
    </w:p>
    <w:p w14:paraId="533EA138" w14:textId="3672A882" w:rsidR="001321A9" w:rsidRPr="00F90A54" w:rsidRDefault="001321A9" w:rsidP="001F4A3F">
      <w:pPr>
        <w:ind w:firstLine="360"/>
        <w:jc w:val="both"/>
        <w:rPr>
          <w:rFonts w:ascii="Garamond" w:hAnsi="Garamond"/>
        </w:rPr>
      </w:pPr>
      <w:r w:rsidRPr="00F90A54">
        <w:rPr>
          <w:rFonts w:ascii="Garamond" w:hAnsi="Garamond"/>
        </w:rPr>
        <w:t xml:space="preserve">As these examples illustrate, outsiders are generally driven to intervene in nationwide-injunction cases by at least one of </w:t>
      </w:r>
      <w:r w:rsidR="000629E4">
        <w:rPr>
          <w:rFonts w:ascii="Garamond" w:hAnsi="Garamond"/>
        </w:rPr>
        <w:t>six</w:t>
      </w:r>
      <w:r w:rsidRPr="00F90A54">
        <w:rPr>
          <w:rFonts w:ascii="Garamond" w:hAnsi="Garamond"/>
        </w:rPr>
        <w:t xml:space="preserve"> motives. </w:t>
      </w:r>
      <w:r w:rsidR="000629E4" w:rsidRPr="00096438">
        <w:rPr>
          <w:rFonts w:ascii="Garamond" w:hAnsi="Garamond"/>
        </w:rPr>
        <w:t xml:space="preserve">But, as the next section shows, consistency in </w:t>
      </w:r>
      <w:r w:rsidR="000629E4">
        <w:rPr>
          <w:rFonts w:ascii="Garamond" w:hAnsi="Garamond"/>
        </w:rPr>
        <w:t>the motives for</w:t>
      </w:r>
      <w:r w:rsidR="000629E4" w:rsidRPr="00096438">
        <w:rPr>
          <w:rFonts w:ascii="Garamond" w:hAnsi="Garamond"/>
        </w:rPr>
        <w:t xml:space="preserve"> intervention has not translated into consistent grants of intervention. </w:t>
      </w:r>
      <w:r w:rsidRPr="00F90A54">
        <w:rPr>
          <w:rFonts w:ascii="Garamond" w:hAnsi="Garamond"/>
        </w:rPr>
        <w:t xml:space="preserve">Judicial decisions on intervention have been unpredictable across the range of </w:t>
      </w:r>
      <w:r w:rsidR="000629E4" w:rsidRPr="00F90A54">
        <w:rPr>
          <w:rFonts w:ascii="Garamond" w:hAnsi="Garamond"/>
        </w:rPr>
        <w:t xml:space="preserve">Rule 24 </w:t>
      </w:r>
      <w:r w:rsidRPr="00F90A54">
        <w:rPr>
          <w:rFonts w:ascii="Garamond" w:hAnsi="Garamond"/>
        </w:rPr>
        <w:t xml:space="preserve">factors. </w:t>
      </w:r>
    </w:p>
    <w:p w14:paraId="24BBBCAF" w14:textId="77777777" w:rsidR="001321A9" w:rsidRPr="00F90A54" w:rsidRDefault="001321A9" w:rsidP="001321A9">
      <w:pPr>
        <w:ind w:firstLine="360"/>
        <w:rPr>
          <w:rFonts w:ascii="Garamond" w:hAnsi="Garamond"/>
        </w:rPr>
      </w:pPr>
    </w:p>
    <w:p w14:paraId="51424929" w14:textId="2E9EEA01" w:rsidR="001321A9" w:rsidRPr="00F90A54" w:rsidRDefault="001321A9" w:rsidP="00D9403B">
      <w:pPr>
        <w:pStyle w:val="Heading2"/>
        <w:keepNext/>
      </w:pPr>
      <w:bookmarkStart w:id="16" w:name="_Toc143336558"/>
      <w:r w:rsidRPr="00F90A54">
        <w:t xml:space="preserve">Decisions on Intervention </w:t>
      </w:r>
      <w:r w:rsidR="00B96438" w:rsidRPr="00F90A54">
        <w:t>a</w:t>
      </w:r>
      <w:r w:rsidRPr="00F90A54">
        <w:t xml:space="preserve">re </w:t>
      </w:r>
      <w:proofErr w:type="gramStart"/>
      <w:r w:rsidRPr="00F90A54">
        <w:t>Unpredictable</w:t>
      </w:r>
      <w:bookmarkEnd w:id="16"/>
      <w:proofErr w:type="gramEnd"/>
    </w:p>
    <w:p w14:paraId="76FD7D96" w14:textId="77777777" w:rsidR="001321A9" w:rsidRPr="00F90A54" w:rsidRDefault="001321A9" w:rsidP="00D9403B">
      <w:pPr>
        <w:keepNext/>
        <w:ind w:firstLine="360"/>
        <w:rPr>
          <w:rFonts w:ascii="Garamond" w:hAnsi="Garamond"/>
        </w:rPr>
      </w:pPr>
    </w:p>
    <w:p w14:paraId="75C7DF92" w14:textId="77777777" w:rsidR="001321A9" w:rsidRPr="00F90A54" w:rsidRDefault="001321A9" w:rsidP="001F4A3F">
      <w:pPr>
        <w:keepNext/>
        <w:ind w:firstLine="360"/>
        <w:jc w:val="both"/>
        <w:rPr>
          <w:rFonts w:ascii="Garamond" w:hAnsi="Garamond"/>
        </w:rPr>
      </w:pPr>
      <w:r w:rsidRPr="00F90A54">
        <w:rPr>
          <w:rFonts w:ascii="Garamond" w:hAnsi="Garamond"/>
        </w:rPr>
        <w:t xml:space="preserve">The unpredictable, discretionary nature of the intervention test, detailed in Part I, has played out with predictable effect in the nationwide-injunction context. Even accounting for factual differences among the cases or different doctrinal tests </w:t>
      </w:r>
      <w:r w:rsidRPr="00F90A54">
        <w:rPr>
          <w:rFonts w:ascii="Garamond" w:hAnsi="Garamond"/>
        </w:rPr>
        <w:lastRenderedPageBreak/>
        <w:t xml:space="preserve">developed in different circuits, the legal reasoning applied by courts is often sharply inconsistent. </w:t>
      </w:r>
    </w:p>
    <w:p w14:paraId="0FD8DC74" w14:textId="2E0E037F" w:rsidR="001321A9" w:rsidRPr="00F90A54" w:rsidRDefault="001321A9" w:rsidP="001F4A3F">
      <w:pPr>
        <w:keepNext/>
        <w:ind w:firstLine="360"/>
        <w:jc w:val="both"/>
        <w:rPr>
          <w:rFonts w:ascii="Garamond" w:hAnsi="Garamond"/>
        </w:rPr>
      </w:pPr>
      <w:r w:rsidRPr="00F90A54">
        <w:rPr>
          <w:rFonts w:ascii="Garamond" w:hAnsi="Garamond"/>
        </w:rPr>
        <w:t>Take, for example, public</w:t>
      </w:r>
      <w:r w:rsidR="006118CB" w:rsidRPr="00F90A54">
        <w:rPr>
          <w:rFonts w:ascii="Garamond" w:hAnsi="Garamond"/>
        </w:rPr>
        <w:t>-</w:t>
      </w:r>
      <w:r w:rsidRPr="00F90A54">
        <w:rPr>
          <w:rFonts w:ascii="Garamond" w:hAnsi="Garamond"/>
        </w:rPr>
        <w:t>law cases in the Fifth Circuit. Some courts recognized that outsiders had a right to intervene when they showed a different interest in the litigation or would make a different argument than the federal government. In Texas’s challenge to DACA, the Jane Doe intervenors had a right to participate because their interests differed from the federal government’s interests</w:t>
      </w:r>
      <w:r w:rsidR="000629E4">
        <w:rPr>
          <w:rFonts w:ascii="Garamond" w:hAnsi="Garamond"/>
        </w:rPr>
        <w:t xml:space="preserve"> and they</w:t>
      </w:r>
      <w:r w:rsidRPr="00F90A54">
        <w:rPr>
          <w:rFonts w:ascii="Garamond" w:hAnsi="Garamond"/>
        </w:rPr>
        <w:t xml:space="preserve"> wished to raise different arguments.</w:t>
      </w:r>
      <w:r w:rsidR="00EF4AAB" w:rsidRPr="00F90A54">
        <w:rPr>
          <w:rStyle w:val="FootnoteReference"/>
          <w:rFonts w:ascii="Garamond" w:hAnsi="Garamond"/>
        </w:rPr>
        <w:footnoteReference w:id="233"/>
      </w:r>
      <w:r w:rsidRPr="00F90A54">
        <w:rPr>
          <w:rFonts w:ascii="Garamond" w:hAnsi="Garamond"/>
        </w:rPr>
        <w:t xml:space="preserve"> Similarly, a district court allowed a transgender woman to intervene in a school’s challenge to the Department of Education’s interpretation of Title IX because the government would not make her same arguments</w:t>
      </w:r>
      <w:r w:rsidR="00521F17">
        <w:rPr>
          <w:rFonts w:ascii="Garamond" w:hAnsi="Garamond"/>
        </w:rPr>
        <w:t xml:space="preserve"> (or be able to assert her same legal claim)</w:t>
      </w:r>
      <w:r w:rsidRPr="00F90A54">
        <w:rPr>
          <w:rFonts w:ascii="Garamond" w:hAnsi="Garamond"/>
        </w:rPr>
        <w:t>.</w:t>
      </w:r>
      <w:r w:rsidRPr="00F90A54">
        <w:rPr>
          <w:rStyle w:val="FootnoteReference"/>
          <w:rFonts w:ascii="Garamond" w:hAnsi="Garamond"/>
        </w:rPr>
        <w:footnoteReference w:id="234"/>
      </w:r>
      <w:r w:rsidRPr="00F90A54">
        <w:rPr>
          <w:rFonts w:ascii="Garamond" w:hAnsi="Garamond"/>
        </w:rPr>
        <w:t xml:space="preserve"> </w:t>
      </w:r>
    </w:p>
    <w:p w14:paraId="0D8DFDB9" w14:textId="703C6EA4" w:rsidR="001321A9" w:rsidRPr="00F90A54" w:rsidRDefault="001321A9" w:rsidP="001F4A3F">
      <w:pPr>
        <w:keepNext/>
        <w:ind w:firstLine="360"/>
        <w:jc w:val="both"/>
        <w:rPr>
          <w:rFonts w:ascii="Garamond" w:hAnsi="Garamond"/>
        </w:rPr>
      </w:pPr>
      <w:r w:rsidRPr="00F90A54">
        <w:rPr>
          <w:rFonts w:ascii="Garamond" w:hAnsi="Garamond"/>
        </w:rPr>
        <w:t xml:space="preserve">But just as often, district courts denied intervention for the exact opposite reason. Conservation groups could not intervene in a challenge to Biden’s offshore oil and gas leasing moratorium because the groups ultimately shared the same objective as the government, even if the groups </w:t>
      </w:r>
      <w:r w:rsidR="00521F17">
        <w:rPr>
          <w:rFonts w:ascii="Garamond" w:hAnsi="Garamond"/>
        </w:rPr>
        <w:t>asserted that they would</w:t>
      </w:r>
      <w:r w:rsidRPr="00F90A54">
        <w:rPr>
          <w:rFonts w:ascii="Garamond" w:hAnsi="Garamond"/>
        </w:rPr>
        <w:t xml:space="preserve"> make different arguments or had a </w:t>
      </w:r>
      <w:r w:rsidR="00521F17">
        <w:rPr>
          <w:rFonts w:ascii="Garamond" w:hAnsi="Garamond"/>
        </w:rPr>
        <w:t xml:space="preserve">distinct </w:t>
      </w:r>
      <w:r w:rsidRPr="00F90A54">
        <w:rPr>
          <w:rFonts w:ascii="Garamond" w:hAnsi="Garamond"/>
        </w:rPr>
        <w:t>interest to protect.</w:t>
      </w:r>
      <w:r w:rsidRPr="00F90A54">
        <w:rPr>
          <w:rStyle w:val="FootnoteReference"/>
          <w:rFonts w:ascii="Garamond" w:hAnsi="Garamond"/>
        </w:rPr>
        <w:footnoteReference w:id="235"/>
      </w:r>
      <w:r w:rsidRPr="00F90A54">
        <w:rPr>
          <w:rFonts w:ascii="Garamond" w:hAnsi="Garamond"/>
        </w:rPr>
        <w:t xml:space="preserve"> So too, individual employers could not participate in Texas’s challenge to the ACA because having a different litigation strategy (wishing to raise different arguments) was not enough to overcome the presumption that the state adequately represented them.</w:t>
      </w:r>
      <w:r w:rsidR="00C97907" w:rsidRPr="00F90A54">
        <w:rPr>
          <w:rStyle w:val="FootnoteReference"/>
          <w:rFonts w:ascii="Garamond" w:hAnsi="Garamond"/>
        </w:rPr>
        <w:footnoteReference w:id="236"/>
      </w:r>
      <w:r w:rsidRPr="00F90A54">
        <w:rPr>
          <w:rFonts w:ascii="Garamond" w:hAnsi="Garamond"/>
        </w:rPr>
        <w:t xml:space="preserve"> </w:t>
      </w:r>
    </w:p>
    <w:p w14:paraId="1B4B62CC" w14:textId="596D6CEF" w:rsidR="001321A9" w:rsidRPr="00F90A54" w:rsidRDefault="001321A9" w:rsidP="001F4A3F">
      <w:pPr>
        <w:keepNext/>
        <w:ind w:firstLine="360"/>
        <w:jc w:val="both"/>
        <w:rPr>
          <w:rFonts w:ascii="Garamond" w:hAnsi="Garamond"/>
        </w:rPr>
      </w:pPr>
      <w:r w:rsidRPr="00F90A54">
        <w:rPr>
          <w:rFonts w:ascii="Garamond" w:hAnsi="Garamond"/>
        </w:rPr>
        <w:t>This was true even in cases where the federal government was likely to make significantly different arguments than the proposed intervenors. In a challenge to the Department of Labor’s regulations increasing minimum-salary requirements, a rule enacted during President Obama’s tenure, the district court rejected the AFL-CIO’s intervention motion. According to the district court, the new Trump administration adequately represented the labor union’s interests.</w:t>
      </w:r>
      <w:r w:rsidRPr="00F90A54">
        <w:rPr>
          <w:rStyle w:val="FootnoteReference"/>
          <w:rFonts w:ascii="Garamond" w:hAnsi="Garamond"/>
        </w:rPr>
        <w:footnoteReference w:id="237"/>
      </w:r>
      <w:r w:rsidRPr="00F90A54">
        <w:rPr>
          <w:rFonts w:ascii="Garamond" w:hAnsi="Garamond"/>
        </w:rPr>
        <w:t xml:space="preserve"> The district court rejected the labor union’s evidence suggesting that the Department was unlikely to provide a robust defense of the rule.</w:t>
      </w:r>
      <w:r w:rsidRPr="00F90A54">
        <w:rPr>
          <w:rStyle w:val="FootnoteReference"/>
          <w:rFonts w:ascii="Garamond" w:hAnsi="Garamond"/>
        </w:rPr>
        <w:footnoteReference w:id="238"/>
      </w:r>
      <w:r w:rsidRPr="00F90A54">
        <w:rPr>
          <w:rFonts w:ascii="Garamond" w:hAnsi="Garamond"/>
        </w:rPr>
        <w:t xml:space="preserve"> </w:t>
      </w:r>
    </w:p>
    <w:p w14:paraId="3619F59D" w14:textId="7A64ABDF" w:rsidR="001321A9" w:rsidRPr="00F90A54" w:rsidRDefault="001321A9" w:rsidP="001F4A3F">
      <w:pPr>
        <w:keepNext/>
        <w:ind w:firstLine="360"/>
        <w:jc w:val="both"/>
        <w:rPr>
          <w:rFonts w:ascii="Garamond" w:hAnsi="Garamond"/>
        </w:rPr>
      </w:pPr>
      <w:r w:rsidRPr="00F90A54">
        <w:rPr>
          <w:rFonts w:ascii="Garamond" w:hAnsi="Garamond"/>
        </w:rPr>
        <w:t xml:space="preserve">In each of these cases, district courts had the full panoply of intervention doctrine at their disposal. They could have applied the high bar posed by the presumption of adequate representation to bar intervenors joining the federal government’s defense. Or they could have applied an exception to that bar, easily allowing intervenors to participate </w:t>
      </w:r>
      <w:r w:rsidR="00190E90" w:rsidRPr="00F90A54">
        <w:rPr>
          <w:rFonts w:ascii="Garamond" w:hAnsi="Garamond"/>
        </w:rPr>
        <w:t xml:space="preserve">if they </w:t>
      </w:r>
      <w:r w:rsidRPr="00F90A54">
        <w:rPr>
          <w:rFonts w:ascii="Garamond" w:hAnsi="Garamond"/>
        </w:rPr>
        <w:t xml:space="preserve">showed a personalized interest or asserted a different argument. </w:t>
      </w:r>
      <w:r w:rsidRPr="00F90A54">
        <w:rPr>
          <w:rFonts w:ascii="Garamond" w:hAnsi="Garamond"/>
        </w:rPr>
        <w:lastRenderedPageBreak/>
        <w:t>Even in the same circuit, courts applied different versions of the same test to grant or deny intervention. There is little principle that accounts for the</w:t>
      </w:r>
      <w:r w:rsidR="00521F17">
        <w:rPr>
          <w:rFonts w:ascii="Garamond" w:hAnsi="Garamond"/>
        </w:rPr>
        <w:t xml:space="preserve">se </w:t>
      </w:r>
      <w:r w:rsidR="00FE55E6">
        <w:rPr>
          <w:rFonts w:ascii="Garamond" w:hAnsi="Garamond"/>
        </w:rPr>
        <w:t>conflicting</w:t>
      </w:r>
      <w:r w:rsidR="00521F17">
        <w:rPr>
          <w:rFonts w:ascii="Garamond" w:hAnsi="Garamond"/>
        </w:rPr>
        <w:t xml:space="preserve"> </w:t>
      </w:r>
      <w:r w:rsidRPr="00F90A54">
        <w:rPr>
          <w:rFonts w:ascii="Garamond" w:hAnsi="Garamond"/>
        </w:rPr>
        <w:t xml:space="preserve">outcomes. </w:t>
      </w:r>
    </w:p>
    <w:p w14:paraId="1CF06925" w14:textId="2739C837" w:rsidR="001321A9" w:rsidRPr="00F90A54" w:rsidRDefault="001321A9" w:rsidP="001F4A3F">
      <w:pPr>
        <w:keepNext/>
        <w:ind w:firstLine="360"/>
        <w:jc w:val="both"/>
        <w:rPr>
          <w:rFonts w:ascii="Garamond" w:hAnsi="Garamond"/>
        </w:rPr>
      </w:pPr>
      <w:r w:rsidRPr="00F90A54">
        <w:rPr>
          <w:rFonts w:ascii="Garamond" w:hAnsi="Garamond"/>
        </w:rPr>
        <w:t>The outcomes are even more inconsistent when cases are compared across circuits. Take, for example, the wildly different results reached when a nonprofit intervenor filed nearly identical motions to intervene in seven cases challenging an affirmative action provision in President Biden’s American Rescue Plan.</w:t>
      </w:r>
      <w:r w:rsidRPr="00F90A54">
        <w:rPr>
          <w:rStyle w:val="FootnoteReference"/>
          <w:rFonts w:ascii="Garamond" w:hAnsi="Garamond"/>
        </w:rPr>
        <w:footnoteReference w:id="239"/>
      </w:r>
      <w:r w:rsidRPr="00F90A54">
        <w:rPr>
          <w:rFonts w:ascii="Garamond" w:hAnsi="Garamond"/>
        </w:rPr>
        <w:t xml:space="preserve"> In each case, the proposed intervenors sought conditional intervention. They wanted to participate only if the government’s views turned out, during the litigation, to diverge from their own.</w:t>
      </w:r>
      <w:r w:rsidR="00144C81" w:rsidRPr="00F90A54">
        <w:rPr>
          <w:rStyle w:val="FootnoteReference"/>
          <w:rFonts w:ascii="Garamond" w:hAnsi="Garamond"/>
        </w:rPr>
        <w:footnoteReference w:id="240"/>
      </w:r>
      <w:r w:rsidRPr="00F90A54">
        <w:rPr>
          <w:rFonts w:ascii="Garamond" w:hAnsi="Garamond"/>
        </w:rPr>
        <w:t xml:space="preserve"> Two </w:t>
      </w:r>
      <w:r w:rsidR="004654F8" w:rsidRPr="00F90A54">
        <w:rPr>
          <w:rFonts w:ascii="Garamond" w:hAnsi="Garamond"/>
        </w:rPr>
        <w:t xml:space="preserve">district </w:t>
      </w:r>
      <w:r w:rsidRPr="00F90A54">
        <w:rPr>
          <w:rFonts w:ascii="Garamond" w:hAnsi="Garamond"/>
        </w:rPr>
        <w:t>courts deferred their consideration of the motion until the proposed intervenors notified the court that the government’s views had in fact diverged.</w:t>
      </w:r>
      <w:r w:rsidRPr="00F90A54">
        <w:rPr>
          <w:rStyle w:val="FootnoteReference"/>
          <w:rFonts w:ascii="Garamond" w:hAnsi="Garamond"/>
        </w:rPr>
        <w:footnoteReference w:id="241"/>
      </w:r>
      <w:r w:rsidRPr="00F90A54">
        <w:rPr>
          <w:rFonts w:ascii="Garamond" w:hAnsi="Garamond"/>
        </w:rPr>
        <w:t xml:space="preserve"> Another </w:t>
      </w:r>
      <w:r w:rsidR="004654F8" w:rsidRPr="00F90A54">
        <w:rPr>
          <w:rFonts w:ascii="Garamond" w:hAnsi="Garamond"/>
        </w:rPr>
        <w:t xml:space="preserve">district </w:t>
      </w:r>
      <w:r w:rsidRPr="00F90A54">
        <w:rPr>
          <w:rFonts w:ascii="Garamond" w:hAnsi="Garamond"/>
        </w:rPr>
        <w:t xml:space="preserve">court denied intervention, the intervenors appealed, and the </w:t>
      </w:r>
      <w:r w:rsidR="004654F8" w:rsidRPr="00F90A54">
        <w:rPr>
          <w:rFonts w:ascii="Garamond" w:hAnsi="Garamond"/>
        </w:rPr>
        <w:t>c</w:t>
      </w:r>
      <w:r w:rsidRPr="00F90A54">
        <w:rPr>
          <w:rFonts w:ascii="Garamond" w:hAnsi="Garamond"/>
        </w:rPr>
        <w:t xml:space="preserve">ourt of </w:t>
      </w:r>
      <w:r w:rsidR="004654F8" w:rsidRPr="00F90A54">
        <w:rPr>
          <w:rFonts w:ascii="Garamond" w:hAnsi="Garamond"/>
        </w:rPr>
        <w:t>a</w:t>
      </w:r>
      <w:r w:rsidRPr="00F90A54">
        <w:rPr>
          <w:rFonts w:ascii="Garamond" w:hAnsi="Garamond"/>
        </w:rPr>
        <w:t>ppeals overturned the decision and held that the nonprofit had a right to intervene.</w:t>
      </w:r>
      <w:r w:rsidRPr="00F90A54">
        <w:rPr>
          <w:rStyle w:val="FootnoteReference"/>
          <w:rFonts w:ascii="Garamond" w:hAnsi="Garamond"/>
        </w:rPr>
        <w:footnoteReference w:id="242"/>
      </w:r>
      <w:r w:rsidRPr="00F90A54">
        <w:rPr>
          <w:rFonts w:ascii="Garamond" w:hAnsi="Garamond"/>
        </w:rPr>
        <w:t xml:space="preserve"> In the </w:t>
      </w:r>
      <w:r w:rsidR="00243CCD" w:rsidRPr="00F90A54">
        <w:rPr>
          <w:rFonts w:ascii="Garamond" w:hAnsi="Garamond"/>
        </w:rPr>
        <w:t>fourth</w:t>
      </w:r>
      <w:r w:rsidRPr="00F90A54">
        <w:rPr>
          <w:rFonts w:ascii="Garamond" w:hAnsi="Garamond"/>
        </w:rPr>
        <w:t xml:space="preserve">, the </w:t>
      </w:r>
      <w:r w:rsidR="004654F8" w:rsidRPr="00F90A54">
        <w:rPr>
          <w:rFonts w:ascii="Garamond" w:hAnsi="Garamond"/>
        </w:rPr>
        <w:t xml:space="preserve">district </w:t>
      </w:r>
      <w:r w:rsidRPr="00F90A54">
        <w:rPr>
          <w:rFonts w:ascii="Garamond" w:hAnsi="Garamond"/>
        </w:rPr>
        <w:t>court denied the motion to intervene without prejudice to the group refiling at a later date.</w:t>
      </w:r>
      <w:r w:rsidRPr="00F90A54">
        <w:rPr>
          <w:rStyle w:val="FootnoteReference"/>
          <w:rFonts w:ascii="Garamond" w:hAnsi="Garamond"/>
        </w:rPr>
        <w:footnoteReference w:id="243"/>
      </w:r>
      <w:r w:rsidRPr="00F90A54">
        <w:rPr>
          <w:rFonts w:ascii="Garamond" w:hAnsi="Garamond"/>
        </w:rPr>
        <w:t xml:space="preserve"> In another, the </w:t>
      </w:r>
      <w:r w:rsidR="004654F8" w:rsidRPr="00F90A54">
        <w:rPr>
          <w:rFonts w:ascii="Garamond" w:hAnsi="Garamond"/>
        </w:rPr>
        <w:t xml:space="preserve">district </w:t>
      </w:r>
      <w:r w:rsidRPr="00F90A54">
        <w:rPr>
          <w:rFonts w:ascii="Garamond" w:hAnsi="Garamond"/>
        </w:rPr>
        <w:t>court held that intervention was not warranted, but that the group could participate as amici.</w:t>
      </w:r>
      <w:r w:rsidRPr="00F90A54">
        <w:rPr>
          <w:rStyle w:val="FootnoteReference"/>
          <w:rFonts w:ascii="Garamond" w:hAnsi="Garamond"/>
        </w:rPr>
        <w:footnoteReference w:id="244"/>
      </w:r>
      <w:r w:rsidRPr="00F90A54">
        <w:rPr>
          <w:rFonts w:ascii="Garamond" w:hAnsi="Garamond"/>
        </w:rPr>
        <w:t xml:space="preserve"> And in two other cases, the </w:t>
      </w:r>
      <w:r w:rsidR="004654F8" w:rsidRPr="00F90A54">
        <w:rPr>
          <w:rFonts w:ascii="Garamond" w:hAnsi="Garamond"/>
        </w:rPr>
        <w:t xml:space="preserve">district </w:t>
      </w:r>
      <w:r w:rsidRPr="00F90A54">
        <w:rPr>
          <w:rFonts w:ascii="Garamond" w:hAnsi="Garamond"/>
        </w:rPr>
        <w:t>court never ruled on the motion.</w:t>
      </w:r>
      <w:r w:rsidRPr="00F90A54">
        <w:rPr>
          <w:rStyle w:val="FootnoteReference"/>
          <w:rFonts w:ascii="Garamond" w:hAnsi="Garamond"/>
        </w:rPr>
        <w:footnoteReference w:id="245"/>
      </w:r>
      <w:r w:rsidRPr="00F90A54">
        <w:rPr>
          <w:rFonts w:ascii="Garamond" w:hAnsi="Garamond"/>
        </w:rPr>
        <w:t xml:space="preserve"> Despite the close similarity between the subject of the suit and the outsiders who sought to intervene, the doctrine of intervention provided no predictable result. </w:t>
      </w:r>
    </w:p>
    <w:p w14:paraId="4DFE7380" w14:textId="736BD7B9" w:rsidR="001321A9" w:rsidRPr="00F90A54" w:rsidRDefault="001321A9" w:rsidP="001F4A3F">
      <w:pPr>
        <w:keepNext/>
        <w:ind w:firstLine="360"/>
        <w:jc w:val="both"/>
        <w:rPr>
          <w:rFonts w:ascii="Garamond" w:hAnsi="Garamond"/>
        </w:rPr>
      </w:pPr>
      <w:r w:rsidRPr="00F90A54">
        <w:rPr>
          <w:rFonts w:ascii="Garamond" w:hAnsi="Garamond"/>
        </w:rPr>
        <w:t>What’s more, the inconsistency may be far worse than what these examples show. This analysis only accounts for the fraction of decisions where courts have provided a reason for granting or denying intervention.</w:t>
      </w:r>
      <w:r w:rsidRPr="00F90A54">
        <w:rPr>
          <w:rStyle w:val="FootnoteReference"/>
          <w:rFonts w:ascii="Garamond" w:hAnsi="Garamond"/>
        </w:rPr>
        <w:footnoteReference w:id="246"/>
      </w:r>
      <w:r w:rsidRPr="00F90A54">
        <w:rPr>
          <w:rFonts w:ascii="Garamond" w:hAnsi="Garamond"/>
        </w:rPr>
        <w:t xml:space="preserve"> Far more often, courts decline to </w:t>
      </w:r>
      <w:r w:rsidR="00A779EF">
        <w:rPr>
          <w:rFonts w:ascii="Garamond" w:hAnsi="Garamond"/>
        </w:rPr>
        <w:t xml:space="preserve">offer a reasoned </w:t>
      </w:r>
      <w:r w:rsidR="00A779EF" w:rsidRPr="00F90A54">
        <w:rPr>
          <w:rFonts w:ascii="Garamond" w:hAnsi="Garamond"/>
        </w:rPr>
        <w:t>explana</w:t>
      </w:r>
      <w:r w:rsidR="00A779EF">
        <w:rPr>
          <w:rFonts w:ascii="Garamond" w:hAnsi="Garamond"/>
        </w:rPr>
        <w:t>tion</w:t>
      </w:r>
      <w:r w:rsidRPr="00F90A54">
        <w:rPr>
          <w:rFonts w:ascii="Garamond" w:hAnsi="Garamond"/>
        </w:rPr>
        <w:t xml:space="preserve">. That’s true regardless of whether parties seek </w:t>
      </w:r>
      <w:r w:rsidR="00A779EF">
        <w:rPr>
          <w:rFonts w:ascii="Garamond" w:hAnsi="Garamond"/>
        </w:rPr>
        <w:t>intervention</w:t>
      </w:r>
      <w:r w:rsidRPr="00F90A54">
        <w:rPr>
          <w:rFonts w:ascii="Garamond" w:hAnsi="Garamond"/>
        </w:rPr>
        <w:t xml:space="preserve"> as-of-right or permissively.</w:t>
      </w:r>
      <w:r w:rsidRPr="00F90A54">
        <w:rPr>
          <w:rStyle w:val="FootnoteReference"/>
          <w:rFonts w:ascii="Garamond" w:hAnsi="Garamond"/>
        </w:rPr>
        <w:footnoteReference w:id="247"/>
      </w:r>
      <w:r w:rsidRPr="00F90A54">
        <w:rPr>
          <w:rFonts w:ascii="Garamond" w:hAnsi="Garamond"/>
        </w:rPr>
        <w:t xml:space="preserve"> Some courts only analyze the question of permissive </w:t>
      </w:r>
      <w:r w:rsidRPr="00F90A54">
        <w:rPr>
          <w:rFonts w:ascii="Garamond" w:hAnsi="Garamond"/>
        </w:rPr>
        <w:lastRenderedPageBreak/>
        <w:t xml:space="preserve">intervention—ignoring whether the outsider also has a right to intervene—even </w:t>
      </w:r>
      <w:r w:rsidR="00B56B3B" w:rsidRPr="00F90A54">
        <w:rPr>
          <w:rFonts w:ascii="Garamond" w:hAnsi="Garamond"/>
        </w:rPr>
        <w:t>if intervenors of right</w:t>
      </w:r>
      <w:r w:rsidRPr="00F90A54">
        <w:rPr>
          <w:rFonts w:ascii="Garamond" w:hAnsi="Garamond"/>
        </w:rPr>
        <w:t xml:space="preserve"> supposedly have broader participation rights.</w:t>
      </w:r>
      <w:r w:rsidRPr="00F90A54">
        <w:rPr>
          <w:rStyle w:val="FootnoteReference"/>
          <w:rFonts w:ascii="Garamond" w:hAnsi="Garamond"/>
        </w:rPr>
        <w:footnoteReference w:id="248"/>
      </w:r>
    </w:p>
    <w:p w14:paraId="35A1E525" w14:textId="31D4FC29" w:rsidR="001321A9" w:rsidRPr="00F90A54" w:rsidRDefault="001321A9" w:rsidP="001F4A3F">
      <w:pPr>
        <w:keepNext/>
        <w:ind w:firstLine="360"/>
        <w:jc w:val="both"/>
        <w:rPr>
          <w:rFonts w:ascii="Garamond" w:hAnsi="Garamond"/>
        </w:rPr>
      </w:pPr>
      <w:r w:rsidRPr="00F90A54">
        <w:rPr>
          <w:rFonts w:ascii="Garamond" w:hAnsi="Garamond"/>
        </w:rPr>
        <w:t>These divergent outcomes have had a significant effect on how cases seeking nationwide injunctions have proceeded. As the next part shows, intervenors have played an important role</w:t>
      </w:r>
      <w:r w:rsidR="00864252" w:rsidRPr="00F90A54">
        <w:rPr>
          <w:rFonts w:ascii="Garamond" w:hAnsi="Garamond"/>
        </w:rPr>
        <w:t xml:space="preserve"> in the outcome of nationwide-injunctions cases</w:t>
      </w:r>
      <w:r w:rsidR="00A779EF">
        <w:rPr>
          <w:rFonts w:ascii="Garamond" w:hAnsi="Garamond"/>
        </w:rPr>
        <w:t xml:space="preserve">. </w:t>
      </w:r>
    </w:p>
    <w:p w14:paraId="1EE088A5" w14:textId="77777777" w:rsidR="001321A9" w:rsidRPr="00F90A54" w:rsidRDefault="001321A9" w:rsidP="001321A9">
      <w:pPr>
        <w:keepNext/>
        <w:ind w:firstLine="360"/>
        <w:rPr>
          <w:rFonts w:ascii="Garamond" w:hAnsi="Garamond"/>
        </w:rPr>
      </w:pPr>
    </w:p>
    <w:p w14:paraId="26E6F15E" w14:textId="4C3E196E" w:rsidR="001321A9" w:rsidRPr="00F90A54" w:rsidRDefault="000E53A4" w:rsidP="00D9403B">
      <w:pPr>
        <w:pStyle w:val="Heading2"/>
        <w:keepNext/>
      </w:pPr>
      <w:bookmarkStart w:id="17" w:name="_Toc143336559"/>
      <w:r w:rsidRPr="00F90A54">
        <w:t xml:space="preserve">Decisions on Intervention </w:t>
      </w:r>
      <w:r w:rsidR="00B96438" w:rsidRPr="00F90A54">
        <w:t>a</w:t>
      </w:r>
      <w:r w:rsidRPr="00F90A54">
        <w:t xml:space="preserve">re </w:t>
      </w:r>
      <w:proofErr w:type="gramStart"/>
      <w:r w:rsidR="001321A9" w:rsidRPr="00F90A54">
        <w:t>Consequen</w:t>
      </w:r>
      <w:r w:rsidRPr="00F90A54">
        <w:t>tial</w:t>
      </w:r>
      <w:bookmarkEnd w:id="17"/>
      <w:proofErr w:type="gramEnd"/>
    </w:p>
    <w:p w14:paraId="04C66B4F" w14:textId="77777777" w:rsidR="001321A9" w:rsidRPr="00F90A54" w:rsidRDefault="001321A9" w:rsidP="00D9403B">
      <w:pPr>
        <w:keepNext/>
        <w:ind w:firstLine="360"/>
        <w:rPr>
          <w:rFonts w:ascii="Garamond" w:hAnsi="Garamond"/>
        </w:rPr>
      </w:pPr>
    </w:p>
    <w:p w14:paraId="4B0F661A" w14:textId="0A43953F" w:rsidR="001321A9" w:rsidRPr="00F90A54" w:rsidRDefault="001321A9" w:rsidP="001F4A3F">
      <w:pPr>
        <w:keepNext/>
        <w:ind w:firstLine="360"/>
        <w:jc w:val="both"/>
        <w:rPr>
          <w:rFonts w:ascii="Garamond" w:hAnsi="Garamond"/>
        </w:rPr>
      </w:pPr>
      <w:r w:rsidRPr="00F90A54">
        <w:rPr>
          <w:rFonts w:ascii="Garamond" w:hAnsi="Garamond"/>
        </w:rPr>
        <w:t>The unpredictable nature of intervention decisions matters because intervention can be significantly consequential. In th</w:t>
      </w:r>
      <w:r w:rsidR="00A779EF">
        <w:rPr>
          <w:rFonts w:ascii="Garamond" w:hAnsi="Garamond"/>
        </w:rPr>
        <w:t>e nationwide-injunction</w:t>
      </w:r>
      <w:r w:rsidRPr="00F90A54">
        <w:rPr>
          <w:rFonts w:ascii="Garamond" w:hAnsi="Garamond"/>
        </w:rPr>
        <w:t xml:space="preserve"> context, intervention has two main effects. </w:t>
      </w:r>
      <w:r w:rsidR="00047608">
        <w:rPr>
          <w:rFonts w:ascii="Garamond" w:hAnsi="Garamond"/>
        </w:rPr>
        <w:t xml:space="preserve">The first </w:t>
      </w:r>
      <w:r w:rsidR="00523CAC">
        <w:rPr>
          <w:rFonts w:ascii="Garamond" w:hAnsi="Garamond"/>
        </w:rPr>
        <w:t xml:space="preserve">effect I argue </w:t>
      </w:r>
      <w:r w:rsidR="00047608">
        <w:rPr>
          <w:rFonts w:ascii="Garamond" w:hAnsi="Garamond"/>
        </w:rPr>
        <w:t>is more benign</w:t>
      </w:r>
      <w:r w:rsidR="00523CAC">
        <w:rPr>
          <w:rFonts w:ascii="Garamond" w:hAnsi="Garamond"/>
        </w:rPr>
        <w:t>. C</w:t>
      </w:r>
      <w:r w:rsidR="00047608">
        <w:rPr>
          <w:rFonts w:ascii="Garamond" w:hAnsi="Garamond"/>
        </w:rPr>
        <w:t xml:space="preserve">ourts have considered and been </w:t>
      </w:r>
      <w:r w:rsidR="00523CAC">
        <w:rPr>
          <w:rFonts w:ascii="Garamond" w:hAnsi="Garamond"/>
        </w:rPr>
        <w:t xml:space="preserve">persuaded </w:t>
      </w:r>
      <w:r w:rsidR="00047608">
        <w:rPr>
          <w:rFonts w:ascii="Garamond" w:hAnsi="Garamond"/>
        </w:rPr>
        <w:t xml:space="preserve">by the </w:t>
      </w:r>
      <w:r w:rsidRPr="00F90A54">
        <w:rPr>
          <w:rFonts w:ascii="Garamond" w:hAnsi="Garamond"/>
        </w:rPr>
        <w:t xml:space="preserve">new evidence or arguments </w:t>
      </w:r>
      <w:r w:rsidR="00523CAC">
        <w:rPr>
          <w:rFonts w:ascii="Garamond" w:hAnsi="Garamond"/>
        </w:rPr>
        <w:t>introduced by the intervenor</w:t>
      </w:r>
      <w:r w:rsidRPr="00F90A54">
        <w:rPr>
          <w:rFonts w:ascii="Garamond" w:hAnsi="Garamond"/>
        </w:rPr>
        <w:t xml:space="preserve">. </w:t>
      </w:r>
      <w:r w:rsidR="00523CAC">
        <w:rPr>
          <w:rFonts w:ascii="Garamond" w:hAnsi="Garamond"/>
        </w:rPr>
        <w:t>The s</w:t>
      </w:r>
      <w:r w:rsidRPr="00F90A54">
        <w:rPr>
          <w:rFonts w:ascii="Garamond" w:hAnsi="Garamond"/>
        </w:rPr>
        <w:t>econd—and more problematic—</w:t>
      </w:r>
      <w:r w:rsidR="00523CAC">
        <w:rPr>
          <w:rFonts w:ascii="Garamond" w:hAnsi="Garamond"/>
        </w:rPr>
        <w:t xml:space="preserve">effect occurs when </w:t>
      </w:r>
      <w:r w:rsidRPr="00F90A54">
        <w:rPr>
          <w:rFonts w:ascii="Garamond" w:hAnsi="Garamond"/>
        </w:rPr>
        <w:t>intervenor</w:t>
      </w:r>
      <w:r w:rsidR="00523CAC">
        <w:rPr>
          <w:rFonts w:ascii="Garamond" w:hAnsi="Garamond"/>
        </w:rPr>
        <w:t>s</w:t>
      </w:r>
      <w:r w:rsidRPr="00F90A54">
        <w:rPr>
          <w:rFonts w:ascii="Garamond" w:hAnsi="Garamond"/>
        </w:rPr>
        <w:t xml:space="preserve"> force case</w:t>
      </w:r>
      <w:r w:rsidR="00523CAC">
        <w:rPr>
          <w:rFonts w:ascii="Garamond" w:hAnsi="Garamond"/>
        </w:rPr>
        <w:t>s</w:t>
      </w:r>
      <w:r w:rsidRPr="00F90A54">
        <w:rPr>
          <w:rFonts w:ascii="Garamond" w:hAnsi="Garamond"/>
        </w:rPr>
        <w:t xml:space="preserve"> to proceed past when the original parties would have ended the suit. </w:t>
      </w:r>
    </w:p>
    <w:p w14:paraId="28CCDA53" w14:textId="1D537C92" w:rsidR="001321A9" w:rsidRPr="00F90A54" w:rsidRDefault="001321A9" w:rsidP="001F4A3F">
      <w:pPr>
        <w:keepNext/>
        <w:ind w:firstLine="360"/>
        <w:jc w:val="both"/>
        <w:rPr>
          <w:rFonts w:ascii="Garamond" w:hAnsi="Garamond"/>
        </w:rPr>
      </w:pPr>
      <w:r w:rsidRPr="00F90A54">
        <w:rPr>
          <w:rFonts w:ascii="Garamond" w:hAnsi="Garamond"/>
        </w:rPr>
        <w:t xml:space="preserve">1. </w:t>
      </w:r>
      <w:r w:rsidRPr="00F90A54">
        <w:rPr>
          <w:rFonts w:ascii="Garamond" w:hAnsi="Garamond"/>
          <w:i/>
          <w:iCs/>
        </w:rPr>
        <w:t xml:space="preserve">Arguments &amp; Evidence. </w:t>
      </w:r>
      <w:r w:rsidR="00B07C0C" w:rsidRPr="00F90A54">
        <w:rPr>
          <w:rFonts w:ascii="Garamond" w:hAnsi="Garamond"/>
        </w:rPr>
        <w:t xml:space="preserve">The litigation over the Department of Education’s interpretation of Title IX demonstrates that courts may </w:t>
      </w:r>
      <w:r w:rsidRPr="00F90A54">
        <w:rPr>
          <w:rFonts w:ascii="Garamond" w:hAnsi="Garamond"/>
        </w:rPr>
        <w:t>heavily rel</w:t>
      </w:r>
      <w:r w:rsidR="00B07C0C" w:rsidRPr="00F90A54">
        <w:rPr>
          <w:rFonts w:ascii="Garamond" w:hAnsi="Garamond"/>
        </w:rPr>
        <w:t>y</w:t>
      </w:r>
      <w:r w:rsidRPr="00F90A54">
        <w:rPr>
          <w:rFonts w:ascii="Garamond" w:hAnsi="Garamond"/>
        </w:rPr>
        <w:t xml:space="preserve"> on the arguments and evidence presented by intervenors. In denying the plaintiffs’ preliminary injunction, the court detailed the intervenors</w:t>
      </w:r>
      <w:r w:rsidR="00B07C0C" w:rsidRPr="00F90A54">
        <w:rPr>
          <w:rFonts w:ascii="Garamond" w:hAnsi="Garamond"/>
        </w:rPr>
        <w:t>’</w:t>
      </w:r>
      <w:r w:rsidRPr="00F90A54">
        <w:rPr>
          <w:rFonts w:ascii="Garamond" w:hAnsi="Garamond"/>
        </w:rPr>
        <w:t xml:space="preserve"> “ample record” and repeatedly referenced their evidence as rebutting the assertions made by the plaintiffs.</w:t>
      </w:r>
      <w:r w:rsidRPr="00F90A54">
        <w:rPr>
          <w:rStyle w:val="FootnoteReference"/>
          <w:rFonts w:ascii="Garamond" w:hAnsi="Garamond"/>
        </w:rPr>
        <w:footnoteReference w:id="249"/>
      </w:r>
      <w:r w:rsidRPr="00F90A54">
        <w:rPr>
          <w:rFonts w:ascii="Garamond" w:hAnsi="Garamond"/>
        </w:rPr>
        <w:t xml:space="preserve"> </w:t>
      </w:r>
      <w:r w:rsidR="00B07C0C" w:rsidRPr="00F90A54">
        <w:rPr>
          <w:rFonts w:ascii="Garamond" w:hAnsi="Garamond"/>
        </w:rPr>
        <w:t xml:space="preserve">And the court’s analysis turned on the intervenors’ arguments that “sex” in the statutory text was unambiguous, rather than relying, as the government had, on </w:t>
      </w:r>
      <w:r w:rsidR="00B07C0C" w:rsidRPr="00F90A54">
        <w:rPr>
          <w:rFonts w:ascii="Garamond" w:hAnsi="Garamond"/>
          <w:i/>
          <w:iCs/>
        </w:rPr>
        <w:t xml:space="preserve">Auer </w:t>
      </w:r>
      <w:r w:rsidR="00B07C0C" w:rsidRPr="00F90A54">
        <w:rPr>
          <w:rFonts w:ascii="Garamond" w:hAnsi="Garamond"/>
        </w:rPr>
        <w:t>deference.</w:t>
      </w:r>
      <w:r w:rsidRPr="00F90A54">
        <w:rPr>
          <w:rStyle w:val="FootnoteReference"/>
          <w:rFonts w:ascii="Garamond" w:hAnsi="Garamond"/>
        </w:rPr>
        <w:footnoteReference w:id="250"/>
      </w:r>
      <w:r w:rsidRPr="00F90A54">
        <w:rPr>
          <w:rFonts w:ascii="Garamond" w:hAnsi="Garamond"/>
        </w:rPr>
        <w:t xml:space="preserve"> </w:t>
      </w:r>
    </w:p>
    <w:p w14:paraId="55E064B0" w14:textId="3D373FF2" w:rsidR="001321A9" w:rsidRPr="00F90A54" w:rsidRDefault="00FA7A34" w:rsidP="001F4A3F">
      <w:pPr>
        <w:keepNext/>
        <w:ind w:firstLine="360"/>
        <w:jc w:val="both"/>
        <w:rPr>
          <w:rFonts w:ascii="Garamond" w:hAnsi="Garamond"/>
        </w:rPr>
      </w:pPr>
      <w:r w:rsidRPr="00F90A54">
        <w:rPr>
          <w:rFonts w:ascii="Garamond" w:hAnsi="Garamond"/>
        </w:rPr>
        <w:t>Similarly, t</w:t>
      </w:r>
      <w:r w:rsidR="001321A9" w:rsidRPr="00F90A54">
        <w:rPr>
          <w:rFonts w:ascii="Garamond" w:hAnsi="Garamond"/>
        </w:rPr>
        <w:t>he Jane Does’ intervention in the litigation over DACA exemplifies just how consequential intervenor participation can be</w:t>
      </w:r>
      <w:r w:rsidRPr="00F90A54">
        <w:rPr>
          <w:rFonts w:ascii="Garamond" w:hAnsi="Garamond"/>
        </w:rPr>
        <w:t xml:space="preserve"> to the arguments and evidence presented to the court</w:t>
      </w:r>
      <w:r w:rsidR="001321A9" w:rsidRPr="00F90A54">
        <w:rPr>
          <w:rFonts w:ascii="Garamond" w:hAnsi="Garamond"/>
        </w:rPr>
        <w:t xml:space="preserve">. </w:t>
      </w:r>
      <w:r w:rsidRPr="00F90A54">
        <w:rPr>
          <w:rFonts w:ascii="Garamond" w:hAnsi="Garamond"/>
        </w:rPr>
        <w:t>The intervenors</w:t>
      </w:r>
      <w:r w:rsidR="001321A9" w:rsidRPr="00F90A54">
        <w:rPr>
          <w:rFonts w:ascii="Garamond" w:hAnsi="Garamond"/>
        </w:rPr>
        <w:t xml:space="preserve"> delayed the plaintiffs’ briefing schedule for a preliminary injunction so they could seek discovery into, and challenge, the plaintiffs’ standing.</w:t>
      </w:r>
      <w:r w:rsidR="001321A9" w:rsidRPr="00F90A54">
        <w:rPr>
          <w:rStyle w:val="FootnoteReference"/>
          <w:rFonts w:ascii="Garamond" w:hAnsi="Garamond"/>
        </w:rPr>
        <w:footnoteReference w:id="251"/>
      </w:r>
      <w:r w:rsidR="001321A9" w:rsidRPr="00F90A54">
        <w:rPr>
          <w:rFonts w:ascii="Garamond" w:hAnsi="Garamond"/>
        </w:rPr>
        <w:t xml:space="preserve"> They sought and obtained discovery from the federal government about how it was implementing DACA, including deposing several federal employees.</w:t>
      </w:r>
      <w:r w:rsidR="001321A9" w:rsidRPr="00F90A54">
        <w:rPr>
          <w:rStyle w:val="FootnoteReference"/>
          <w:rFonts w:ascii="Garamond" w:hAnsi="Garamond"/>
        </w:rPr>
        <w:footnoteReference w:id="252"/>
      </w:r>
      <w:r w:rsidR="001321A9" w:rsidRPr="00F90A54">
        <w:rPr>
          <w:rFonts w:ascii="Garamond" w:hAnsi="Garamond"/>
        </w:rPr>
        <w:t xml:space="preserve"> They objected to the plaintiffs’ preliminary injunction and became the main defenders of DACA after the federal government</w:t>
      </w:r>
      <w:r w:rsidR="00515203">
        <w:rPr>
          <w:rFonts w:ascii="Garamond" w:hAnsi="Garamond"/>
        </w:rPr>
        <w:t xml:space="preserve">, </w:t>
      </w:r>
      <w:r w:rsidR="001321A9" w:rsidRPr="00F90A54">
        <w:rPr>
          <w:rFonts w:ascii="Garamond" w:hAnsi="Garamond"/>
        </w:rPr>
        <w:t>during Trump’s administration</w:t>
      </w:r>
      <w:r w:rsidR="00515203">
        <w:rPr>
          <w:rFonts w:ascii="Garamond" w:hAnsi="Garamond"/>
        </w:rPr>
        <w:t xml:space="preserve">, </w:t>
      </w:r>
      <w:r w:rsidR="001321A9" w:rsidRPr="00F90A54">
        <w:rPr>
          <w:rFonts w:ascii="Garamond" w:hAnsi="Garamond"/>
        </w:rPr>
        <w:t xml:space="preserve">agreed with </w:t>
      </w:r>
      <w:r w:rsidR="001321A9" w:rsidRPr="00F90A54">
        <w:rPr>
          <w:rFonts w:ascii="Garamond" w:hAnsi="Garamond"/>
        </w:rPr>
        <w:lastRenderedPageBreak/>
        <w:t>the plaintiffs that the policy was unlawful.</w:t>
      </w:r>
      <w:r w:rsidR="001321A9" w:rsidRPr="00F90A54">
        <w:rPr>
          <w:rStyle w:val="FootnoteReference"/>
          <w:rFonts w:ascii="Garamond" w:hAnsi="Garamond"/>
        </w:rPr>
        <w:footnoteReference w:id="253"/>
      </w:r>
      <w:r w:rsidR="001321A9" w:rsidRPr="00F90A54">
        <w:rPr>
          <w:rFonts w:ascii="Garamond" w:hAnsi="Garamond"/>
        </w:rPr>
        <w:t xml:space="preserve"> They convinced the court to exclude </w:t>
      </w:r>
      <w:r w:rsidR="00515203">
        <w:rPr>
          <w:rFonts w:ascii="Garamond" w:hAnsi="Garamond"/>
        </w:rPr>
        <w:t>un</w:t>
      </w:r>
      <w:r w:rsidR="001321A9" w:rsidRPr="00F90A54">
        <w:rPr>
          <w:rFonts w:ascii="Garamond" w:hAnsi="Garamond"/>
        </w:rPr>
        <w:t>disclosed witnesses from the plaintiff states.</w:t>
      </w:r>
      <w:r w:rsidR="001321A9" w:rsidRPr="00F90A54">
        <w:rPr>
          <w:rStyle w:val="FootnoteReference"/>
          <w:rFonts w:ascii="Garamond" w:hAnsi="Garamond"/>
        </w:rPr>
        <w:footnoteReference w:id="254"/>
      </w:r>
      <w:r w:rsidR="001321A9" w:rsidRPr="00F90A54">
        <w:rPr>
          <w:rFonts w:ascii="Garamond" w:hAnsi="Garamond"/>
        </w:rPr>
        <w:t xml:space="preserve"> And the court ultimately denied preliminary injunctive relief based on the intervenors’ arguments.</w:t>
      </w:r>
      <w:r w:rsidR="001321A9" w:rsidRPr="00F90A54">
        <w:rPr>
          <w:rStyle w:val="FootnoteReference"/>
          <w:rFonts w:ascii="Garamond" w:hAnsi="Garamond"/>
        </w:rPr>
        <w:footnoteReference w:id="255"/>
      </w:r>
      <w:r w:rsidR="001321A9" w:rsidRPr="00F90A54">
        <w:rPr>
          <w:rFonts w:ascii="Garamond" w:hAnsi="Garamond"/>
        </w:rPr>
        <w:t xml:space="preserve"> Later in the case, after the court switched course and granted a permanent injunction, the intervenors appealed—joined by the federal government only after President Biden’s administration took over.</w:t>
      </w:r>
      <w:r w:rsidR="001321A9" w:rsidRPr="00F90A54">
        <w:rPr>
          <w:rStyle w:val="FootnoteReference"/>
          <w:rFonts w:ascii="Garamond" w:hAnsi="Garamond"/>
        </w:rPr>
        <w:footnoteReference w:id="256"/>
      </w:r>
      <w:r w:rsidR="001321A9" w:rsidRPr="00F90A54">
        <w:rPr>
          <w:rFonts w:ascii="Garamond" w:hAnsi="Garamond"/>
        </w:rPr>
        <w:t xml:space="preserve"> </w:t>
      </w:r>
    </w:p>
    <w:p w14:paraId="1C83992B" w14:textId="7A7DB534" w:rsidR="001321A9" w:rsidRPr="00F90A54" w:rsidRDefault="001321A9" w:rsidP="001F4A3F">
      <w:pPr>
        <w:keepNext/>
        <w:ind w:firstLine="360"/>
        <w:jc w:val="both"/>
        <w:rPr>
          <w:rFonts w:ascii="Garamond" w:hAnsi="Garamond"/>
        </w:rPr>
      </w:pPr>
      <w:r w:rsidRPr="00F90A54">
        <w:rPr>
          <w:rFonts w:ascii="Garamond" w:hAnsi="Garamond"/>
        </w:rPr>
        <w:t>The DACA litigation is notable because the intervenors took significant control of the case</w:t>
      </w:r>
      <w:r w:rsidR="00261A34" w:rsidRPr="00F90A54">
        <w:rPr>
          <w:rFonts w:ascii="Garamond" w:hAnsi="Garamond"/>
        </w:rPr>
        <w:t xml:space="preserve"> during the Trump administration</w:t>
      </w:r>
      <w:r w:rsidRPr="00F90A54">
        <w:rPr>
          <w:rFonts w:ascii="Garamond" w:hAnsi="Garamond"/>
        </w:rPr>
        <w:t xml:space="preserve">, including standing as the only defenders of the policy once the federal government asserted that its only objection was to the scope of the remedy sought by the state plaintiffs. But many other examples show the court itself reaching out to find arguments and evidence that proposed intervenors offer, and then allowing them into the case </w:t>
      </w:r>
      <w:r w:rsidRPr="00F90A54">
        <w:rPr>
          <w:rFonts w:ascii="Garamond" w:hAnsi="Garamond"/>
          <w:i/>
          <w:iCs/>
        </w:rPr>
        <w:t>because</w:t>
      </w:r>
      <w:r w:rsidRPr="00F90A54">
        <w:rPr>
          <w:rFonts w:ascii="Garamond" w:hAnsi="Garamond"/>
        </w:rPr>
        <w:t xml:space="preserve"> the court wishe</w:t>
      </w:r>
      <w:r w:rsidR="00FA7A34" w:rsidRPr="00F90A54">
        <w:rPr>
          <w:rFonts w:ascii="Garamond" w:hAnsi="Garamond"/>
        </w:rPr>
        <w:t>d</w:t>
      </w:r>
      <w:r w:rsidRPr="00F90A54">
        <w:rPr>
          <w:rFonts w:ascii="Garamond" w:hAnsi="Garamond"/>
        </w:rPr>
        <w:t xml:space="preserve"> to address those </w:t>
      </w:r>
      <w:r w:rsidR="00515203">
        <w:rPr>
          <w:rFonts w:ascii="Garamond" w:hAnsi="Garamond"/>
        </w:rPr>
        <w:t>issues</w:t>
      </w:r>
      <w:r w:rsidRPr="00F90A54">
        <w:rPr>
          <w:rFonts w:ascii="Garamond" w:hAnsi="Garamond"/>
        </w:rPr>
        <w:t>. For example, in litigation over the legality of the 2020 Census Residence Rule, the district court granted intervention to several individuals, nonprofits, and local governments “particularly” because of the federal government’s “rather halfhearted Motion to Dismiss”</w:t>
      </w:r>
      <w:r w:rsidR="00FA7A34" w:rsidRPr="00F90A54">
        <w:rPr>
          <w:rFonts w:ascii="Garamond" w:hAnsi="Garamond"/>
        </w:rPr>
        <w:t xml:space="preserve"> and the court</w:t>
      </w:r>
      <w:r w:rsidR="004D1A50" w:rsidRPr="00F90A54">
        <w:rPr>
          <w:rFonts w:ascii="Garamond" w:hAnsi="Garamond"/>
        </w:rPr>
        <w:t>’s</w:t>
      </w:r>
      <w:r w:rsidR="00FA7A34" w:rsidRPr="00F90A54">
        <w:rPr>
          <w:rFonts w:ascii="Garamond" w:hAnsi="Garamond"/>
        </w:rPr>
        <w:t xml:space="preserve"> “concern</w:t>
      </w:r>
      <w:r w:rsidR="004D1A50" w:rsidRPr="00F90A54">
        <w:rPr>
          <w:rFonts w:ascii="Garamond" w:hAnsi="Garamond"/>
        </w:rPr>
        <w:t>[]</w:t>
      </w:r>
      <w:r w:rsidR="00FA7A34" w:rsidRPr="00F90A54">
        <w:rPr>
          <w:rFonts w:ascii="Garamond" w:hAnsi="Garamond"/>
        </w:rPr>
        <w:t xml:space="preserve"> that Defendants </w:t>
      </w:r>
      <w:r w:rsidRPr="00F90A54">
        <w:rPr>
          <w:rFonts w:ascii="Garamond" w:hAnsi="Garamond"/>
        </w:rPr>
        <w:t>have overlooked a key argument as to why Plaintiffs potentially lack Article III standing.”</w:t>
      </w:r>
      <w:r w:rsidR="00FA7A34" w:rsidRPr="00F90A54">
        <w:rPr>
          <w:rStyle w:val="FootnoteReference"/>
          <w:rFonts w:ascii="Garamond" w:hAnsi="Garamond"/>
        </w:rPr>
        <w:footnoteReference w:id="257"/>
      </w:r>
      <w:r w:rsidRPr="00F90A54">
        <w:rPr>
          <w:rFonts w:ascii="Garamond" w:hAnsi="Garamond"/>
        </w:rPr>
        <w:t xml:space="preserve"> Granting intervention solved that problem: “Allowing intervention will increase the prospect that the court will be more fully informed of the best arguments that support Defendants’ position.”</w:t>
      </w:r>
      <w:r w:rsidRPr="00F90A54">
        <w:rPr>
          <w:rStyle w:val="FootnoteReference"/>
          <w:rFonts w:ascii="Garamond" w:hAnsi="Garamond"/>
        </w:rPr>
        <w:footnoteReference w:id="258"/>
      </w:r>
      <w:r w:rsidRPr="00F90A54">
        <w:rPr>
          <w:rFonts w:ascii="Garamond" w:hAnsi="Garamond"/>
        </w:rPr>
        <w:t xml:space="preserve"> </w:t>
      </w:r>
    </w:p>
    <w:p w14:paraId="7F97C94E" w14:textId="563B33FB" w:rsidR="001321A9" w:rsidRPr="00F90A54" w:rsidRDefault="001321A9" w:rsidP="001F4A3F">
      <w:pPr>
        <w:keepNext/>
        <w:ind w:firstLine="360"/>
        <w:jc w:val="both"/>
        <w:rPr>
          <w:rFonts w:ascii="Garamond" w:hAnsi="Garamond"/>
        </w:rPr>
      </w:pPr>
      <w:r w:rsidRPr="00F90A54">
        <w:rPr>
          <w:rFonts w:ascii="Garamond" w:hAnsi="Garamond"/>
        </w:rPr>
        <w:t xml:space="preserve">2. </w:t>
      </w:r>
      <w:r w:rsidRPr="00F90A54">
        <w:rPr>
          <w:rFonts w:ascii="Garamond" w:hAnsi="Garamond"/>
          <w:i/>
          <w:iCs/>
        </w:rPr>
        <w:t xml:space="preserve">Keeping the case alive. </w:t>
      </w:r>
      <w:r w:rsidRPr="00F90A54">
        <w:rPr>
          <w:rFonts w:ascii="Garamond" w:hAnsi="Garamond"/>
        </w:rPr>
        <w:t xml:space="preserve">As </w:t>
      </w:r>
      <w:r w:rsidR="00C6732B" w:rsidRPr="00F90A54">
        <w:rPr>
          <w:rFonts w:ascii="Garamond" w:hAnsi="Garamond"/>
        </w:rPr>
        <w:t>previewed</w:t>
      </w:r>
      <w:r w:rsidRPr="00F90A54">
        <w:rPr>
          <w:rFonts w:ascii="Garamond" w:hAnsi="Garamond"/>
        </w:rPr>
        <w:t xml:space="preserve"> in the introduction, </w:t>
      </w:r>
      <w:r w:rsidR="00515203">
        <w:rPr>
          <w:rFonts w:ascii="Garamond" w:hAnsi="Garamond"/>
        </w:rPr>
        <w:t>the intervenors who play the most disruptive and consequential role are those</w:t>
      </w:r>
      <w:r w:rsidRPr="00F90A54">
        <w:rPr>
          <w:rFonts w:ascii="Garamond" w:hAnsi="Garamond"/>
        </w:rPr>
        <w:t xml:space="preserve"> who argue that they have a right to </w:t>
      </w:r>
      <w:r w:rsidR="00C6732B" w:rsidRPr="00F90A54">
        <w:rPr>
          <w:rFonts w:ascii="Garamond" w:hAnsi="Garamond"/>
        </w:rPr>
        <w:t>participate</w:t>
      </w:r>
      <w:r w:rsidRPr="00F90A54">
        <w:rPr>
          <w:rFonts w:ascii="Garamond" w:hAnsi="Garamond"/>
        </w:rPr>
        <w:t xml:space="preserve"> because the government has chosen not to defend—or robustly defend—the challenged law, rule, or policy. In each of these cases, the court’s decision to grant or deny intervention directly led to </w:t>
      </w:r>
      <w:r w:rsidR="009917AD" w:rsidRPr="00F90A54">
        <w:rPr>
          <w:rFonts w:ascii="Garamond" w:hAnsi="Garamond"/>
        </w:rPr>
        <w:t xml:space="preserve">whether the court reached the merits of the challenge. </w:t>
      </w:r>
      <w:r w:rsidRPr="00F90A54">
        <w:rPr>
          <w:rFonts w:ascii="Garamond" w:hAnsi="Garamond"/>
        </w:rPr>
        <w:t xml:space="preserve">These intervention decisions often matter the most when there is a change in the administration, so that the federal government no longer wishes to defend the challenged policy. </w:t>
      </w:r>
    </w:p>
    <w:p w14:paraId="1B7F33CB" w14:textId="5C4A9758" w:rsidR="00B829E0" w:rsidRPr="00F90A54" w:rsidRDefault="00B829E0" w:rsidP="001F4A3F">
      <w:pPr>
        <w:keepNext/>
        <w:ind w:firstLine="360"/>
        <w:jc w:val="both"/>
        <w:rPr>
          <w:rFonts w:ascii="Garamond" w:hAnsi="Garamond"/>
        </w:rPr>
      </w:pPr>
      <w:r w:rsidRPr="00F90A54">
        <w:rPr>
          <w:rFonts w:ascii="Garamond" w:hAnsi="Garamond"/>
        </w:rPr>
        <w:t xml:space="preserve">For example, in the suit that became </w:t>
      </w:r>
      <w:r w:rsidRPr="00F90A54">
        <w:rPr>
          <w:rFonts w:ascii="Garamond" w:hAnsi="Garamond"/>
          <w:i/>
          <w:iCs/>
        </w:rPr>
        <w:t>California v. Texas</w:t>
      </w:r>
      <w:r w:rsidR="003D6E3A">
        <w:rPr>
          <w:rFonts w:ascii="Garamond" w:hAnsi="Garamond"/>
          <w:i/>
          <w:iCs/>
        </w:rPr>
        <w:t xml:space="preserve"> </w:t>
      </w:r>
      <w:r w:rsidR="003D6E3A">
        <w:rPr>
          <w:rFonts w:ascii="Garamond" w:hAnsi="Garamond"/>
        </w:rPr>
        <w:t>before the Supreme Court</w:t>
      </w:r>
      <w:r w:rsidRPr="00F90A54">
        <w:rPr>
          <w:rFonts w:ascii="Garamond" w:hAnsi="Garamond"/>
        </w:rPr>
        <w:t xml:space="preserve">, the district court granted intervention to several </w:t>
      </w:r>
      <w:r w:rsidR="0022675B" w:rsidRPr="00F90A54">
        <w:rPr>
          <w:rFonts w:ascii="Garamond" w:hAnsi="Garamond"/>
        </w:rPr>
        <w:t xml:space="preserve">liberal </w:t>
      </w:r>
      <w:r w:rsidRPr="00F90A54">
        <w:rPr>
          <w:rFonts w:ascii="Garamond" w:hAnsi="Garamond"/>
        </w:rPr>
        <w:t>states and the District of Columbia</w:t>
      </w:r>
      <w:r w:rsidR="003D6E3A">
        <w:rPr>
          <w:rFonts w:ascii="Garamond" w:hAnsi="Garamond"/>
        </w:rPr>
        <w:t xml:space="preserve"> after the federal government declined to defend the Affordable Care Act on the merits.</w:t>
      </w:r>
      <w:r w:rsidR="003D6E3A" w:rsidRPr="00F90A54">
        <w:rPr>
          <w:rStyle w:val="FootnoteReference"/>
          <w:rFonts w:ascii="Garamond" w:hAnsi="Garamond"/>
        </w:rPr>
        <w:footnoteReference w:id="259"/>
      </w:r>
      <w:r w:rsidRPr="00F90A54">
        <w:rPr>
          <w:rFonts w:ascii="Garamond" w:hAnsi="Garamond"/>
        </w:rPr>
        <w:t xml:space="preserve"> </w:t>
      </w:r>
      <w:r w:rsidR="003D6E3A">
        <w:rPr>
          <w:rFonts w:ascii="Garamond" w:hAnsi="Garamond"/>
        </w:rPr>
        <w:t>T</w:t>
      </w:r>
      <w:r w:rsidR="00944FCC" w:rsidRPr="00F90A54">
        <w:rPr>
          <w:rFonts w:ascii="Garamond" w:hAnsi="Garamond"/>
        </w:rPr>
        <w:t xml:space="preserve">he intervenors were the </w:t>
      </w:r>
      <w:r w:rsidR="00944FCC" w:rsidRPr="00F90A54">
        <w:rPr>
          <w:rFonts w:ascii="Garamond" w:hAnsi="Garamond"/>
          <w:i/>
          <w:iCs/>
        </w:rPr>
        <w:t>only</w:t>
      </w:r>
      <w:r w:rsidR="00944FCC" w:rsidRPr="00F90A54">
        <w:rPr>
          <w:rFonts w:ascii="Garamond" w:hAnsi="Garamond"/>
        </w:rPr>
        <w:t xml:space="preserve"> party to appeal</w:t>
      </w:r>
      <w:r w:rsidR="00940F7F" w:rsidRPr="00F90A54">
        <w:rPr>
          <w:rFonts w:ascii="Garamond" w:hAnsi="Garamond"/>
        </w:rPr>
        <w:t xml:space="preserve"> the court’s determination </w:t>
      </w:r>
      <w:r w:rsidR="00940F7F" w:rsidRPr="00F90A54">
        <w:rPr>
          <w:rFonts w:ascii="Garamond" w:hAnsi="Garamond"/>
        </w:rPr>
        <w:lastRenderedPageBreak/>
        <w:t>that the ACA was unconstitutional—the federal government argued for the Court of Appeals to affirm everything but the nationwide scope of the injunction</w:t>
      </w:r>
      <w:r w:rsidR="00944FCC" w:rsidRPr="00F90A54">
        <w:rPr>
          <w:rFonts w:ascii="Garamond" w:hAnsi="Garamond"/>
        </w:rPr>
        <w:t>.</w:t>
      </w:r>
      <w:r w:rsidR="00944FCC" w:rsidRPr="00F90A54">
        <w:rPr>
          <w:rStyle w:val="FootnoteReference"/>
          <w:rFonts w:ascii="Garamond" w:hAnsi="Garamond"/>
        </w:rPr>
        <w:footnoteReference w:id="260"/>
      </w:r>
      <w:r w:rsidR="00944FCC" w:rsidRPr="00F90A54">
        <w:rPr>
          <w:rFonts w:ascii="Garamond" w:hAnsi="Garamond"/>
        </w:rPr>
        <w:t xml:space="preserve"> </w:t>
      </w:r>
      <w:r w:rsidR="006B0E0D" w:rsidRPr="00F90A54">
        <w:rPr>
          <w:rFonts w:ascii="Garamond" w:hAnsi="Garamond"/>
        </w:rPr>
        <w:t xml:space="preserve">And </w:t>
      </w:r>
      <w:r w:rsidR="00733AA8" w:rsidRPr="00F90A54">
        <w:rPr>
          <w:rFonts w:ascii="Garamond" w:hAnsi="Garamond"/>
        </w:rPr>
        <w:t>they were the only party to seek cert</w:t>
      </w:r>
      <w:r w:rsidR="004654F8" w:rsidRPr="00F90A54">
        <w:rPr>
          <w:rFonts w:ascii="Garamond" w:hAnsi="Garamond"/>
        </w:rPr>
        <w:t>iorari</w:t>
      </w:r>
      <w:r w:rsidR="00733AA8" w:rsidRPr="00F90A54">
        <w:rPr>
          <w:rFonts w:ascii="Garamond" w:hAnsi="Garamond"/>
        </w:rPr>
        <w:t xml:space="preserve"> at the Supreme Court.</w:t>
      </w:r>
      <w:r w:rsidR="00733AA8" w:rsidRPr="00F90A54">
        <w:rPr>
          <w:rStyle w:val="FootnoteReference"/>
          <w:rFonts w:ascii="Garamond" w:hAnsi="Garamond"/>
        </w:rPr>
        <w:footnoteReference w:id="261"/>
      </w:r>
      <w:r w:rsidR="00733AA8" w:rsidRPr="00F90A54">
        <w:rPr>
          <w:rFonts w:ascii="Garamond" w:hAnsi="Garamond"/>
        </w:rPr>
        <w:t xml:space="preserve"> </w:t>
      </w:r>
    </w:p>
    <w:p w14:paraId="009540C9" w14:textId="206D1442" w:rsidR="00647A8E" w:rsidRPr="00F90A54" w:rsidRDefault="0022675B" w:rsidP="001F4A3F">
      <w:pPr>
        <w:ind w:firstLine="360"/>
        <w:jc w:val="both"/>
        <w:rPr>
          <w:rFonts w:ascii="Garamond" w:hAnsi="Garamond"/>
        </w:rPr>
      </w:pPr>
      <w:r w:rsidRPr="00F90A54">
        <w:rPr>
          <w:rFonts w:ascii="Garamond" w:hAnsi="Garamond"/>
        </w:rPr>
        <w:t>In another challenge, several conservative states and energy industry groups intervened to defend a rule adopted by the Environmental Protection Agency pursuant to the Clean Water Act.</w:t>
      </w:r>
      <w:r w:rsidRPr="00F90A54">
        <w:rPr>
          <w:rStyle w:val="FootnoteReference"/>
          <w:rFonts w:ascii="Garamond" w:hAnsi="Garamond"/>
        </w:rPr>
        <w:footnoteReference w:id="262"/>
      </w:r>
      <w:r w:rsidRPr="00F90A54">
        <w:rPr>
          <w:rFonts w:ascii="Garamond" w:hAnsi="Garamond"/>
        </w:rPr>
        <w:t xml:space="preserve"> </w:t>
      </w:r>
      <w:r w:rsidR="00647A8E" w:rsidRPr="00F90A54">
        <w:rPr>
          <w:rFonts w:ascii="Garamond" w:hAnsi="Garamond"/>
        </w:rPr>
        <w:t xml:space="preserve">During the district court proceedings, President Biden was elected and the EPA announced its intent to revise the rule. The EPA requested, and the court granted, remand back to the agency so the agency could reconsider it. The court also chose to vacate the rule nationwide, so that the rule was not in effect during the agency’s review. Only the intervenors challenged the district court’s decision. </w:t>
      </w:r>
      <w:r w:rsidR="00DE52A1" w:rsidRPr="00F90A54">
        <w:rPr>
          <w:rFonts w:ascii="Garamond" w:hAnsi="Garamond"/>
        </w:rPr>
        <w:t xml:space="preserve">They </w:t>
      </w:r>
      <w:r w:rsidR="00EF5590" w:rsidRPr="00F90A54">
        <w:rPr>
          <w:rFonts w:ascii="Garamond" w:hAnsi="Garamond"/>
        </w:rPr>
        <w:t xml:space="preserve">unsuccessfully </w:t>
      </w:r>
      <w:r w:rsidR="00DE52A1" w:rsidRPr="00F90A54">
        <w:rPr>
          <w:rFonts w:ascii="Garamond" w:hAnsi="Garamond"/>
        </w:rPr>
        <w:t xml:space="preserve">sought </w:t>
      </w:r>
      <w:r w:rsidR="00162601" w:rsidRPr="00F90A54">
        <w:rPr>
          <w:rFonts w:ascii="Garamond" w:hAnsi="Garamond"/>
        </w:rPr>
        <w:t>a</w:t>
      </w:r>
      <w:r w:rsidR="00EF5590" w:rsidRPr="00F90A54">
        <w:rPr>
          <w:rFonts w:ascii="Garamond" w:hAnsi="Garamond"/>
        </w:rPr>
        <w:t xml:space="preserve"> stay before the district court and the Ninth Circuit, </w:t>
      </w:r>
      <w:r w:rsidR="00162601" w:rsidRPr="00F90A54">
        <w:rPr>
          <w:rFonts w:ascii="Garamond" w:hAnsi="Garamond"/>
        </w:rPr>
        <w:t xml:space="preserve">then </w:t>
      </w:r>
      <w:r w:rsidR="00EF5590" w:rsidRPr="00F90A54">
        <w:rPr>
          <w:rFonts w:ascii="Garamond" w:hAnsi="Garamond"/>
        </w:rPr>
        <w:t>receiv</w:t>
      </w:r>
      <w:r w:rsidR="00162601" w:rsidRPr="00F90A54">
        <w:rPr>
          <w:rFonts w:ascii="Garamond" w:hAnsi="Garamond"/>
        </w:rPr>
        <w:t>ed</w:t>
      </w:r>
      <w:r w:rsidR="00EF5590" w:rsidRPr="00F90A54">
        <w:rPr>
          <w:rFonts w:ascii="Garamond" w:hAnsi="Garamond"/>
        </w:rPr>
        <w:t xml:space="preserve"> one from the Supreme Court.</w:t>
      </w:r>
      <w:r w:rsidR="00EF5590" w:rsidRPr="00F90A54">
        <w:rPr>
          <w:rStyle w:val="FootnoteReference"/>
          <w:rFonts w:ascii="Garamond" w:hAnsi="Garamond"/>
        </w:rPr>
        <w:footnoteReference w:id="263"/>
      </w:r>
      <w:r w:rsidR="00EF5590" w:rsidRPr="00F90A54">
        <w:rPr>
          <w:rFonts w:ascii="Garamond" w:hAnsi="Garamond"/>
        </w:rPr>
        <w:t xml:space="preserve"> </w:t>
      </w:r>
      <w:r w:rsidR="00226FA6" w:rsidRPr="00F90A54">
        <w:rPr>
          <w:rFonts w:ascii="Garamond" w:hAnsi="Garamond"/>
        </w:rPr>
        <w:t xml:space="preserve">In </w:t>
      </w:r>
      <w:r w:rsidR="004654F8" w:rsidRPr="00F90A54">
        <w:rPr>
          <w:rFonts w:ascii="Garamond" w:hAnsi="Garamond"/>
        </w:rPr>
        <w:t>their</w:t>
      </w:r>
      <w:r w:rsidR="00226FA6" w:rsidRPr="00F90A54">
        <w:rPr>
          <w:rFonts w:ascii="Garamond" w:hAnsi="Garamond"/>
        </w:rPr>
        <w:t xml:space="preserve"> application </w:t>
      </w:r>
      <w:r w:rsidR="006348BD" w:rsidRPr="00F90A54">
        <w:rPr>
          <w:rFonts w:ascii="Garamond" w:hAnsi="Garamond"/>
        </w:rPr>
        <w:t xml:space="preserve">to the Supreme Court </w:t>
      </w:r>
      <w:r w:rsidR="00226FA6" w:rsidRPr="00F90A54">
        <w:rPr>
          <w:rFonts w:ascii="Garamond" w:hAnsi="Garamond"/>
        </w:rPr>
        <w:t>for a stay pending appeal, the intervenors emphasized that they were the only party seeking relief as a justification for the stay</w:t>
      </w:r>
      <w:r w:rsidR="00531239" w:rsidRPr="00F90A54">
        <w:rPr>
          <w:rFonts w:ascii="Garamond" w:hAnsi="Garamond"/>
        </w:rPr>
        <w:t>, characterizing the outcome as “</w:t>
      </w:r>
      <w:r w:rsidR="00226FA6" w:rsidRPr="00F90A54">
        <w:rPr>
          <w:rFonts w:ascii="Garamond" w:hAnsi="Garamond"/>
        </w:rPr>
        <w:t>an easy-to-replicate blueprint for a new Administration’s premature elimination of rules adopted by the prior Administration, with the help of aligned plaintiffs and a single, sympathetic district court.”</w:t>
      </w:r>
      <w:r w:rsidR="00226FA6" w:rsidRPr="00F90A54">
        <w:rPr>
          <w:rStyle w:val="FootnoteReference"/>
          <w:rFonts w:ascii="Garamond" w:hAnsi="Garamond"/>
        </w:rPr>
        <w:footnoteReference w:id="264"/>
      </w:r>
      <w:r w:rsidR="006348BD" w:rsidRPr="00F90A54">
        <w:rPr>
          <w:rFonts w:ascii="Garamond" w:hAnsi="Garamond"/>
        </w:rPr>
        <w:t xml:space="preserve"> </w:t>
      </w:r>
      <w:r w:rsidR="00531239" w:rsidRPr="00F90A54">
        <w:rPr>
          <w:rFonts w:ascii="Garamond" w:hAnsi="Garamond"/>
        </w:rPr>
        <w:t>After winning the stay, t</w:t>
      </w:r>
      <w:r w:rsidR="006348BD" w:rsidRPr="00F90A54">
        <w:rPr>
          <w:rFonts w:ascii="Garamond" w:hAnsi="Garamond"/>
        </w:rPr>
        <w:t xml:space="preserve">he intervenors were then the only </w:t>
      </w:r>
      <w:r w:rsidR="007B7001" w:rsidRPr="00F90A54">
        <w:rPr>
          <w:rFonts w:ascii="Garamond" w:hAnsi="Garamond"/>
        </w:rPr>
        <w:t>party to appeal the merits of the district court’s vacatur</w:t>
      </w:r>
      <w:r w:rsidR="004654F8" w:rsidRPr="00F90A54">
        <w:rPr>
          <w:rFonts w:ascii="Garamond" w:hAnsi="Garamond"/>
        </w:rPr>
        <w:t>. The Ninth Circuit reversed</w:t>
      </w:r>
      <w:r w:rsidR="003D6E3A">
        <w:rPr>
          <w:rFonts w:ascii="Garamond" w:hAnsi="Garamond"/>
        </w:rPr>
        <w:t xml:space="preserve"> the district court</w:t>
      </w:r>
      <w:r w:rsidR="004654F8" w:rsidRPr="00F90A54">
        <w:rPr>
          <w:rFonts w:ascii="Garamond" w:hAnsi="Garamond"/>
        </w:rPr>
        <w:t>.</w:t>
      </w:r>
      <w:r w:rsidR="007B7001" w:rsidRPr="00F90A54">
        <w:rPr>
          <w:rStyle w:val="FootnoteReference"/>
          <w:rFonts w:ascii="Garamond" w:hAnsi="Garamond"/>
        </w:rPr>
        <w:footnoteReference w:id="265"/>
      </w:r>
    </w:p>
    <w:p w14:paraId="3621000D" w14:textId="29FB791E" w:rsidR="00B342D5" w:rsidRPr="00F90A54" w:rsidRDefault="00B342D5" w:rsidP="001F4A3F">
      <w:pPr>
        <w:ind w:firstLine="360"/>
        <w:jc w:val="both"/>
        <w:rPr>
          <w:rFonts w:ascii="Garamond" w:hAnsi="Garamond"/>
        </w:rPr>
      </w:pPr>
      <w:r w:rsidRPr="00F90A54">
        <w:rPr>
          <w:rFonts w:ascii="Garamond" w:hAnsi="Garamond"/>
        </w:rPr>
        <w:t>In each of th</w:t>
      </w:r>
      <w:r w:rsidR="00213EB8" w:rsidRPr="00F90A54">
        <w:rPr>
          <w:rFonts w:ascii="Garamond" w:hAnsi="Garamond"/>
        </w:rPr>
        <w:t>ese examples</w:t>
      </w:r>
      <w:r w:rsidRPr="00F90A54">
        <w:rPr>
          <w:rFonts w:ascii="Garamond" w:hAnsi="Garamond"/>
        </w:rPr>
        <w:t xml:space="preserve">, the decision to grant intervention led </w:t>
      </w:r>
      <w:r w:rsidR="000D50C6" w:rsidRPr="00F90A54">
        <w:rPr>
          <w:rFonts w:ascii="Garamond" w:hAnsi="Garamond"/>
        </w:rPr>
        <w:t xml:space="preserve">the intervenor to keep the case alive </w:t>
      </w:r>
      <w:r w:rsidR="003D6E3A">
        <w:rPr>
          <w:rFonts w:ascii="Garamond" w:hAnsi="Garamond"/>
        </w:rPr>
        <w:t xml:space="preserve">far </w:t>
      </w:r>
      <w:r w:rsidR="000D50C6" w:rsidRPr="00F90A54">
        <w:rPr>
          <w:rFonts w:ascii="Garamond" w:hAnsi="Garamond"/>
        </w:rPr>
        <w:t xml:space="preserve">past </w:t>
      </w:r>
      <w:r w:rsidR="003D6E3A">
        <w:rPr>
          <w:rFonts w:ascii="Garamond" w:hAnsi="Garamond"/>
        </w:rPr>
        <w:t>when the original parties resolved their dispute. And t</w:t>
      </w:r>
      <w:r w:rsidR="00213EB8" w:rsidRPr="00F90A54">
        <w:rPr>
          <w:rFonts w:ascii="Garamond" w:hAnsi="Garamond"/>
        </w:rPr>
        <w:t>here are numerous examples where the court’s opposite decision</w:t>
      </w:r>
      <w:r w:rsidR="008D3CFA" w:rsidRPr="00F90A54">
        <w:rPr>
          <w:rFonts w:ascii="Garamond" w:hAnsi="Garamond"/>
        </w:rPr>
        <w:t xml:space="preserve">, </w:t>
      </w:r>
      <w:r w:rsidR="00213EB8" w:rsidRPr="00F90A54">
        <w:rPr>
          <w:rFonts w:ascii="Garamond" w:hAnsi="Garamond"/>
        </w:rPr>
        <w:t>denying intervention</w:t>
      </w:r>
      <w:r w:rsidR="008D3CFA" w:rsidRPr="00F90A54">
        <w:rPr>
          <w:rFonts w:ascii="Garamond" w:hAnsi="Garamond"/>
        </w:rPr>
        <w:t>,</w:t>
      </w:r>
      <w:r w:rsidR="003D6E3A">
        <w:rPr>
          <w:rFonts w:ascii="Garamond" w:hAnsi="Garamond"/>
        </w:rPr>
        <w:t xml:space="preserve"> </w:t>
      </w:r>
      <w:r w:rsidR="00213EB8" w:rsidRPr="00F90A54">
        <w:rPr>
          <w:rFonts w:ascii="Garamond" w:hAnsi="Garamond"/>
        </w:rPr>
        <w:t>led to the end of the court’s review</w:t>
      </w:r>
      <w:r w:rsidR="00A816A9" w:rsidRPr="00F90A54">
        <w:rPr>
          <w:rFonts w:ascii="Garamond" w:hAnsi="Garamond"/>
        </w:rPr>
        <w:t xml:space="preserve"> of the case</w:t>
      </w:r>
      <w:r w:rsidR="00213EB8" w:rsidRPr="00F90A54">
        <w:rPr>
          <w:rFonts w:ascii="Garamond" w:hAnsi="Garamond"/>
        </w:rPr>
        <w:t xml:space="preserve">. </w:t>
      </w:r>
    </w:p>
    <w:p w14:paraId="4FD71762" w14:textId="52D221D2" w:rsidR="001321A9" w:rsidRPr="00F90A54" w:rsidRDefault="001321A9" w:rsidP="001F4A3F">
      <w:pPr>
        <w:keepNext/>
        <w:ind w:firstLine="360"/>
        <w:jc w:val="both"/>
        <w:rPr>
          <w:rFonts w:ascii="Garamond" w:hAnsi="Garamond"/>
        </w:rPr>
      </w:pPr>
      <w:r w:rsidRPr="00F90A54">
        <w:rPr>
          <w:rFonts w:ascii="Garamond" w:hAnsi="Garamond"/>
        </w:rPr>
        <w:t xml:space="preserve">In </w:t>
      </w:r>
      <w:r w:rsidRPr="00F90A54">
        <w:rPr>
          <w:rFonts w:ascii="Garamond" w:hAnsi="Garamond"/>
          <w:i/>
          <w:iCs/>
        </w:rPr>
        <w:t>ACOG</w:t>
      </w:r>
      <w:r w:rsidRPr="00F90A54">
        <w:rPr>
          <w:rFonts w:ascii="Garamond" w:hAnsi="Garamond"/>
        </w:rPr>
        <w:t xml:space="preserve">, the challenge over the FDA’s in-person dispensation requirements for mifepristone, </w:t>
      </w:r>
      <w:r w:rsidR="00A816A9" w:rsidRPr="00F90A54">
        <w:rPr>
          <w:rFonts w:ascii="Garamond" w:hAnsi="Garamond"/>
        </w:rPr>
        <w:t xml:space="preserve">the conservative states </w:t>
      </w:r>
      <w:r w:rsidRPr="00F90A54">
        <w:rPr>
          <w:rFonts w:ascii="Garamond" w:hAnsi="Garamond"/>
        </w:rPr>
        <w:t xml:space="preserve">sought to intervene to prevent the federal government from abandoning the </w:t>
      </w:r>
      <w:r w:rsidR="005970B2">
        <w:rPr>
          <w:rFonts w:ascii="Garamond" w:hAnsi="Garamond"/>
        </w:rPr>
        <w:t>policy</w:t>
      </w:r>
      <w:r w:rsidRPr="00F90A54">
        <w:rPr>
          <w:rFonts w:ascii="Garamond" w:hAnsi="Garamond"/>
        </w:rPr>
        <w:t>. As put in their motion, “a circumstance where the injunction remains in place, but the United States in effect refuses to defend application of the REMS, would only underscore the need for State intervention such that a lawful federal rule does not fall, undefended, into a litigation black hole.”</w:t>
      </w:r>
      <w:r w:rsidRPr="00F90A54">
        <w:rPr>
          <w:rStyle w:val="FootnoteReference"/>
          <w:rFonts w:ascii="Garamond" w:hAnsi="Garamond"/>
        </w:rPr>
        <w:footnoteReference w:id="266"/>
      </w:r>
      <w:r w:rsidRPr="00F90A54">
        <w:rPr>
          <w:rFonts w:ascii="Garamond" w:hAnsi="Garamond"/>
        </w:rPr>
        <w:t xml:space="preserve"> The district court denied intervention.</w:t>
      </w:r>
      <w:r w:rsidRPr="00F90A54">
        <w:rPr>
          <w:rStyle w:val="FootnoteReference"/>
          <w:rFonts w:ascii="Garamond" w:hAnsi="Garamond"/>
        </w:rPr>
        <w:footnoteReference w:id="267"/>
      </w:r>
      <w:r w:rsidRPr="00F90A54">
        <w:rPr>
          <w:rFonts w:ascii="Garamond" w:hAnsi="Garamond"/>
        </w:rPr>
        <w:t xml:space="preserve"> </w:t>
      </w:r>
      <w:r w:rsidR="005970B2">
        <w:rPr>
          <w:rFonts w:ascii="Garamond" w:hAnsi="Garamond"/>
        </w:rPr>
        <w:t xml:space="preserve">In particular, the court </w:t>
      </w:r>
      <w:r w:rsidRPr="00F90A54">
        <w:rPr>
          <w:rFonts w:ascii="Garamond" w:hAnsi="Garamond"/>
        </w:rPr>
        <w:t xml:space="preserve">rejected the states’ </w:t>
      </w:r>
      <w:r w:rsidRPr="00F90A54">
        <w:rPr>
          <w:rFonts w:ascii="Garamond" w:hAnsi="Garamond"/>
        </w:rPr>
        <w:lastRenderedPageBreak/>
        <w:t xml:space="preserve">“speculation” that the federal government and the states “may not be aligned in their litigation strategy” and noted that, even if that did happen, </w:t>
      </w:r>
      <w:r w:rsidR="005970B2">
        <w:rPr>
          <w:rFonts w:ascii="Garamond" w:hAnsi="Garamond"/>
        </w:rPr>
        <w:t>it</w:t>
      </w:r>
      <w:r w:rsidRPr="00F90A54">
        <w:rPr>
          <w:rFonts w:ascii="Garamond" w:hAnsi="Garamond"/>
        </w:rPr>
        <w:t xml:space="preserve"> would “not support a finding of inadequacy of representation.”</w:t>
      </w:r>
      <w:r w:rsidRPr="00F90A54">
        <w:rPr>
          <w:rStyle w:val="FootnoteReference"/>
          <w:rFonts w:ascii="Garamond" w:hAnsi="Garamond"/>
        </w:rPr>
        <w:footnoteReference w:id="268"/>
      </w:r>
      <w:r w:rsidRPr="00F90A54">
        <w:rPr>
          <w:rFonts w:ascii="Garamond" w:hAnsi="Garamond"/>
        </w:rPr>
        <w:t xml:space="preserve"> The court concluded that “the federal government can be counted on to adequately defend the federal regulatory requirements.”</w:t>
      </w:r>
      <w:r w:rsidRPr="00F90A54">
        <w:rPr>
          <w:rStyle w:val="FootnoteReference"/>
          <w:rFonts w:ascii="Garamond" w:hAnsi="Garamond"/>
        </w:rPr>
        <w:footnoteReference w:id="269"/>
      </w:r>
      <w:r w:rsidRPr="00F90A54">
        <w:rPr>
          <w:rFonts w:ascii="Garamond" w:hAnsi="Garamond"/>
        </w:rPr>
        <w:t xml:space="preserve"> It then invited the states to provide any missing information via amicus briefs</w:t>
      </w:r>
      <w:r w:rsidR="00A816A9" w:rsidRPr="00F90A54">
        <w:rPr>
          <w:rStyle w:val="FootnoteReference"/>
          <w:rFonts w:ascii="Garamond" w:hAnsi="Garamond"/>
        </w:rPr>
        <w:footnoteReference w:id="270"/>
      </w:r>
      <w:r w:rsidR="00A816A9" w:rsidRPr="00F90A54">
        <w:rPr>
          <w:rFonts w:ascii="Garamond" w:hAnsi="Garamond"/>
        </w:rPr>
        <w:t>—t</w:t>
      </w:r>
      <w:r w:rsidRPr="00F90A54">
        <w:rPr>
          <w:rFonts w:ascii="Garamond" w:hAnsi="Garamond"/>
        </w:rPr>
        <w:t>hough</w:t>
      </w:r>
      <w:r w:rsidR="00A816A9" w:rsidRPr="00F90A54">
        <w:rPr>
          <w:rFonts w:ascii="Garamond" w:hAnsi="Garamond"/>
        </w:rPr>
        <w:t>, in the court’s final decision on the merits,</w:t>
      </w:r>
      <w:r w:rsidRPr="00F90A54">
        <w:rPr>
          <w:rFonts w:ascii="Garamond" w:hAnsi="Garamond"/>
        </w:rPr>
        <w:t xml:space="preserve"> it expressly </w:t>
      </w:r>
      <w:r w:rsidR="005970B2">
        <w:rPr>
          <w:rFonts w:ascii="Garamond" w:hAnsi="Garamond"/>
        </w:rPr>
        <w:t>noted</w:t>
      </w:r>
      <w:r w:rsidRPr="00F90A54">
        <w:rPr>
          <w:rFonts w:ascii="Garamond" w:hAnsi="Garamond"/>
        </w:rPr>
        <w:t xml:space="preserve"> it would not consider </w:t>
      </w:r>
      <w:r w:rsidR="00A816A9" w:rsidRPr="00F90A54">
        <w:rPr>
          <w:rFonts w:ascii="Garamond" w:hAnsi="Garamond"/>
        </w:rPr>
        <w:t>those arguments</w:t>
      </w:r>
      <w:r w:rsidRPr="00F90A54">
        <w:rPr>
          <w:rFonts w:ascii="Garamond" w:hAnsi="Garamond"/>
        </w:rPr>
        <w:t>.</w:t>
      </w:r>
      <w:r w:rsidRPr="00F90A54">
        <w:rPr>
          <w:rStyle w:val="FootnoteReference"/>
          <w:rFonts w:ascii="Garamond" w:hAnsi="Garamond"/>
        </w:rPr>
        <w:footnoteReference w:id="271"/>
      </w:r>
      <w:r w:rsidRPr="00F90A54">
        <w:rPr>
          <w:rFonts w:ascii="Garamond" w:hAnsi="Garamond"/>
        </w:rPr>
        <w:t xml:space="preserve"> </w:t>
      </w:r>
    </w:p>
    <w:p w14:paraId="09A8DF33" w14:textId="7BB74AD3" w:rsidR="001321A9" w:rsidRPr="00F90A54" w:rsidRDefault="001321A9" w:rsidP="001F4A3F">
      <w:pPr>
        <w:keepNext/>
        <w:ind w:firstLine="360"/>
        <w:jc w:val="both"/>
        <w:rPr>
          <w:rFonts w:ascii="Garamond" w:hAnsi="Garamond"/>
        </w:rPr>
      </w:pPr>
      <w:r w:rsidRPr="00F90A54">
        <w:rPr>
          <w:rFonts w:ascii="Garamond" w:hAnsi="Garamond"/>
        </w:rPr>
        <w:t xml:space="preserve">The states appealed the denial of intervention, but ultimately never </w:t>
      </w:r>
      <w:r w:rsidR="005970B2">
        <w:rPr>
          <w:rFonts w:ascii="Garamond" w:hAnsi="Garamond"/>
        </w:rPr>
        <w:t xml:space="preserve">joined </w:t>
      </w:r>
      <w:r w:rsidRPr="00F90A54">
        <w:rPr>
          <w:rFonts w:ascii="Garamond" w:hAnsi="Garamond"/>
        </w:rPr>
        <w:t>the case. While th</w:t>
      </w:r>
      <w:r w:rsidR="005970B2">
        <w:rPr>
          <w:rFonts w:ascii="Garamond" w:hAnsi="Garamond"/>
        </w:rPr>
        <w:t>eir</w:t>
      </w:r>
      <w:r w:rsidRPr="00F90A54">
        <w:rPr>
          <w:rFonts w:ascii="Garamond" w:hAnsi="Garamond"/>
        </w:rPr>
        <w:t xml:space="preserve"> appeal was pending, </w:t>
      </w:r>
      <w:r w:rsidR="00B72F02">
        <w:rPr>
          <w:rFonts w:ascii="Garamond" w:hAnsi="Garamond"/>
        </w:rPr>
        <w:t>President Biden was inaugurated</w:t>
      </w:r>
      <w:r w:rsidRPr="00F90A54">
        <w:rPr>
          <w:rFonts w:ascii="Garamond" w:hAnsi="Garamond"/>
        </w:rPr>
        <w:t xml:space="preserve">. The agency </w:t>
      </w:r>
      <w:r w:rsidR="00B72F02">
        <w:rPr>
          <w:rFonts w:ascii="Garamond" w:hAnsi="Garamond"/>
        </w:rPr>
        <w:t xml:space="preserve">then </w:t>
      </w:r>
      <w:r w:rsidRPr="00F90A54">
        <w:rPr>
          <w:rFonts w:ascii="Garamond" w:hAnsi="Garamond"/>
        </w:rPr>
        <w:t>informed the district court that it would be choosing to “exercise enforcement discretion” by suspending the in-person dispensing requirement.</w:t>
      </w:r>
      <w:r w:rsidRPr="00F90A54">
        <w:rPr>
          <w:rStyle w:val="FootnoteReference"/>
          <w:rFonts w:ascii="Garamond" w:hAnsi="Garamond"/>
        </w:rPr>
        <w:footnoteReference w:id="272"/>
      </w:r>
      <w:r w:rsidRPr="00F90A54">
        <w:rPr>
          <w:rFonts w:ascii="Garamond" w:hAnsi="Garamond"/>
        </w:rPr>
        <w:t xml:space="preserve"> </w:t>
      </w:r>
      <w:r w:rsidR="00574A9C" w:rsidRPr="00F90A54">
        <w:rPr>
          <w:rFonts w:ascii="Garamond" w:hAnsi="Garamond"/>
        </w:rPr>
        <w:t>The p</w:t>
      </w:r>
      <w:r w:rsidRPr="00F90A54">
        <w:rPr>
          <w:rFonts w:ascii="Garamond" w:hAnsi="Garamond"/>
        </w:rPr>
        <w:t>laintiffs voluntarily moved to dismiss the case, mooting the states’ appeal.</w:t>
      </w:r>
      <w:r w:rsidRPr="00F90A54">
        <w:rPr>
          <w:rStyle w:val="FootnoteReference"/>
          <w:rFonts w:ascii="Garamond" w:hAnsi="Garamond"/>
        </w:rPr>
        <w:footnoteReference w:id="273"/>
      </w:r>
      <w:r w:rsidRPr="00F90A54">
        <w:rPr>
          <w:rFonts w:ascii="Garamond" w:hAnsi="Garamond"/>
        </w:rPr>
        <w:t xml:space="preserve"> </w:t>
      </w:r>
    </w:p>
    <w:p w14:paraId="2E875DC7" w14:textId="3F5D5CC9" w:rsidR="001321A9" w:rsidRPr="00F90A54" w:rsidRDefault="001321A9" w:rsidP="001F4A3F">
      <w:pPr>
        <w:keepNext/>
        <w:ind w:firstLine="360"/>
        <w:jc w:val="both"/>
        <w:rPr>
          <w:rFonts w:ascii="Garamond" w:hAnsi="Garamond"/>
        </w:rPr>
      </w:pPr>
      <w:r w:rsidRPr="00F90A54">
        <w:rPr>
          <w:rFonts w:ascii="Garamond" w:hAnsi="Garamond"/>
        </w:rPr>
        <w:t xml:space="preserve">In other words, the decision to deny the states’ intervention directly led to the case’s later dismissal without a ruling on the merits of the court’s injunction or on the FDA’s in-person dispensing requirements. Had the states been allowed to intervene, the court likely would have been forced to hold an evidentiary hearing about the appropriate scope of the nationwide injunction </w:t>
      </w:r>
      <w:r w:rsidR="00A344CB" w:rsidRPr="00F90A54">
        <w:rPr>
          <w:rFonts w:ascii="Garamond" w:hAnsi="Garamond"/>
        </w:rPr>
        <w:t>(a</w:t>
      </w:r>
      <w:r w:rsidRPr="00F90A54">
        <w:rPr>
          <w:rFonts w:ascii="Garamond" w:hAnsi="Garamond"/>
        </w:rPr>
        <w:t>s instructed by the Supreme Court</w:t>
      </w:r>
      <w:r w:rsidR="00A344CB" w:rsidRPr="00F90A54">
        <w:rPr>
          <w:rFonts w:ascii="Garamond" w:hAnsi="Garamond"/>
        </w:rPr>
        <w:t xml:space="preserve"> in an earlier remand)</w:t>
      </w:r>
      <w:r w:rsidRPr="00F90A54">
        <w:rPr>
          <w:rFonts w:ascii="Garamond" w:hAnsi="Garamond"/>
        </w:rPr>
        <w:t>.</w:t>
      </w:r>
      <w:r w:rsidRPr="00F90A54">
        <w:rPr>
          <w:rStyle w:val="FootnoteReference"/>
          <w:rFonts w:ascii="Garamond" w:hAnsi="Garamond"/>
        </w:rPr>
        <w:footnoteReference w:id="274"/>
      </w:r>
      <w:r w:rsidRPr="00F90A54">
        <w:rPr>
          <w:rFonts w:ascii="Garamond" w:hAnsi="Garamond"/>
        </w:rPr>
        <w:t xml:space="preserve"> It may also have needed to ultimately decide the constitutional arguments raised by the plaintiffs.</w:t>
      </w:r>
      <w:r w:rsidRPr="00F90A54">
        <w:rPr>
          <w:rStyle w:val="FootnoteReference"/>
          <w:rFonts w:ascii="Garamond" w:hAnsi="Garamond"/>
        </w:rPr>
        <w:footnoteReference w:id="275"/>
      </w:r>
    </w:p>
    <w:p w14:paraId="1A256241" w14:textId="1F75D690" w:rsidR="001321A9" w:rsidRPr="00F90A54" w:rsidRDefault="001321A9" w:rsidP="001F4A3F">
      <w:pPr>
        <w:keepNext/>
        <w:ind w:firstLine="360"/>
        <w:jc w:val="both"/>
        <w:rPr>
          <w:rFonts w:ascii="Garamond" w:hAnsi="Garamond"/>
        </w:rPr>
      </w:pPr>
      <w:r w:rsidRPr="00F90A54">
        <w:rPr>
          <w:rFonts w:ascii="Garamond" w:hAnsi="Garamond"/>
        </w:rPr>
        <w:t>This example has occurred</w:t>
      </w:r>
      <w:r w:rsidR="00F61D05" w:rsidRPr="00F90A54">
        <w:rPr>
          <w:rFonts w:ascii="Garamond" w:hAnsi="Garamond"/>
        </w:rPr>
        <w:t xml:space="preserve"> repeatedly</w:t>
      </w:r>
      <w:r w:rsidRPr="00F90A54">
        <w:rPr>
          <w:rFonts w:ascii="Garamond" w:hAnsi="Garamond"/>
        </w:rPr>
        <w:t xml:space="preserve">. </w:t>
      </w:r>
      <w:r w:rsidR="00AE3555" w:rsidRPr="00F90A54">
        <w:rPr>
          <w:rFonts w:ascii="Garamond" w:hAnsi="Garamond"/>
        </w:rPr>
        <w:t>As discussed, i</w:t>
      </w:r>
      <w:r w:rsidRPr="00F90A54">
        <w:rPr>
          <w:rFonts w:ascii="Garamond" w:hAnsi="Garamond"/>
        </w:rPr>
        <w:t xml:space="preserve">n </w:t>
      </w:r>
      <w:r w:rsidR="00AE3555" w:rsidRPr="00F90A54">
        <w:rPr>
          <w:rFonts w:ascii="Garamond" w:hAnsi="Garamond"/>
        </w:rPr>
        <w:t xml:space="preserve">the challenge to HHS’s abortion “gag rule,” </w:t>
      </w:r>
      <w:r w:rsidRPr="00F90A54">
        <w:rPr>
          <w:rFonts w:ascii="Garamond" w:hAnsi="Garamond"/>
        </w:rPr>
        <w:t xml:space="preserve">several conservative states sought to intervene to prevent the </w:t>
      </w:r>
      <w:r w:rsidR="008032A0" w:rsidRPr="00F90A54">
        <w:rPr>
          <w:rFonts w:ascii="Garamond" w:hAnsi="Garamond"/>
        </w:rPr>
        <w:t>Supreme Court from dismissing the case</w:t>
      </w:r>
      <w:r w:rsidRPr="00F90A54">
        <w:rPr>
          <w:rFonts w:ascii="Garamond" w:hAnsi="Garamond"/>
        </w:rPr>
        <w:t xml:space="preserve">. The Court ultimately denied </w:t>
      </w:r>
      <w:r w:rsidR="008032A0" w:rsidRPr="00F90A54">
        <w:rPr>
          <w:rFonts w:ascii="Garamond" w:hAnsi="Garamond"/>
        </w:rPr>
        <w:t>the motion</w:t>
      </w:r>
      <w:r w:rsidRPr="00F90A54">
        <w:rPr>
          <w:rFonts w:ascii="Garamond" w:hAnsi="Garamond"/>
        </w:rPr>
        <w:t xml:space="preserve">, </w:t>
      </w:r>
      <w:r w:rsidR="00F61D05" w:rsidRPr="00F90A54">
        <w:rPr>
          <w:rFonts w:ascii="Garamond" w:hAnsi="Garamond"/>
        </w:rPr>
        <w:t xml:space="preserve">but </w:t>
      </w:r>
      <w:r w:rsidRPr="00F90A54">
        <w:rPr>
          <w:rFonts w:ascii="Garamond" w:hAnsi="Garamond"/>
        </w:rPr>
        <w:t xml:space="preserve">over the noted dissent of three Justices who would have denied the dismissal and granted the motions to intervene. Had those Justices prevailed, the Supreme Court would have had the opportunity to weigh in on the rule’s constitutionality. Without the intervenors, that legal question remains open. </w:t>
      </w:r>
    </w:p>
    <w:p w14:paraId="129088C3" w14:textId="773F87C5" w:rsidR="00966DAC" w:rsidRPr="00F90A54" w:rsidRDefault="001321A9" w:rsidP="001F4A3F">
      <w:pPr>
        <w:keepNext/>
        <w:ind w:firstLine="360"/>
        <w:jc w:val="both"/>
        <w:rPr>
          <w:rFonts w:ascii="Garamond" w:hAnsi="Garamond"/>
        </w:rPr>
      </w:pPr>
      <w:r w:rsidRPr="00F90A54">
        <w:rPr>
          <w:rFonts w:ascii="Garamond" w:hAnsi="Garamond"/>
        </w:rPr>
        <w:t xml:space="preserve">This happened again in the Public Charge cases. Conservative states sought to intervene in three of the pending challenges against the Trump administration’s rule. When the Biden administration took charge, </w:t>
      </w:r>
      <w:r w:rsidR="00ED0965" w:rsidRPr="00F90A54">
        <w:rPr>
          <w:rFonts w:ascii="Garamond" w:hAnsi="Garamond"/>
        </w:rPr>
        <w:t>it</w:t>
      </w:r>
      <w:r w:rsidRPr="00F90A54">
        <w:rPr>
          <w:rFonts w:ascii="Garamond" w:hAnsi="Garamond"/>
        </w:rPr>
        <w:t xml:space="preserve"> declined to appeal the orders enjoining the </w:t>
      </w:r>
      <w:r w:rsidR="009F7A3B">
        <w:rPr>
          <w:rFonts w:ascii="Garamond" w:hAnsi="Garamond"/>
        </w:rPr>
        <w:t>rule</w:t>
      </w:r>
      <w:r w:rsidRPr="00F90A54">
        <w:rPr>
          <w:rFonts w:ascii="Garamond" w:hAnsi="Garamond"/>
        </w:rPr>
        <w:t xml:space="preserve"> from being implemented nationwide</w:t>
      </w:r>
      <w:r w:rsidR="009F7A3B">
        <w:rPr>
          <w:rFonts w:ascii="Garamond" w:hAnsi="Garamond"/>
        </w:rPr>
        <w:t>.</w:t>
      </w:r>
      <w:r w:rsidRPr="00F90A54">
        <w:rPr>
          <w:rFonts w:ascii="Garamond" w:hAnsi="Garamond"/>
        </w:rPr>
        <w:t xml:space="preserve"> </w:t>
      </w:r>
      <w:r w:rsidR="009F7A3B">
        <w:rPr>
          <w:rFonts w:ascii="Garamond" w:hAnsi="Garamond"/>
        </w:rPr>
        <w:t>A</w:t>
      </w:r>
      <w:r w:rsidRPr="00F90A54">
        <w:rPr>
          <w:rFonts w:ascii="Garamond" w:hAnsi="Garamond"/>
        </w:rPr>
        <w:t xml:space="preserve">nd </w:t>
      </w:r>
      <w:r w:rsidR="009F7A3B">
        <w:rPr>
          <w:rFonts w:ascii="Garamond" w:hAnsi="Garamond"/>
        </w:rPr>
        <w:t xml:space="preserve">it </w:t>
      </w:r>
      <w:r w:rsidRPr="00F90A54">
        <w:rPr>
          <w:rFonts w:ascii="Garamond" w:hAnsi="Garamond"/>
        </w:rPr>
        <w:t>started the rulemaking process for the rule’s replacement. The states</w:t>
      </w:r>
      <w:r w:rsidR="00567FBD" w:rsidRPr="00F90A54">
        <w:rPr>
          <w:rFonts w:ascii="Garamond" w:hAnsi="Garamond"/>
        </w:rPr>
        <w:t xml:space="preserve"> moved to intervene to appeal the injunctions, but their </w:t>
      </w:r>
      <w:r w:rsidRPr="00F90A54">
        <w:rPr>
          <w:rFonts w:ascii="Garamond" w:hAnsi="Garamond"/>
        </w:rPr>
        <w:t>motions were uniformly rejected</w:t>
      </w:r>
      <w:r w:rsidR="00567FBD" w:rsidRPr="00F90A54">
        <w:rPr>
          <w:rFonts w:ascii="Garamond" w:hAnsi="Garamond"/>
        </w:rPr>
        <w:t xml:space="preserve"> before the district and appellate courts. T</w:t>
      </w:r>
      <w:r w:rsidRPr="00F90A54">
        <w:rPr>
          <w:rFonts w:ascii="Garamond" w:hAnsi="Garamond"/>
        </w:rPr>
        <w:t xml:space="preserve">he </w:t>
      </w:r>
      <w:r w:rsidRPr="00F90A54">
        <w:rPr>
          <w:rFonts w:ascii="Garamond" w:hAnsi="Garamond"/>
        </w:rPr>
        <w:lastRenderedPageBreak/>
        <w:t xml:space="preserve">Supreme Court </w:t>
      </w:r>
      <w:r w:rsidR="00567FBD" w:rsidRPr="00F90A54">
        <w:rPr>
          <w:rFonts w:ascii="Garamond" w:hAnsi="Garamond"/>
        </w:rPr>
        <w:t>granted cert</w:t>
      </w:r>
      <w:r w:rsidR="004654F8" w:rsidRPr="00F90A54">
        <w:rPr>
          <w:rFonts w:ascii="Garamond" w:hAnsi="Garamond"/>
        </w:rPr>
        <w:t>iorari</w:t>
      </w:r>
      <w:r w:rsidR="00567FBD" w:rsidRPr="00F90A54">
        <w:rPr>
          <w:rFonts w:ascii="Garamond" w:hAnsi="Garamond"/>
        </w:rPr>
        <w:t xml:space="preserve"> on </w:t>
      </w:r>
      <w:r w:rsidR="009F7A3B">
        <w:rPr>
          <w:rFonts w:ascii="Garamond" w:hAnsi="Garamond"/>
        </w:rPr>
        <w:t>the intervention question</w:t>
      </w:r>
      <w:r w:rsidR="00567FBD" w:rsidRPr="00F90A54">
        <w:rPr>
          <w:rFonts w:ascii="Garamond" w:hAnsi="Garamond"/>
        </w:rPr>
        <w:t>, b</w:t>
      </w:r>
      <w:r w:rsidRPr="00F90A54">
        <w:rPr>
          <w:rFonts w:ascii="Garamond" w:hAnsi="Garamond"/>
        </w:rPr>
        <w:t xml:space="preserve">ut </w:t>
      </w:r>
      <w:r w:rsidR="00567FBD" w:rsidRPr="00F90A54">
        <w:rPr>
          <w:rFonts w:ascii="Garamond" w:hAnsi="Garamond"/>
        </w:rPr>
        <w:t xml:space="preserve">then </w:t>
      </w:r>
      <w:r w:rsidR="00ED0965" w:rsidRPr="00F90A54">
        <w:rPr>
          <w:rFonts w:ascii="Garamond" w:hAnsi="Garamond"/>
        </w:rPr>
        <w:t>dismissed the case</w:t>
      </w:r>
      <w:r w:rsidR="009F7A3B">
        <w:rPr>
          <w:rFonts w:ascii="Garamond" w:hAnsi="Garamond"/>
        </w:rPr>
        <w:t>,</w:t>
      </w:r>
      <w:r w:rsidR="00393873" w:rsidRPr="00F90A54">
        <w:rPr>
          <w:rFonts w:ascii="Garamond" w:hAnsi="Garamond"/>
        </w:rPr>
        <w:t xml:space="preserve"> as </w:t>
      </w:r>
      <w:r w:rsidRPr="00F90A54">
        <w:rPr>
          <w:rFonts w:ascii="Garamond" w:hAnsi="Garamond"/>
        </w:rPr>
        <w:t xml:space="preserve">the </w:t>
      </w:r>
      <w:r w:rsidR="00393873" w:rsidRPr="00F90A54">
        <w:rPr>
          <w:rFonts w:ascii="Garamond" w:hAnsi="Garamond"/>
        </w:rPr>
        <w:t xml:space="preserve">procedural “mare’s nest” </w:t>
      </w:r>
      <w:r w:rsidRPr="00F90A54">
        <w:rPr>
          <w:rFonts w:ascii="Garamond" w:hAnsi="Garamond"/>
        </w:rPr>
        <w:t xml:space="preserve">below was too complicated for a clean </w:t>
      </w:r>
      <w:r w:rsidR="00393873" w:rsidRPr="00F90A54">
        <w:rPr>
          <w:rFonts w:ascii="Garamond" w:hAnsi="Garamond"/>
        </w:rPr>
        <w:t>decision</w:t>
      </w:r>
      <w:r w:rsidRPr="00F90A54">
        <w:rPr>
          <w:rFonts w:ascii="Garamond" w:hAnsi="Garamond"/>
        </w:rPr>
        <w:t xml:space="preserve"> </w:t>
      </w:r>
      <w:r w:rsidR="00393873" w:rsidRPr="00F90A54">
        <w:rPr>
          <w:rFonts w:ascii="Garamond" w:hAnsi="Garamond"/>
        </w:rPr>
        <w:t xml:space="preserve">on </w:t>
      </w:r>
      <w:r w:rsidRPr="00F90A54">
        <w:rPr>
          <w:rFonts w:ascii="Garamond" w:hAnsi="Garamond"/>
        </w:rPr>
        <w:t>intervention.</w:t>
      </w:r>
      <w:r w:rsidR="00ED0965" w:rsidRPr="00F90A54">
        <w:rPr>
          <w:rStyle w:val="FootnoteReference"/>
          <w:rFonts w:ascii="Garamond" w:hAnsi="Garamond"/>
        </w:rPr>
        <w:footnoteReference w:id="276"/>
      </w:r>
      <w:r w:rsidRPr="00F90A54">
        <w:rPr>
          <w:rFonts w:ascii="Garamond" w:hAnsi="Garamond"/>
        </w:rPr>
        <w:t xml:space="preserve"> The Court recommended that the states seek to intervene in the Seventh Circuit, where </w:t>
      </w:r>
      <w:r w:rsidR="009F7A3B">
        <w:rPr>
          <w:rFonts w:ascii="Garamond" w:hAnsi="Garamond"/>
        </w:rPr>
        <w:t xml:space="preserve">a </w:t>
      </w:r>
      <w:r w:rsidRPr="00F90A54">
        <w:rPr>
          <w:rFonts w:ascii="Garamond" w:hAnsi="Garamond"/>
        </w:rPr>
        <w:t xml:space="preserve">nationwide injunction </w:t>
      </w:r>
      <w:r w:rsidR="009F7A3B">
        <w:rPr>
          <w:rFonts w:ascii="Garamond" w:hAnsi="Garamond"/>
        </w:rPr>
        <w:t>had been issued</w:t>
      </w:r>
      <w:r w:rsidRPr="00F90A54">
        <w:rPr>
          <w:rFonts w:ascii="Garamond" w:hAnsi="Garamond"/>
        </w:rPr>
        <w:t xml:space="preserve">. </w:t>
      </w:r>
      <w:r w:rsidR="00966DAC" w:rsidRPr="00F90A54">
        <w:rPr>
          <w:rFonts w:ascii="Garamond" w:hAnsi="Garamond"/>
        </w:rPr>
        <w:t>T</w:t>
      </w:r>
      <w:r w:rsidRPr="00F90A54">
        <w:rPr>
          <w:rFonts w:ascii="Garamond" w:hAnsi="Garamond"/>
        </w:rPr>
        <w:t>he Seventh Circuit</w:t>
      </w:r>
      <w:r w:rsidR="00966DAC" w:rsidRPr="00F90A54">
        <w:rPr>
          <w:rFonts w:ascii="Garamond" w:hAnsi="Garamond"/>
        </w:rPr>
        <w:t xml:space="preserve"> subsequently denied that motion. T</w:t>
      </w:r>
      <w:r w:rsidRPr="00F90A54">
        <w:rPr>
          <w:rFonts w:ascii="Garamond" w:hAnsi="Garamond"/>
        </w:rPr>
        <w:t>he states once again sought cert</w:t>
      </w:r>
      <w:r w:rsidR="004654F8" w:rsidRPr="00F90A54">
        <w:rPr>
          <w:rFonts w:ascii="Garamond" w:hAnsi="Garamond"/>
        </w:rPr>
        <w:t>iorari</w:t>
      </w:r>
      <w:r w:rsidR="00966DAC" w:rsidRPr="00F90A54">
        <w:rPr>
          <w:rFonts w:ascii="Garamond" w:hAnsi="Garamond"/>
        </w:rPr>
        <w:t xml:space="preserve">, but </w:t>
      </w:r>
      <w:r w:rsidRPr="00F90A54">
        <w:rPr>
          <w:rFonts w:ascii="Garamond" w:hAnsi="Garamond"/>
        </w:rPr>
        <w:t xml:space="preserve">the Supreme Court rejected their petition without comment. </w:t>
      </w:r>
    </w:p>
    <w:p w14:paraId="27370B9E" w14:textId="6F8D5A49" w:rsidR="001321A9" w:rsidRPr="00F90A54" w:rsidRDefault="00966DAC" w:rsidP="001F4A3F">
      <w:pPr>
        <w:keepNext/>
        <w:ind w:firstLine="360"/>
        <w:jc w:val="both"/>
        <w:rPr>
          <w:rFonts w:ascii="Garamond" w:hAnsi="Garamond"/>
        </w:rPr>
      </w:pPr>
      <w:r w:rsidRPr="00F90A54">
        <w:rPr>
          <w:rFonts w:ascii="Garamond" w:hAnsi="Garamond"/>
        </w:rPr>
        <w:t xml:space="preserve">In the end, </w:t>
      </w:r>
      <w:r w:rsidR="009F7A3B">
        <w:rPr>
          <w:rFonts w:ascii="Garamond" w:hAnsi="Garamond"/>
        </w:rPr>
        <w:t xml:space="preserve">these intervention decisions led </w:t>
      </w:r>
      <w:r w:rsidRPr="00F90A54">
        <w:rPr>
          <w:rFonts w:ascii="Garamond" w:hAnsi="Garamond"/>
        </w:rPr>
        <w:t xml:space="preserve">the </w:t>
      </w:r>
      <w:r w:rsidR="001321A9" w:rsidRPr="00F90A54">
        <w:rPr>
          <w:rFonts w:ascii="Garamond" w:hAnsi="Garamond"/>
        </w:rPr>
        <w:t xml:space="preserve">nationwide injunction </w:t>
      </w:r>
      <w:r w:rsidRPr="00F90A54">
        <w:rPr>
          <w:rFonts w:ascii="Garamond" w:hAnsi="Garamond"/>
        </w:rPr>
        <w:t xml:space="preserve">issued by the district court </w:t>
      </w:r>
      <w:r w:rsidR="001321A9" w:rsidRPr="00F90A54">
        <w:rPr>
          <w:rFonts w:ascii="Garamond" w:hAnsi="Garamond"/>
        </w:rPr>
        <w:t xml:space="preserve">against the Public Charge rule </w:t>
      </w:r>
      <w:r w:rsidR="009F7A3B">
        <w:rPr>
          <w:rFonts w:ascii="Garamond" w:hAnsi="Garamond"/>
        </w:rPr>
        <w:t>to be</w:t>
      </w:r>
      <w:r w:rsidRPr="00F90A54">
        <w:rPr>
          <w:rFonts w:ascii="Garamond" w:hAnsi="Garamond"/>
        </w:rPr>
        <w:t xml:space="preserve"> left </w:t>
      </w:r>
      <w:r w:rsidR="001321A9" w:rsidRPr="00F90A54">
        <w:rPr>
          <w:rFonts w:ascii="Garamond" w:hAnsi="Garamond"/>
        </w:rPr>
        <w:t>in place</w:t>
      </w:r>
      <w:r w:rsidRPr="00F90A54">
        <w:rPr>
          <w:rFonts w:ascii="Garamond" w:hAnsi="Garamond"/>
        </w:rPr>
        <w:t xml:space="preserve">, as </w:t>
      </w:r>
      <w:r w:rsidR="001321A9" w:rsidRPr="00F90A54">
        <w:rPr>
          <w:rFonts w:ascii="Garamond" w:hAnsi="Garamond"/>
        </w:rPr>
        <w:t xml:space="preserve">the federal government chose not to appeal it and no party was left to defend the rule. </w:t>
      </w:r>
    </w:p>
    <w:p w14:paraId="17F42125" w14:textId="77777777" w:rsidR="00C80F45" w:rsidRPr="00F90A54" w:rsidRDefault="00C80F45" w:rsidP="006348BD">
      <w:pPr>
        <w:rPr>
          <w:rFonts w:ascii="Garamond" w:hAnsi="Garamond"/>
        </w:rPr>
      </w:pPr>
    </w:p>
    <w:p w14:paraId="5E961972" w14:textId="7073E373" w:rsidR="006348BD" w:rsidRPr="00F90A54" w:rsidRDefault="006348BD" w:rsidP="00D9403B">
      <w:pPr>
        <w:keepNext/>
        <w:jc w:val="center"/>
        <w:rPr>
          <w:rFonts w:ascii="Garamond" w:hAnsi="Garamond"/>
        </w:rPr>
      </w:pPr>
      <w:r w:rsidRPr="00F90A54">
        <w:rPr>
          <w:rFonts w:ascii="Garamond" w:hAnsi="Garamond"/>
        </w:rPr>
        <w:t xml:space="preserve">*** </w:t>
      </w:r>
    </w:p>
    <w:p w14:paraId="3EF5BEE2" w14:textId="77777777" w:rsidR="00D9403B" w:rsidRPr="00F90A54" w:rsidRDefault="00D9403B" w:rsidP="00D9403B">
      <w:pPr>
        <w:keepNext/>
        <w:jc w:val="center"/>
        <w:rPr>
          <w:rFonts w:ascii="Garamond" w:hAnsi="Garamond"/>
        </w:rPr>
      </w:pPr>
    </w:p>
    <w:p w14:paraId="7058D21A" w14:textId="3EE945FA" w:rsidR="00DF6063" w:rsidRPr="00F90A54" w:rsidRDefault="006348BD" w:rsidP="00666992">
      <w:pPr>
        <w:ind w:firstLine="360"/>
        <w:jc w:val="both"/>
        <w:rPr>
          <w:rFonts w:ascii="Garamond" w:hAnsi="Garamond"/>
        </w:rPr>
      </w:pPr>
      <w:r w:rsidRPr="00F90A54">
        <w:rPr>
          <w:rFonts w:ascii="Garamond" w:hAnsi="Garamond"/>
        </w:rPr>
        <w:t>As these examples illustrate, interven</w:t>
      </w:r>
      <w:r w:rsidR="00343574" w:rsidRPr="00F90A54">
        <w:rPr>
          <w:rFonts w:ascii="Garamond" w:hAnsi="Garamond"/>
        </w:rPr>
        <w:t>tion in nationwide-injunction suits is common</w:t>
      </w:r>
      <w:r w:rsidR="00175AEB" w:rsidRPr="00F90A54">
        <w:rPr>
          <w:rFonts w:ascii="Garamond" w:hAnsi="Garamond"/>
        </w:rPr>
        <w:t>, unpredictable,</w:t>
      </w:r>
      <w:r w:rsidR="00343574" w:rsidRPr="00F90A54">
        <w:rPr>
          <w:rFonts w:ascii="Garamond" w:hAnsi="Garamond"/>
        </w:rPr>
        <w:t xml:space="preserve"> and</w:t>
      </w:r>
      <w:r w:rsidR="00175AEB" w:rsidRPr="00F90A54">
        <w:rPr>
          <w:rFonts w:ascii="Garamond" w:hAnsi="Garamond"/>
        </w:rPr>
        <w:t xml:space="preserve"> consequential</w:t>
      </w:r>
      <w:r w:rsidR="00343574" w:rsidRPr="00F90A54">
        <w:rPr>
          <w:rFonts w:ascii="Garamond" w:hAnsi="Garamond"/>
        </w:rPr>
        <w:t xml:space="preserve">. </w:t>
      </w:r>
      <w:r w:rsidR="00BD2DC2" w:rsidRPr="00F90A54">
        <w:rPr>
          <w:rFonts w:ascii="Garamond" w:hAnsi="Garamond"/>
        </w:rPr>
        <w:t>But not all intervenors are the same</w:t>
      </w:r>
      <w:r w:rsidR="001244CB" w:rsidRPr="00F90A54">
        <w:rPr>
          <w:rFonts w:ascii="Garamond" w:hAnsi="Garamond"/>
        </w:rPr>
        <w:t xml:space="preserve">. Some </w:t>
      </w:r>
      <w:r w:rsidR="00F67A25">
        <w:rPr>
          <w:rFonts w:ascii="Garamond" w:hAnsi="Garamond"/>
        </w:rPr>
        <w:t xml:space="preserve">act as elevated amici. They </w:t>
      </w:r>
      <w:r w:rsidR="001244CB" w:rsidRPr="00F90A54">
        <w:rPr>
          <w:rFonts w:ascii="Garamond" w:hAnsi="Garamond"/>
        </w:rPr>
        <w:t>seek to add evidence and arguments</w:t>
      </w:r>
      <w:r w:rsidR="00F67A25">
        <w:rPr>
          <w:rFonts w:ascii="Garamond" w:hAnsi="Garamond"/>
        </w:rPr>
        <w:t xml:space="preserve"> with an increased likelihood that the court will consider those contributions</w:t>
      </w:r>
      <w:r w:rsidR="001244CB" w:rsidRPr="00F90A54">
        <w:rPr>
          <w:rFonts w:ascii="Garamond" w:hAnsi="Garamond"/>
        </w:rPr>
        <w:t xml:space="preserve">. </w:t>
      </w:r>
      <w:r w:rsidR="00175AEB" w:rsidRPr="00F90A54">
        <w:rPr>
          <w:rFonts w:ascii="Garamond" w:hAnsi="Garamond"/>
        </w:rPr>
        <w:t xml:space="preserve">But other intervenors change not just the content of the court’s decision, but whether the court reaches a decision at all. </w:t>
      </w:r>
      <w:r w:rsidR="001553F6" w:rsidRPr="00F90A54">
        <w:rPr>
          <w:rFonts w:ascii="Garamond" w:hAnsi="Garamond"/>
        </w:rPr>
        <w:t xml:space="preserve">Intervenors who stand alone on appeal </w:t>
      </w:r>
      <w:r w:rsidR="00637B9D" w:rsidRPr="00F90A54">
        <w:rPr>
          <w:rFonts w:ascii="Garamond" w:hAnsi="Garamond"/>
        </w:rPr>
        <w:t>raise separate normative concerns</w:t>
      </w:r>
      <w:r w:rsidR="00A1136D" w:rsidRPr="00F90A54">
        <w:rPr>
          <w:rFonts w:ascii="Garamond" w:hAnsi="Garamond"/>
        </w:rPr>
        <w:t>—</w:t>
      </w:r>
      <w:r w:rsidR="00F67A25">
        <w:rPr>
          <w:rFonts w:ascii="Garamond" w:hAnsi="Garamond"/>
        </w:rPr>
        <w:t xml:space="preserve">about the values promoted by </w:t>
      </w:r>
      <w:r w:rsidR="003B506B" w:rsidRPr="00F90A54">
        <w:rPr>
          <w:rFonts w:ascii="Garamond" w:hAnsi="Garamond"/>
        </w:rPr>
        <w:t>Rule 24</w:t>
      </w:r>
      <w:r w:rsidR="00F67A25">
        <w:rPr>
          <w:rFonts w:ascii="Garamond" w:hAnsi="Garamond"/>
        </w:rPr>
        <w:t xml:space="preserve"> and, more broadly,</w:t>
      </w:r>
      <w:r w:rsidR="003B506B" w:rsidRPr="00F90A54">
        <w:rPr>
          <w:rFonts w:ascii="Garamond" w:hAnsi="Garamond"/>
        </w:rPr>
        <w:t xml:space="preserve"> about the proper function of the courts in these high-profile, politically charged cases. </w:t>
      </w:r>
    </w:p>
    <w:p w14:paraId="3A8AAB80" w14:textId="77777777" w:rsidR="00DF6063" w:rsidRPr="00F90A54" w:rsidRDefault="00DF6063" w:rsidP="00DF6063">
      <w:pPr>
        <w:ind w:firstLine="360"/>
        <w:rPr>
          <w:rFonts w:ascii="Garamond" w:hAnsi="Garamond"/>
        </w:rPr>
      </w:pPr>
    </w:p>
    <w:p w14:paraId="0B9A13E8" w14:textId="77777777" w:rsidR="00DF6063" w:rsidRPr="00F90A54" w:rsidRDefault="00DF6063" w:rsidP="00D9403B">
      <w:pPr>
        <w:pStyle w:val="Heading1"/>
        <w:keepNext/>
      </w:pPr>
      <w:bookmarkStart w:id="18" w:name="_Toc143336560"/>
      <w:r w:rsidRPr="00F90A54">
        <w:t>The Normative Consequences</w:t>
      </w:r>
      <w:bookmarkEnd w:id="18"/>
    </w:p>
    <w:p w14:paraId="30FA5E62" w14:textId="77777777" w:rsidR="00DF6063" w:rsidRPr="00F90A54" w:rsidRDefault="00DF6063" w:rsidP="00D9403B">
      <w:pPr>
        <w:pStyle w:val="ListParagraph"/>
        <w:keepNext/>
        <w:ind w:left="360"/>
        <w:rPr>
          <w:rFonts w:ascii="Garamond" w:hAnsi="Garamond"/>
          <w:iCs/>
        </w:rPr>
      </w:pPr>
    </w:p>
    <w:p w14:paraId="26E77EF8" w14:textId="77777777" w:rsidR="00512619" w:rsidRPr="00F90A54" w:rsidRDefault="00A04862" w:rsidP="001F4A3F">
      <w:pPr>
        <w:ind w:firstLine="360"/>
        <w:jc w:val="both"/>
        <w:rPr>
          <w:rFonts w:ascii="Garamond" w:hAnsi="Garamond"/>
        </w:rPr>
      </w:pPr>
      <w:r w:rsidRPr="00F90A54">
        <w:rPr>
          <w:rFonts w:ascii="Garamond" w:hAnsi="Garamond"/>
        </w:rPr>
        <w:t>As the examples in Part II demonstrate, intervention in universal-remedy cases can have enormous consequences for how and whether the case is adjudicated. This section connects that in-depth analysis of intervention practice with the normative overview provided in Part I.</w:t>
      </w:r>
      <w:r w:rsidR="00185CBD" w:rsidRPr="00F90A54">
        <w:rPr>
          <w:rFonts w:ascii="Garamond" w:hAnsi="Garamond"/>
        </w:rPr>
        <w:t>B. It concludes that</w:t>
      </w:r>
      <w:r w:rsidR="008C41B6" w:rsidRPr="00F90A54">
        <w:rPr>
          <w:rFonts w:ascii="Garamond" w:hAnsi="Garamond"/>
        </w:rPr>
        <w:t>, as applied,</w:t>
      </w:r>
      <w:r w:rsidR="00B1396A" w:rsidRPr="00F90A54">
        <w:rPr>
          <w:rFonts w:ascii="Garamond" w:hAnsi="Garamond"/>
        </w:rPr>
        <w:t xml:space="preserve"> </w:t>
      </w:r>
      <w:r w:rsidR="008C41B6" w:rsidRPr="00F90A54">
        <w:rPr>
          <w:rFonts w:ascii="Garamond" w:hAnsi="Garamond"/>
        </w:rPr>
        <w:t xml:space="preserve">Rule 24 no longer promotes the values it was designed to protect in the nationwide-injunction context. </w:t>
      </w:r>
    </w:p>
    <w:p w14:paraId="0005C5AE" w14:textId="4CC35CCB" w:rsidR="00AF3972" w:rsidRPr="00F90A54" w:rsidRDefault="00647C6A" w:rsidP="001F4A3F">
      <w:pPr>
        <w:ind w:firstLine="360"/>
        <w:jc w:val="both"/>
        <w:rPr>
          <w:rFonts w:ascii="Garamond" w:hAnsi="Garamond"/>
        </w:rPr>
      </w:pPr>
      <w:r w:rsidRPr="00F90A54">
        <w:rPr>
          <w:rFonts w:ascii="Garamond" w:hAnsi="Garamond"/>
        </w:rPr>
        <w:t>T</w:t>
      </w:r>
      <w:r w:rsidR="00512619" w:rsidRPr="00F90A54">
        <w:rPr>
          <w:rFonts w:ascii="Garamond" w:hAnsi="Garamond"/>
        </w:rPr>
        <w:t xml:space="preserve">his </w:t>
      </w:r>
      <w:r w:rsidR="00504ED9" w:rsidRPr="00F90A54">
        <w:rPr>
          <w:rFonts w:ascii="Garamond" w:hAnsi="Garamond"/>
        </w:rPr>
        <w:t xml:space="preserve">intervention practice </w:t>
      </w:r>
      <w:r w:rsidR="00512619" w:rsidRPr="00F90A54">
        <w:rPr>
          <w:rFonts w:ascii="Garamond" w:hAnsi="Garamond"/>
        </w:rPr>
        <w:t>raises additional normative concerns for the judiciary as an institution. First, t</w:t>
      </w:r>
      <w:r w:rsidR="00E34A5A" w:rsidRPr="00F90A54">
        <w:rPr>
          <w:rFonts w:ascii="Garamond" w:hAnsi="Garamond"/>
        </w:rPr>
        <w:t xml:space="preserve">he broad discretion granted to courts under murky intervention doctrines </w:t>
      </w:r>
      <w:r w:rsidR="00512619" w:rsidRPr="00F90A54">
        <w:rPr>
          <w:rFonts w:ascii="Garamond" w:hAnsi="Garamond"/>
        </w:rPr>
        <w:t>means that courts have the power to determine who will be able to participate in high-profile</w:t>
      </w:r>
      <w:r w:rsidR="004654F8" w:rsidRPr="00F90A54">
        <w:rPr>
          <w:rFonts w:ascii="Garamond" w:hAnsi="Garamond"/>
        </w:rPr>
        <w:t>,</w:t>
      </w:r>
      <w:r w:rsidR="00512619" w:rsidRPr="00F90A54">
        <w:rPr>
          <w:rFonts w:ascii="Garamond" w:hAnsi="Garamond"/>
        </w:rPr>
        <w:t xml:space="preserve"> politically salient cases and, in the case of an intervenor who wants to appeal, whether the case will reach the merits at all. In other words, judges are no longer being asked </w:t>
      </w:r>
      <w:r w:rsidR="00A9375C" w:rsidRPr="00F90A54">
        <w:rPr>
          <w:rFonts w:ascii="Garamond" w:hAnsi="Garamond"/>
        </w:rPr>
        <w:t>“</w:t>
      </w:r>
      <w:r w:rsidR="00512619" w:rsidRPr="00F90A54">
        <w:rPr>
          <w:rFonts w:ascii="Garamond" w:hAnsi="Garamond"/>
        </w:rPr>
        <w:t>just</w:t>
      </w:r>
      <w:r w:rsidR="00A9375C" w:rsidRPr="00F90A54">
        <w:rPr>
          <w:rFonts w:ascii="Garamond" w:hAnsi="Garamond"/>
        </w:rPr>
        <w:t>”</w:t>
      </w:r>
      <w:r w:rsidR="00512619" w:rsidRPr="00F90A54">
        <w:rPr>
          <w:rFonts w:ascii="Garamond" w:hAnsi="Garamond"/>
        </w:rPr>
        <w:t xml:space="preserve"> to enjoin a hotly contested public program, but also to decide who is a proper challenger to</w:t>
      </w:r>
      <w:r w:rsidR="004654F8" w:rsidRPr="00F90A54">
        <w:rPr>
          <w:rFonts w:ascii="Garamond" w:hAnsi="Garamond"/>
        </w:rPr>
        <w:t>,</w:t>
      </w:r>
      <w:r w:rsidR="00512619" w:rsidRPr="00F90A54">
        <w:rPr>
          <w:rFonts w:ascii="Garamond" w:hAnsi="Garamond"/>
        </w:rPr>
        <w:t xml:space="preserve"> or defender of</w:t>
      </w:r>
      <w:r w:rsidR="004654F8" w:rsidRPr="00F90A54">
        <w:rPr>
          <w:rFonts w:ascii="Garamond" w:hAnsi="Garamond"/>
        </w:rPr>
        <w:t>,</w:t>
      </w:r>
      <w:r w:rsidR="00512619" w:rsidRPr="00F90A54">
        <w:rPr>
          <w:rFonts w:ascii="Garamond" w:hAnsi="Garamond"/>
        </w:rPr>
        <w:t xml:space="preserve"> the law. </w:t>
      </w:r>
      <w:r w:rsidR="00E37AB7" w:rsidRPr="00F90A54">
        <w:rPr>
          <w:rFonts w:ascii="Garamond" w:hAnsi="Garamond"/>
        </w:rPr>
        <w:t>The</w:t>
      </w:r>
      <w:r w:rsidR="00512619" w:rsidRPr="00F90A54">
        <w:rPr>
          <w:rFonts w:ascii="Garamond" w:hAnsi="Garamond"/>
        </w:rPr>
        <w:t xml:space="preserve"> </w:t>
      </w:r>
      <w:r w:rsidR="00E37AB7" w:rsidRPr="00F90A54">
        <w:rPr>
          <w:rFonts w:ascii="Garamond" w:hAnsi="Garamond"/>
        </w:rPr>
        <w:t xml:space="preserve">court’s decision on intervention can exacerbate concerns that courts are no longer impartial arbiters of these highly consequential disputes. </w:t>
      </w:r>
    </w:p>
    <w:p w14:paraId="23E77B1E" w14:textId="2590514A" w:rsidR="005700A2" w:rsidRPr="00F90A54" w:rsidRDefault="00E37AB7" w:rsidP="001F4A3F">
      <w:pPr>
        <w:ind w:firstLine="360"/>
        <w:jc w:val="both"/>
        <w:rPr>
          <w:rFonts w:ascii="Garamond" w:hAnsi="Garamond"/>
        </w:rPr>
      </w:pPr>
      <w:r w:rsidRPr="00F90A54">
        <w:rPr>
          <w:rFonts w:ascii="Garamond" w:hAnsi="Garamond"/>
        </w:rPr>
        <w:t xml:space="preserve">Second, </w:t>
      </w:r>
      <w:r w:rsidR="00BF78F0" w:rsidRPr="00F90A54">
        <w:rPr>
          <w:rFonts w:ascii="Garamond" w:hAnsi="Garamond"/>
        </w:rPr>
        <w:t xml:space="preserve">this </w:t>
      </w:r>
      <w:r w:rsidRPr="00F90A54">
        <w:rPr>
          <w:rFonts w:ascii="Garamond" w:hAnsi="Garamond"/>
        </w:rPr>
        <w:t xml:space="preserve">intervention </w:t>
      </w:r>
      <w:r w:rsidR="00BF78F0" w:rsidRPr="00F90A54">
        <w:rPr>
          <w:rFonts w:ascii="Garamond" w:hAnsi="Garamond"/>
        </w:rPr>
        <w:t xml:space="preserve">practice expands the judiciary’s involvement in political cases. </w:t>
      </w:r>
      <w:r w:rsidR="00D12722" w:rsidRPr="00F90A54">
        <w:rPr>
          <w:rFonts w:ascii="Garamond" w:hAnsi="Garamond"/>
        </w:rPr>
        <w:t xml:space="preserve">As demonstrated in Part II, </w:t>
      </w:r>
      <w:r w:rsidR="005700A2" w:rsidRPr="00F90A54">
        <w:rPr>
          <w:rFonts w:ascii="Garamond" w:hAnsi="Garamond"/>
        </w:rPr>
        <w:t>i</w:t>
      </w:r>
      <w:r w:rsidR="00BF78F0" w:rsidRPr="00F90A54">
        <w:rPr>
          <w:rFonts w:ascii="Garamond" w:hAnsi="Garamond"/>
        </w:rPr>
        <w:t xml:space="preserve">ntervenors can ensure that high-stakes ideological issues are resolved by the judiciary rather than the democratic branches by keeping </w:t>
      </w:r>
      <w:r w:rsidR="00BF78F0" w:rsidRPr="00F90A54">
        <w:rPr>
          <w:rFonts w:ascii="Garamond" w:hAnsi="Garamond"/>
        </w:rPr>
        <w:lastRenderedPageBreak/>
        <w:t xml:space="preserve">cases alive long after the original parties have agreed to </w:t>
      </w:r>
      <w:r w:rsidR="005700A2" w:rsidRPr="00F90A54">
        <w:rPr>
          <w:rFonts w:ascii="Garamond" w:hAnsi="Garamond"/>
        </w:rPr>
        <w:t xml:space="preserve">end </w:t>
      </w:r>
      <w:r w:rsidR="00BF78F0" w:rsidRPr="00F90A54">
        <w:rPr>
          <w:rFonts w:ascii="Garamond" w:hAnsi="Garamond"/>
        </w:rPr>
        <w:t xml:space="preserve">the case. </w:t>
      </w:r>
      <w:r w:rsidR="00526527" w:rsidRPr="00F90A54">
        <w:rPr>
          <w:rFonts w:ascii="Garamond" w:hAnsi="Garamond"/>
        </w:rPr>
        <w:t xml:space="preserve">Courts are no longer able to rely on settlements or prudential decisions not to appeal. Instead, once allowed in, intervenors can close off </w:t>
      </w:r>
      <w:r w:rsidR="00E7412B" w:rsidRPr="00F90A54">
        <w:rPr>
          <w:rFonts w:ascii="Garamond" w:hAnsi="Garamond"/>
        </w:rPr>
        <w:t xml:space="preserve">the </w:t>
      </w:r>
      <w:r w:rsidR="00526527" w:rsidRPr="00F90A54">
        <w:rPr>
          <w:rFonts w:ascii="Garamond" w:hAnsi="Garamond"/>
        </w:rPr>
        <w:t xml:space="preserve">escape hatches once available to courts to avoid </w:t>
      </w:r>
      <w:r w:rsidR="00403326" w:rsidRPr="00F90A54">
        <w:rPr>
          <w:rFonts w:ascii="Garamond" w:hAnsi="Garamond"/>
        </w:rPr>
        <w:t>engaging in</w:t>
      </w:r>
      <w:r w:rsidR="00526527" w:rsidRPr="00F90A54">
        <w:rPr>
          <w:rFonts w:ascii="Garamond" w:hAnsi="Garamond"/>
        </w:rPr>
        <w:t xml:space="preserve"> politically contentious disputes. </w:t>
      </w:r>
    </w:p>
    <w:p w14:paraId="5F120D65" w14:textId="77777777" w:rsidR="00526527" w:rsidRPr="00F90A54" w:rsidRDefault="00526527" w:rsidP="00A04862">
      <w:pPr>
        <w:ind w:firstLine="360"/>
        <w:rPr>
          <w:rFonts w:ascii="Garamond" w:hAnsi="Garamond"/>
        </w:rPr>
      </w:pPr>
    </w:p>
    <w:p w14:paraId="20F78450" w14:textId="089C6EE7" w:rsidR="00DF6063" w:rsidRPr="00F90A54" w:rsidRDefault="00DE01A6" w:rsidP="00D9403B">
      <w:pPr>
        <w:pStyle w:val="Heading2"/>
        <w:keepNext/>
      </w:pPr>
      <w:bookmarkStart w:id="19" w:name="_Toc143336561"/>
      <w:r w:rsidRPr="00F90A54">
        <w:t>Undermin</w:t>
      </w:r>
      <w:r w:rsidR="003B74A6" w:rsidRPr="00F90A54">
        <w:t>ing</w:t>
      </w:r>
      <w:r w:rsidRPr="00F90A54">
        <w:t xml:space="preserve"> </w:t>
      </w:r>
      <w:r w:rsidR="001922CA" w:rsidRPr="00F90A54">
        <w:t>Procedural Values</w:t>
      </w:r>
      <w:bookmarkEnd w:id="19"/>
    </w:p>
    <w:p w14:paraId="529BB7F2" w14:textId="77777777" w:rsidR="00DF6063" w:rsidRPr="00F90A54" w:rsidRDefault="00DF6063" w:rsidP="00D9403B">
      <w:pPr>
        <w:keepNext/>
        <w:rPr>
          <w:rFonts w:ascii="Garamond" w:hAnsi="Garamond"/>
        </w:rPr>
      </w:pPr>
    </w:p>
    <w:p w14:paraId="727B7B4E" w14:textId="6D38C787" w:rsidR="000C0F8D" w:rsidRPr="00F90A54" w:rsidRDefault="000C0F8D" w:rsidP="001F4A3F">
      <w:pPr>
        <w:ind w:firstLine="360"/>
        <w:jc w:val="both"/>
        <w:rPr>
          <w:rFonts w:ascii="Garamond" w:hAnsi="Garamond"/>
        </w:rPr>
      </w:pPr>
      <w:r w:rsidRPr="00F90A54">
        <w:rPr>
          <w:rFonts w:ascii="Garamond" w:hAnsi="Garamond"/>
        </w:rPr>
        <w:t xml:space="preserve">Rule 24 intervention </w:t>
      </w:r>
      <w:r w:rsidR="00887B1E" w:rsidRPr="00F90A54">
        <w:rPr>
          <w:rFonts w:ascii="Garamond" w:hAnsi="Garamond"/>
        </w:rPr>
        <w:t>is designed to promote</w:t>
      </w:r>
      <w:r w:rsidRPr="00F90A54">
        <w:rPr>
          <w:rFonts w:ascii="Garamond" w:hAnsi="Garamond"/>
        </w:rPr>
        <w:t xml:space="preserve"> </w:t>
      </w:r>
      <w:r w:rsidR="00887B1E" w:rsidRPr="00F90A54">
        <w:rPr>
          <w:rFonts w:ascii="Garamond" w:hAnsi="Garamond"/>
        </w:rPr>
        <w:t xml:space="preserve">efficiency and fairness. It does this by balancing three </w:t>
      </w:r>
      <w:r w:rsidR="0070255E">
        <w:rPr>
          <w:rFonts w:ascii="Garamond" w:hAnsi="Garamond"/>
        </w:rPr>
        <w:t>goals</w:t>
      </w:r>
      <w:r w:rsidR="00887B1E" w:rsidRPr="00F90A54">
        <w:rPr>
          <w:rFonts w:ascii="Garamond" w:hAnsi="Garamond"/>
        </w:rPr>
        <w:t xml:space="preserve">: </w:t>
      </w:r>
      <w:r w:rsidRPr="00F90A54">
        <w:rPr>
          <w:rFonts w:ascii="Garamond" w:hAnsi="Garamond"/>
        </w:rPr>
        <w:t>promoting meaningful participation</w:t>
      </w:r>
      <w:r w:rsidR="00887B1E" w:rsidRPr="00F90A54">
        <w:rPr>
          <w:rFonts w:ascii="Garamond" w:hAnsi="Garamond"/>
        </w:rPr>
        <w:t xml:space="preserve"> for outsiders to protect their interests, improving judicial efficiency by consolidating related actions, and maintaining party control over litigation. </w:t>
      </w:r>
      <w:r w:rsidR="00CD43E1" w:rsidRPr="00F90A54">
        <w:rPr>
          <w:rFonts w:ascii="Garamond" w:hAnsi="Garamond"/>
        </w:rPr>
        <w:t>That balance</w:t>
      </w:r>
      <w:r w:rsidR="009747B1" w:rsidRPr="00F90A54">
        <w:rPr>
          <w:rFonts w:ascii="Garamond" w:hAnsi="Garamond"/>
        </w:rPr>
        <w:t xml:space="preserve"> break</w:t>
      </w:r>
      <w:r w:rsidR="00CD43E1" w:rsidRPr="00F90A54">
        <w:rPr>
          <w:rFonts w:ascii="Garamond" w:hAnsi="Garamond"/>
        </w:rPr>
        <w:t>s</w:t>
      </w:r>
      <w:r w:rsidR="009747B1" w:rsidRPr="00F90A54">
        <w:rPr>
          <w:rFonts w:ascii="Garamond" w:hAnsi="Garamond"/>
        </w:rPr>
        <w:t xml:space="preserve"> down in the nationwide-injunction context. </w:t>
      </w:r>
    </w:p>
    <w:p w14:paraId="34B1607B" w14:textId="06B0FB1F" w:rsidR="00E04248" w:rsidRPr="00F90A54" w:rsidRDefault="00072944" w:rsidP="001F4A3F">
      <w:pPr>
        <w:ind w:firstLine="360"/>
        <w:jc w:val="both"/>
        <w:rPr>
          <w:rFonts w:ascii="Garamond" w:hAnsi="Garamond"/>
        </w:rPr>
      </w:pPr>
      <w:r w:rsidRPr="00F90A54">
        <w:rPr>
          <w:rFonts w:ascii="Garamond" w:hAnsi="Garamond"/>
        </w:rPr>
        <w:t xml:space="preserve">1. </w:t>
      </w:r>
      <w:r w:rsidRPr="00F90A54">
        <w:rPr>
          <w:rFonts w:ascii="Garamond" w:hAnsi="Garamond"/>
          <w:i/>
          <w:iCs/>
        </w:rPr>
        <w:t>Participation</w:t>
      </w:r>
      <w:r w:rsidRPr="00F90A54">
        <w:rPr>
          <w:rFonts w:ascii="Garamond" w:hAnsi="Garamond"/>
        </w:rPr>
        <w:t>.</w:t>
      </w:r>
      <w:r w:rsidRPr="00F90A54">
        <w:rPr>
          <w:rFonts w:ascii="Garamond" w:hAnsi="Garamond"/>
          <w:i/>
          <w:iCs/>
        </w:rPr>
        <w:t xml:space="preserve"> </w:t>
      </w:r>
      <w:r w:rsidR="009A5780" w:rsidRPr="00F90A54">
        <w:rPr>
          <w:rFonts w:ascii="Garamond" w:hAnsi="Garamond"/>
        </w:rPr>
        <w:t xml:space="preserve">Discretionary intervention in nationwide-injunction cases has led to </w:t>
      </w:r>
      <w:r w:rsidR="00E04248" w:rsidRPr="00F90A54">
        <w:rPr>
          <w:rFonts w:ascii="Garamond" w:hAnsi="Garamond"/>
        </w:rPr>
        <w:t>unpredictable requirements and inconsistent outcomes</w:t>
      </w:r>
      <w:r w:rsidR="009A5780" w:rsidRPr="00F90A54">
        <w:rPr>
          <w:rFonts w:ascii="Garamond" w:hAnsi="Garamond"/>
        </w:rPr>
        <w:t>: two f</w:t>
      </w:r>
      <w:r w:rsidR="000E60F2" w:rsidRPr="00F90A54">
        <w:rPr>
          <w:rFonts w:ascii="Garamond" w:hAnsi="Garamond"/>
        </w:rPr>
        <w:t xml:space="preserve">eatures </w:t>
      </w:r>
      <w:r w:rsidR="009A5780" w:rsidRPr="00F90A54">
        <w:rPr>
          <w:rFonts w:ascii="Garamond" w:hAnsi="Garamond"/>
        </w:rPr>
        <w:t>that undermine the participatory rights of nonparties</w:t>
      </w:r>
      <w:r w:rsidR="008A57C7" w:rsidRPr="00F90A54">
        <w:rPr>
          <w:rFonts w:ascii="Garamond" w:hAnsi="Garamond"/>
        </w:rPr>
        <w:t xml:space="preserve"> and thus</w:t>
      </w:r>
      <w:r w:rsidR="009A5780" w:rsidRPr="00F90A54">
        <w:rPr>
          <w:rFonts w:ascii="Garamond" w:hAnsi="Garamond"/>
        </w:rPr>
        <w:t xml:space="preserve"> the legitimacy of the adjudication. </w:t>
      </w:r>
    </w:p>
    <w:p w14:paraId="10B60F25" w14:textId="4B362780" w:rsidR="005A7C4A" w:rsidRPr="00F90A54" w:rsidRDefault="00EA0A31" w:rsidP="001F4A3F">
      <w:pPr>
        <w:ind w:firstLine="360"/>
        <w:jc w:val="both"/>
        <w:rPr>
          <w:rFonts w:ascii="Garamond" w:hAnsi="Garamond"/>
        </w:rPr>
      </w:pPr>
      <w:r w:rsidRPr="00F90A54">
        <w:rPr>
          <w:rFonts w:ascii="Garamond" w:hAnsi="Garamond"/>
        </w:rPr>
        <w:t xml:space="preserve">Start from the perspective of the outsider who is concerned that the court </w:t>
      </w:r>
      <w:r w:rsidR="00CA57E5" w:rsidRPr="00F90A54">
        <w:rPr>
          <w:rFonts w:ascii="Garamond" w:hAnsi="Garamond"/>
        </w:rPr>
        <w:t xml:space="preserve">might enjoin a </w:t>
      </w:r>
      <w:r w:rsidR="00DC6632" w:rsidRPr="00F90A54">
        <w:rPr>
          <w:rFonts w:ascii="Garamond" w:hAnsi="Garamond"/>
        </w:rPr>
        <w:t xml:space="preserve">beneficial </w:t>
      </w:r>
      <w:r w:rsidR="00CA57E5" w:rsidRPr="00F90A54">
        <w:rPr>
          <w:rFonts w:ascii="Garamond" w:hAnsi="Garamond"/>
        </w:rPr>
        <w:t>federal policy</w:t>
      </w:r>
      <w:r w:rsidRPr="00F90A54">
        <w:rPr>
          <w:rFonts w:ascii="Garamond" w:hAnsi="Garamond"/>
        </w:rPr>
        <w:t xml:space="preserve">. </w:t>
      </w:r>
      <w:r w:rsidR="00DC6632" w:rsidRPr="00F90A54">
        <w:rPr>
          <w:rFonts w:ascii="Garamond" w:hAnsi="Garamond"/>
        </w:rPr>
        <w:t>That person</w:t>
      </w:r>
      <w:r w:rsidR="00F37C28" w:rsidRPr="00F90A54">
        <w:rPr>
          <w:rFonts w:ascii="Garamond" w:hAnsi="Garamond"/>
        </w:rPr>
        <w:t xml:space="preserve"> ha</w:t>
      </w:r>
      <w:r w:rsidR="00DC6632" w:rsidRPr="00F90A54">
        <w:rPr>
          <w:rFonts w:ascii="Garamond" w:hAnsi="Garamond"/>
        </w:rPr>
        <w:t>s</w:t>
      </w:r>
      <w:r w:rsidR="00F37C28" w:rsidRPr="00F90A54">
        <w:rPr>
          <w:rFonts w:ascii="Garamond" w:hAnsi="Garamond"/>
        </w:rPr>
        <w:t xml:space="preserve"> </w:t>
      </w:r>
      <w:r w:rsidR="0034367C" w:rsidRPr="00F90A54">
        <w:rPr>
          <w:rFonts w:ascii="Garamond" w:hAnsi="Garamond"/>
        </w:rPr>
        <w:t xml:space="preserve">few guidelines outlining the criteria </w:t>
      </w:r>
      <w:r w:rsidR="00693EA4" w:rsidRPr="00F90A54">
        <w:rPr>
          <w:rFonts w:ascii="Garamond" w:hAnsi="Garamond"/>
        </w:rPr>
        <w:t>the court will use to evaluate the intervention motion</w:t>
      </w:r>
      <w:r w:rsidR="00D7104C" w:rsidRPr="00F90A54">
        <w:rPr>
          <w:rFonts w:ascii="Garamond" w:hAnsi="Garamond"/>
        </w:rPr>
        <w:t xml:space="preserve"> outside the rule’s vague text</w:t>
      </w:r>
      <w:r w:rsidR="000D588D" w:rsidRPr="00F90A54">
        <w:rPr>
          <w:rFonts w:ascii="Garamond" w:hAnsi="Garamond"/>
        </w:rPr>
        <w:t xml:space="preserve">. </w:t>
      </w:r>
      <w:r w:rsidR="00435AEE" w:rsidRPr="00F90A54">
        <w:rPr>
          <w:rFonts w:ascii="Garamond" w:hAnsi="Garamond"/>
        </w:rPr>
        <w:t>For instance, i</w:t>
      </w:r>
      <w:r w:rsidR="00AA094C" w:rsidRPr="00F90A54">
        <w:rPr>
          <w:rFonts w:ascii="Garamond" w:hAnsi="Garamond"/>
        </w:rPr>
        <w:t xml:space="preserve">f the outsider wants to provide arguments defending the federal policy, they can </w:t>
      </w:r>
      <w:r w:rsidR="005456D1" w:rsidRPr="00F90A54">
        <w:rPr>
          <w:rFonts w:ascii="Garamond" w:hAnsi="Garamond"/>
        </w:rPr>
        <w:t xml:space="preserve">probably safely predict they will face </w:t>
      </w:r>
      <w:r w:rsidR="00E527AF" w:rsidRPr="00F90A54">
        <w:rPr>
          <w:rFonts w:ascii="Garamond" w:hAnsi="Garamond"/>
          <w:i/>
          <w:iCs/>
        </w:rPr>
        <w:t>some</w:t>
      </w:r>
      <w:r w:rsidR="005456D1" w:rsidRPr="00F90A54">
        <w:rPr>
          <w:rFonts w:ascii="Garamond" w:hAnsi="Garamond"/>
        </w:rPr>
        <w:t xml:space="preserve"> presumption that the government defendant already represents their interests</w:t>
      </w:r>
      <w:r w:rsidR="001B160B" w:rsidRPr="00F90A54">
        <w:rPr>
          <w:rFonts w:ascii="Garamond" w:hAnsi="Garamond"/>
        </w:rPr>
        <w:t xml:space="preserve"> (</w:t>
      </w:r>
      <w:proofErr w:type="gramStart"/>
      <w:r w:rsidR="001B160B" w:rsidRPr="00F90A54">
        <w:rPr>
          <w:rFonts w:ascii="Garamond" w:hAnsi="Garamond"/>
        </w:rPr>
        <w:t>assuming that</w:t>
      </w:r>
      <w:proofErr w:type="gramEnd"/>
      <w:r w:rsidR="001B160B" w:rsidRPr="00F90A54">
        <w:rPr>
          <w:rFonts w:ascii="Garamond" w:hAnsi="Garamond"/>
        </w:rPr>
        <w:t xml:space="preserve"> the court recognizes their </w:t>
      </w:r>
      <w:r w:rsidR="0089576E" w:rsidRPr="00F90A54">
        <w:rPr>
          <w:rFonts w:ascii="Garamond" w:hAnsi="Garamond"/>
        </w:rPr>
        <w:t>interest)</w:t>
      </w:r>
      <w:r w:rsidR="005456D1" w:rsidRPr="00F90A54">
        <w:rPr>
          <w:rFonts w:ascii="Garamond" w:hAnsi="Garamond"/>
        </w:rPr>
        <w:t xml:space="preserve">. </w:t>
      </w:r>
      <w:r w:rsidR="00674B77" w:rsidRPr="00F90A54">
        <w:rPr>
          <w:rFonts w:ascii="Garamond" w:hAnsi="Garamond"/>
        </w:rPr>
        <w:t xml:space="preserve">But the lesson from analyzing intervention in nationwide-injunction cases is that the presumption’s application is </w:t>
      </w:r>
      <w:r w:rsidR="0070255E">
        <w:rPr>
          <w:rFonts w:ascii="Garamond" w:hAnsi="Garamond"/>
        </w:rPr>
        <w:t>far from</w:t>
      </w:r>
      <w:r w:rsidR="00674B77" w:rsidRPr="00F90A54">
        <w:rPr>
          <w:rFonts w:ascii="Garamond" w:hAnsi="Garamond"/>
        </w:rPr>
        <w:t xml:space="preserve"> clear. It is anyone’s guess what the court will require to overcome it.</w:t>
      </w:r>
      <w:r w:rsidR="00ED30E9" w:rsidRPr="00F90A54">
        <w:rPr>
          <w:rStyle w:val="FootnoteReference"/>
          <w:rFonts w:ascii="Garamond" w:hAnsi="Garamond"/>
        </w:rPr>
        <w:footnoteReference w:id="277"/>
      </w:r>
      <w:r w:rsidR="00674B77" w:rsidRPr="00F90A54">
        <w:rPr>
          <w:rFonts w:ascii="Garamond" w:hAnsi="Garamond"/>
        </w:rPr>
        <w:t xml:space="preserve"> </w:t>
      </w:r>
    </w:p>
    <w:p w14:paraId="5B9D02FA" w14:textId="2AF83A6E" w:rsidR="00AA094C" w:rsidRPr="00F90A54" w:rsidRDefault="00B607C2" w:rsidP="001F4A3F">
      <w:pPr>
        <w:ind w:firstLine="360"/>
        <w:jc w:val="both"/>
        <w:rPr>
          <w:rFonts w:ascii="Garamond" w:hAnsi="Garamond"/>
        </w:rPr>
      </w:pPr>
      <w:r w:rsidRPr="00F90A54">
        <w:rPr>
          <w:rFonts w:ascii="Garamond" w:hAnsi="Garamond"/>
        </w:rPr>
        <w:t>The court might, for instance, impose</w:t>
      </w:r>
      <w:r w:rsidR="005456D1" w:rsidRPr="00F90A54">
        <w:rPr>
          <w:rFonts w:ascii="Garamond" w:hAnsi="Garamond"/>
        </w:rPr>
        <w:t xml:space="preserve"> a small burden and just require articulating an individualized interest different from the largescale public interests the government represents.</w:t>
      </w:r>
      <w:r w:rsidR="00E968AC" w:rsidRPr="00F90A54">
        <w:rPr>
          <w:rStyle w:val="FootnoteReference"/>
          <w:rFonts w:ascii="Garamond" w:hAnsi="Garamond"/>
        </w:rPr>
        <w:footnoteReference w:id="278"/>
      </w:r>
      <w:r w:rsidR="005456D1" w:rsidRPr="00F90A54">
        <w:rPr>
          <w:rFonts w:ascii="Garamond" w:hAnsi="Garamond"/>
        </w:rPr>
        <w:t xml:space="preserve"> </w:t>
      </w:r>
      <w:r w:rsidR="00CA57E5" w:rsidRPr="00F90A54">
        <w:rPr>
          <w:rFonts w:ascii="Garamond" w:hAnsi="Garamond"/>
        </w:rPr>
        <w:t xml:space="preserve">Or the court might require </w:t>
      </w:r>
      <w:r w:rsidR="004654F8" w:rsidRPr="00F90A54">
        <w:rPr>
          <w:rFonts w:ascii="Garamond" w:hAnsi="Garamond"/>
        </w:rPr>
        <w:t>intervenors</w:t>
      </w:r>
      <w:r w:rsidR="00CA57E5" w:rsidRPr="00F90A54">
        <w:rPr>
          <w:rFonts w:ascii="Garamond" w:hAnsi="Garamond"/>
        </w:rPr>
        <w:t xml:space="preserve"> to articulate different legal arguments that the government is unlikely to make.</w:t>
      </w:r>
      <w:r w:rsidR="000A1360" w:rsidRPr="00F90A54">
        <w:rPr>
          <w:rStyle w:val="FootnoteReference"/>
          <w:rFonts w:ascii="Garamond" w:hAnsi="Garamond"/>
        </w:rPr>
        <w:footnoteReference w:id="279"/>
      </w:r>
      <w:r w:rsidR="00CA57E5" w:rsidRPr="00F90A54">
        <w:rPr>
          <w:rFonts w:ascii="Garamond" w:hAnsi="Garamond"/>
        </w:rPr>
        <w:t xml:space="preserve"> The government might have even needed to oppose that argument earlier in the litigation.</w:t>
      </w:r>
      <w:r w:rsidR="00CA57E5" w:rsidRPr="00F90A54">
        <w:rPr>
          <w:rStyle w:val="FootnoteReference"/>
          <w:rFonts w:ascii="Garamond" w:hAnsi="Garamond"/>
        </w:rPr>
        <w:footnoteReference w:id="280"/>
      </w:r>
      <w:r w:rsidR="00CA57E5" w:rsidRPr="00F90A54">
        <w:rPr>
          <w:rFonts w:ascii="Garamond" w:hAnsi="Garamond"/>
        </w:rPr>
        <w:t xml:space="preserve"> </w:t>
      </w:r>
      <w:r w:rsidR="00CF4B6E" w:rsidRPr="00F90A54">
        <w:rPr>
          <w:rFonts w:ascii="Garamond" w:hAnsi="Garamond"/>
        </w:rPr>
        <w:t xml:space="preserve">But to some courts, this will be insufficient, and the outsider needs to show a conflict between their interests and the government’s. Or the court </w:t>
      </w:r>
      <w:r w:rsidR="009A2984" w:rsidRPr="00F90A54">
        <w:rPr>
          <w:rFonts w:ascii="Garamond" w:hAnsi="Garamond"/>
        </w:rPr>
        <w:t xml:space="preserve">will say that so long as the outsider and the government seek the same ultimate objective—articulated at degrees of generality varying from “the objective is for the court to uphold the policy for this legal reason” </w:t>
      </w:r>
      <w:r w:rsidR="009A2984" w:rsidRPr="00F90A54">
        <w:rPr>
          <w:rFonts w:ascii="Garamond" w:hAnsi="Garamond"/>
        </w:rPr>
        <w:lastRenderedPageBreak/>
        <w:t xml:space="preserve">to “the objective is for the court to uphold the policy at all”—the outsider has no opportunity to participate except as </w:t>
      </w:r>
      <w:r w:rsidR="001F576B" w:rsidRPr="00F90A54">
        <w:rPr>
          <w:rFonts w:ascii="Garamond" w:hAnsi="Garamond"/>
        </w:rPr>
        <w:t xml:space="preserve">amicus curiae. </w:t>
      </w:r>
    </w:p>
    <w:p w14:paraId="784DD1F5" w14:textId="0B8164C5" w:rsidR="00C271CB" w:rsidRPr="00F90A54" w:rsidRDefault="003F25A3" w:rsidP="001F4A3F">
      <w:pPr>
        <w:ind w:firstLine="360"/>
        <w:jc w:val="both"/>
        <w:rPr>
          <w:rFonts w:ascii="Garamond" w:hAnsi="Garamond"/>
        </w:rPr>
      </w:pPr>
      <w:r w:rsidRPr="00F90A54">
        <w:rPr>
          <w:rFonts w:ascii="Garamond" w:hAnsi="Garamond"/>
        </w:rPr>
        <w:t>This scheme provides no clear “points of access</w:t>
      </w:r>
      <w:r w:rsidR="00A11D6A" w:rsidRPr="00F90A54">
        <w:rPr>
          <w:rFonts w:ascii="Garamond" w:hAnsi="Garamond"/>
        </w:rPr>
        <w:t>” for</w:t>
      </w:r>
      <w:r w:rsidR="00D41BA3" w:rsidRPr="00F90A54">
        <w:rPr>
          <w:rFonts w:ascii="Garamond" w:hAnsi="Garamond"/>
        </w:rPr>
        <w:t xml:space="preserve"> </w:t>
      </w:r>
      <w:r w:rsidR="00A11D6A" w:rsidRPr="00F90A54">
        <w:rPr>
          <w:rFonts w:ascii="Garamond" w:hAnsi="Garamond"/>
        </w:rPr>
        <w:t>individuals</w:t>
      </w:r>
      <w:r w:rsidRPr="00F90A54">
        <w:rPr>
          <w:rFonts w:ascii="Garamond" w:hAnsi="Garamond"/>
        </w:rPr>
        <w:t xml:space="preserve"> </w:t>
      </w:r>
      <w:r w:rsidR="00D41BA3" w:rsidRPr="00F90A54">
        <w:rPr>
          <w:rFonts w:ascii="Garamond" w:hAnsi="Garamond"/>
        </w:rPr>
        <w:t>to have a voice in the legal process.</w:t>
      </w:r>
      <w:r w:rsidRPr="00F90A54">
        <w:rPr>
          <w:rStyle w:val="FootnoteReference"/>
          <w:rFonts w:ascii="Garamond" w:hAnsi="Garamond"/>
        </w:rPr>
        <w:footnoteReference w:id="281"/>
      </w:r>
      <w:r w:rsidR="003855A7" w:rsidRPr="00F90A54">
        <w:rPr>
          <w:rFonts w:ascii="Garamond" w:hAnsi="Garamond"/>
        </w:rPr>
        <w:t xml:space="preserve"> </w:t>
      </w:r>
      <w:r w:rsidR="005E1EB0" w:rsidRPr="00F90A54">
        <w:rPr>
          <w:rFonts w:ascii="Garamond" w:hAnsi="Garamond"/>
        </w:rPr>
        <w:t xml:space="preserve">It therefore fails to protect </w:t>
      </w:r>
      <w:r w:rsidR="009449DF" w:rsidRPr="00F90A54">
        <w:rPr>
          <w:rFonts w:ascii="Garamond" w:hAnsi="Garamond"/>
        </w:rPr>
        <w:t xml:space="preserve">the </w:t>
      </w:r>
      <w:r w:rsidR="00DF6E9B" w:rsidRPr="00F90A54">
        <w:rPr>
          <w:rFonts w:ascii="Garamond" w:hAnsi="Garamond"/>
        </w:rPr>
        <w:t xml:space="preserve">individual </w:t>
      </w:r>
      <w:r w:rsidR="009449DF" w:rsidRPr="00F90A54">
        <w:rPr>
          <w:rFonts w:ascii="Garamond" w:hAnsi="Garamond"/>
        </w:rPr>
        <w:t xml:space="preserve">dignitary interests </w:t>
      </w:r>
      <w:r w:rsidR="00DF6E9B" w:rsidRPr="00F90A54">
        <w:rPr>
          <w:rFonts w:ascii="Garamond" w:hAnsi="Garamond"/>
        </w:rPr>
        <w:t xml:space="preserve">by providing a navigable path to </w:t>
      </w:r>
      <w:r w:rsidR="0070255E">
        <w:rPr>
          <w:rFonts w:ascii="Garamond" w:hAnsi="Garamond"/>
        </w:rPr>
        <w:t xml:space="preserve">enter </w:t>
      </w:r>
      <w:r w:rsidR="00DF6E9B" w:rsidRPr="00F90A54">
        <w:rPr>
          <w:rFonts w:ascii="Garamond" w:hAnsi="Garamond"/>
        </w:rPr>
        <w:t>the case</w:t>
      </w:r>
      <w:r w:rsidR="00C271CB" w:rsidRPr="00F90A54">
        <w:rPr>
          <w:rFonts w:ascii="Garamond" w:hAnsi="Garamond"/>
        </w:rPr>
        <w:t>, deterring participation</w:t>
      </w:r>
      <w:r w:rsidR="00B72D31" w:rsidRPr="00F90A54">
        <w:rPr>
          <w:rFonts w:ascii="Garamond" w:hAnsi="Garamond"/>
        </w:rPr>
        <w:t>. This</w:t>
      </w:r>
      <w:r w:rsidR="00B6110F" w:rsidRPr="00F90A54">
        <w:rPr>
          <w:rFonts w:ascii="Garamond" w:hAnsi="Garamond"/>
        </w:rPr>
        <w:t>,</w:t>
      </w:r>
      <w:r w:rsidR="00B72D31" w:rsidRPr="00F90A54">
        <w:rPr>
          <w:rFonts w:ascii="Garamond" w:hAnsi="Garamond"/>
        </w:rPr>
        <w:t xml:space="preserve"> in turn</w:t>
      </w:r>
      <w:r w:rsidR="00B6110F" w:rsidRPr="00F90A54">
        <w:rPr>
          <w:rFonts w:ascii="Garamond" w:hAnsi="Garamond"/>
        </w:rPr>
        <w:t>,</w:t>
      </w:r>
      <w:r w:rsidR="00B72D31" w:rsidRPr="00F90A54">
        <w:rPr>
          <w:rFonts w:ascii="Garamond" w:hAnsi="Garamond"/>
        </w:rPr>
        <w:t xml:space="preserve"> reduces confidence that the</w:t>
      </w:r>
      <w:r w:rsidR="0052293A" w:rsidRPr="00F90A54">
        <w:rPr>
          <w:rFonts w:ascii="Garamond" w:hAnsi="Garamond"/>
        </w:rPr>
        <w:t xml:space="preserve"> outcome </w:t>
      </w:r>
      <w:r w:rsidR="00B72D31" w:rsidRPr="00F90A54">
        <w:rPr>
          <w:rFonts w:ascii="Garamond" w:hAnsi="Garamond"/>
        </w:rPr>
        <w:t>is the product of informed decision-making, undermining the legitimacy of the court’s order.</w:t>
      </w:r>
      <w:r w:rsidR="001F0B23" w:rsidRPr="00F90A54">
        <w:rPr>
          <w:rStyle w:val="FootnoteReference"/>
          <w:rFonts w:ascii="Garamond" w:hAnsi="Garamond"/>
        </w:rPr>
        <w:footnoteReference w:id="282"/>
      </w:r>
      <w:r w:rsidR="00467EFE" w:rsidRPr="00F90A54">
        <w:rPr>
          <w:rFonts w:ascii="Garamond" w:hAnsi="Garamond"/>
        </w:rPr>
        <w:t xml:space="preserve"> </w:t>
      </w:r>
      <w:r w:rsidR="00E45F2D" w:rsidRPr="00F90A54">
        <w:rPr>
          <w:rFonts w:ascii="Garamond" w:hAnsi="Garamond"/>
        </w:rPr>
        <w:t xml:space="preserve">For instance, consider the intervenors who assert that their participation is necessary because no other party has presented the perspective of the individual or entity who will be directly harmed or benefited by the challenged policy. </w:t>
      </w:r>
      <w:r w:rsidR="00FF67CC" w:rsidRPr="00F90A54">
        <w:rPr>
          <w:rFonts w:ascii="Garamond" w:hAnsi="Garamond"/>
        </w:rPr>
        <w:t xml:space="preserve">Or who wish to develop the factual record to support or argue against a nationwide remedy. </w:t>
      </w:r>
      <w:r w:rsidR="00E45F2D" w:rsidRPr="00F90A54">
        <w:rPr>
          <w:rFonts w:ascii="Garamond" w:hAnsi="Garamond"/>
        </w:rPr>
        <w:t xml:space="preserve">When the court excludes their participation, it is difficult to </w:t>
      </w:r>
      <w:r w:rsidR="00A549F0" w:rsidRPr="00F90A54">
        <w:rPr>
          <w:rFonts w:ascii="Garamond" w:hAnsi="Garamond"/>
        </w:rPr>
        <w:t xml:space="preserve">trust </w:t>
      </w:r>
      <w:r w:rsidR="0090330A">
        <w:rPr>
          <w:rFonts w:ascii="Garamond" w:hAnsi="Garamond"/>
        </w:rPr>
        <w:t>the accuracy and thoroughness of the court’s decision</w:t>
      </w:r>
      <w:r w:rsidR="00A549F0" w:rsidRPr="00F90A54">
        <w:rPr>
          <w:rFonts w:ascii="Garamond" w:hAnsi="Garamond"/>
        </w:rPr>
        <w:t xml:space="preserve">. </w:t>
      </w:r>
      <w:r w:rsidR="00467EFE" w:rsidRPr="00F90A54">
        <w:rPr>
          <w:rFonts w:ascii="Garamond" w:hAnsi="Garamond"/>
        </w:rPr>
        <w:t xml:space="preserve">Given the institutional risks </w:t>
      </w:r>
      <w:r w:rsidR="001E6EDD" w:rsidRPr="00F90A54">
        <w:rPr>
          <w:rFonts w:ascii="Garamond" w:hAnsi="Garamond"/>
        </w:rPr>
        <w:t>posed by nationwide injunctions</w:t>
      </w:r>
      <w:r w:rsidR="00172041" w:rsidRPr="00F90A54">
        <w:rPr>
          <w:rFonts w:ascii="Garamond" w:hAnsi="Garamond"/>
        </w:rPr>
        <w:t>,</w:t>
      </w:r>
      <w:r w:rsidR="001E6EDD" w:rsidRPr="00F90A54">
        <w:rPr>
          <w:rFonts w:ascii="Garamond" w:hAnsi="Garamond"/>
        </w:rPr>
        <w:t xml:space="preserve"> </w:t>
      </w:r>
      <w:r w:rsidR="00172041" w:rsidRPr="00F90A54">
        <w:rPr>
          <w:rFonts w:ascii="Garamond" w:hAnsi="Garamond"/>
        </w:rPr>
        <w:t>this outcome should give us pause that intervention is striking the right balance of procedural values.</w:t>
      </w:r>
    </w:p>
    <w:p w14:paraId="729AF59C" w14:textId="05A342B3" w:rsidR="003B02EB" w:rsidRPr="00F90A54" w:rsidRDefault="009D5826" w:rsidP="001F4A3F">
      <w:pPr>
        <w:ind w:firstLine="360"/>
        <w:jc w:val="both"/>
        <w:rPr>
          <w:rFonts w:ascii="Garamond" w:hAnsi="Garamond"/>
        </w:rPr>
      </w:pPr>
      <w:r w:rsidRPr="00F90A54">
        <w:rPr>
          <w:rFonts w:ascii="Garamond" w:hAnsi="Garamond"/>
        </w:rPr>
        <w:t xml:space="preserve">But this does not mean that unpredictable and inconsistent intervention doctrine affects </w:t>
      </w:r>
      <w:r w:rsidR="00AD0F83" w:rsidRPr="00F90A54">
        <w:rPr>
          <w:rFonts w:ascii="Garamond" w:hAnsi="Garamond"/>
        </w:rPr>
        <w:t xml:space="preserve">all outsiders equally. </w:t>
      </w:r>
      <w:r w:rsidR="00E61B24" w:rsidRPr="00F90A54">
        <w:rPr>
          <w:rFonts w:ascii="Garamond" w:hAnsi="Garamond"/>
        </w:rPr>
        <w:t xml:space="preserve">Not all intervenors ask for or warrant the same participatory rights. </w:t>
      </w:r>
      <w:r w:rsidR="00FA338C" w:rsidRPr="00F90A54">
        <w:rPr>
          <w:rFonts w:ascii="Garamond" w:hAnsi="Garamond"/>
        </w:rPr>
        <w:t>Outsiders</w:t>
      </w:r>
      <w:r w:rsidR="00554340" w:rsidRPr="00F90A54">
        <w:rPr>
          <w:rFonts w:ascii="Garamond" w:hAnsi="Garamond"/>
        </w:rPr>
        <w:t xml:space="preserve"> who intervene to </w:t>
      </w:r>
      <w:r w:rsidR="00FA338C" w:rsidRPr="00F90A54">
        <w:rPr>
          <w:rFonts w:ascii="Garamond" w:hAnsi="Garamond"/>
        </w:rPr>
        <w:t xml:space="preserve">supplement the original party’s presentation with </w:t>
      </w:r>
      <w:r w:rsidR="00554340" w:rsidRPr="00F90A54">
        <w:rPr>
          <w:rFonts w:ascii="Garamond" w:hAnsi="Garamond"/>
        </w:rPr>
        <w:t>arguments and evidence</w:t>
      </w:r>
      <w:r w:rsidR="00923FFA" w:rsidRPr="00F90A54">
        <w:rPr>
          <w:rFonts w:ascii="Garamond" w:hAnsi="Garamond"/>
        </w:rPr>
        <w:t>,</w:t>
      </w:r>
      <w:r w:rsidR="00487CB5" w:rsidRPr="00F90A54">
        <w:rPr>
          <w:rFonts w:ascii="Garamond" w:hAnsi="Garamond"/>
        </w:rPr>
        <w:t xml:space="preserve"> </w:t>
      </w:r>
      <w:r w:rsidR="00554340" w:rsidRPr="00F90A54">
        <w:rPr>
          <w:rFonts w:ascii="Garamond" w:hAnsi="Garamond"/>
        </w:rPr>
        <w:t xml:space="preserve">or </w:t>
      </w:r>
      <w:r w:rsidR="0090330A">
        <w:rPr>
          <w:rFonts w:ascii="Garamond" w:hAnsi="Garamond"/>
        </w:rPr>
        <w:t xml:space="preserve">to </w:t>
      </w:r>
      <w:r w:rsidR="00554340" w:rsidRPr="00F90A54">
        <w:rPr>
          <w:rFonts w:ascii="Garamond" w:hAnsi="Garamond"/>
        </w:rPr>
        <w:t>shift the narrative frame of the litigation</w:t>
      </w:r>
      <w:r w:rsidR="00923FFA" w:rsidRPr="00F90A54">
        <w:rPr>
          <w:rFonts w:ascii="Garamond" w:hAnsi="Garamond"/>
        </w:rPr>
        <w:t>,</w:t>
      </w:r>
      <w:r w:rsidR="003B02EB" w:rsidRPr="00F90A54">
        <w:rPr>
          <w:rFonts w:ascii="Garamond" w:hAnsi="Garamond"/>
        </w:rPr>
        <w:t xml:space="preserve"> </w:t>
      </w:r>
      <w:r w:rsidR="00554340" w:rsidRPr="00F90A54">
        <w:rPr>
          <w:rFonts w:ascii="Garamond" w:hAnsi="Garamond"/>
        </w:rPr>
        <w:t xml:space="preserve">might not need </w:t>
      </w:r>
      <w:r w:rsidR="00E53215" w:rsidRPr="00F90A54">
        <w:rPr>
          <w:rFonts w:ascii="Garamond" w:hAnsi="Garamond"/>
        </w:rPr>
        <w:t xml:space="preserve">full </w:t>
      </w:r>
      <w:r w:rsidR="000526C6" w:rsidRPr="00F90A54">
        <w:rPr>
          <w:rFonts w:ascii="Garamond" w:hAnsi="Garamond"/>
        </w:rPr>
        <w:t>access as a</w:t>
      </w:r>
      <w:r w:rsidR="00E53215" w:rsidRPr="00F90A54">
        <w:rPr>
          <w:rFonts w:ascii="Garamond" w:hAnsi="Garamond"/>
        </w:rPr>
        <w:t xml:space="preserve"> party to satisfy that goal. </w:t>
      </w:r>
      <w:r w:rsidR="00923FFA" w:rsidRPr="00F90A54">
        <w:rPr>
          <w:rFonts w:ascii="Garamond" w:hAnsi="Garamond"/>
        </w:rPr>
        <w:t xml:space="preserve">So long as they </w:t>
      </w:r>
      <w:r w:rsidR="00602909" w:rsidRPr="00F90A54">
        <w:rPr>
          <w:rFonts w:ascii="Garamond" w:hAnsi="Garamond"/>
        </w:rPr>
        <w:t>can</w:t>
      </w:r>
      <w:r w:rsidR="00923FFA" w:rsidRPr="00F90A54">
        <w:rPr>
          <w:rFonts w:ascii="Garamond" w:hAnsi="Garamond"/>
        </w:rPr>
        <w:t xml:space="preserve"> </w:t>
      </w:r>
      <w:r w:rsidR="001C75A8" w:rsidRPr="00F90A54">
        <w:rPr>
          <w:rFonts w:ascii="Garamond" w:hAnsi="Garamond"/>
        </w:rPr>
        <w:t>“tell their story in their own way”</w:t>
      </w:r>
      <w:r w:rsidR="00923FFA" w:rsidRPr="00F90A54">
        <w:rPr>
          <w:rStyle w:val="FootnoteReference"/>
          <w:rFonts w:ascii="Garamond" w:hAnsi="Garamond"/>
        </w:rPr>
        <w:footnoteReference w:id="283"/>
      </w:r>
      <w:r w:rsidR="00923FFA" w:rsidRPr="00F90A54">
        <w:rPr>
          <w:rFonts w:ascii="Garamond" w:hAnsi="Garamond"/>
        </w:rPr>
        <w:t xml:space="preserve"> in an amicus brief</w:t>
      </w:r>
      <w:r w:rsidR="00602909" w:rsidRPr="00F90A54">
        <w:rPr>
          <w:rFonts w:ascii="Garamond" w:hAnsi="Garamond"/>
        </w:rPr>
        <w:t xml:space="preserve"> or through conditional intervention</w:t>
      </w:r>
      <w:r w:rsidR="00923FFA" w:rsidRPr="00F90A54">
        <w:rPr>
          <w:rFonts w:ascii="Garamond" w:hAnsi="Garamond"/>
        </w:rPr>
        <w:t xml:space="preserve">, then </w:t>
      </w:r>
      <w:r w:rsidR="0090330A">
        <w:rPr>
          <w:rFonts w:ascii="Garamond" w:hAnsi="Garamond"/>
        </w:rPr>
        <w:t>other</w:t>
      </w:r>
      <w:r w:rsidR="00923FFA" w:rsidRPr="00F90A54">
        <w:rPr>
          <w:rFonts w:ascii="Garamond" w:hAnsi="Garamond"/>
        </w:rPr>
        <w:t xml:space="preserve"> procedures might protect </w:t>
      </w:r>
      <w:r w:rsidR="002C0EFC" w:rsidRPr="00F90A54">
        <w:rPr>
          <w:rFonts w:ascii="Garamond" w:hAnsi="Garamond"/>
        </w:rPr>
        <w:t>their</w:t>
      </w:r>
      <w:r w:rsidR="00923FFA" w:rsidRPr="00F90A54">
        <w:rPr>
          <w:rFonts w:ascii="Garamond" w:hAnsi="Garamond"/>
        </w:rPr>
        <w:t xml:space="preserve"> interest</w:t>
      </w:r>
      <w:r w:rsidR="002C0EFC" w:rsidRPr="00F90A54">
        <w:rPr>
          <w:rFonts w:ascii="Garamond" w:hAnsi="Garamond"/>
        </w:rPr>
        <w:t>s and bolster the court’s legitimacy</w:t>
      </w:r>
      <w:r w:rsidR="00923FFA" w:rsidRPr="00F90A54">
        <w:rPr>
          <w:rFonts w:ascii="Garamond" w:hAnsi="Garamond"/>
        </w:rPr>
        <w:t>.</w:t>
      </w:r>
      <w:r w:rsidR="00B419F9" w:rsidRPr="00F90A54">
        <w:rPr>
          <w:rStyle w:val="FootnoteReference"/>
          <w:rFonts w:ascii="Garamond" w:hAnsi="Garamond"/>
        </w:rPr>
        <w:footnoteReference w:id="284"/>
      </w:r>
      <w:r w:rsidR="00923FFA" w:rsidRPr="00F90A54">
        <w:rPr>
          <w:rFonts w:ascii="Garamond" w:hAnsi="Garamond"/>
        </w:rPr>
        <w:t xml:space="preserve"> </w:t>
      </w:r>
      <w:r w:rsidR="00622C65" w:rsidRPr="00F90A54">
        <w:rPr>
          <w:rFonts w:ascii="Garamond" w:hAnsi="Garamond"/>
        </w:rPr>
        <w:t xml:space="preserve">By contrast, those </w:t>
      </w:r>
      <w:r w:rsidR="00002AF2" w:rsidRPr="00F90A54">
        <w:rPr>
          <w:rFonts w:ascii="Garamond" w:hAnsi="Garamond"/>
        </w:rPr>
        <w:t>defending a legal claim</w:t>
      </w:r>
      <w:r w:rsidR="00CA61E1" w:rsidRPr="00F90A54">
        <w:rPr>
          <w:rFonts w:ascii="Garamond" w:hAnsi="Garamond"/>
        </w:rPr>
        <w:t xml:space="preserve"> </w:t>
      </w:r>
      <w:r w:rsidR="007E4504" w:rsidRPr="00F90A54">
        <w:rPr>
          <w:rFonts w:ascii="Garamond" w:hAnsi="Garamond"/>
        </w:rPr>
        <w:t xml:space="preserve">will likely </w:t>
      </w:r>
      <w:r w:rsidR="00002AF2" w:rsidRPr="00F90A54">
        <w:rPr>
          <w:rFonts w:ascii="Garamond" w:hAnsi="Garamond"/>
        </w:rPr>
        <w:t xml:space="preserve">require similar participation rights as the original parties. </w:t>
      </w:r>
      <w:r w:rsidR="005F192E" w:rsidRPr="00F90A54">
        <w:rPr>
          <w:rFonts w:ascii="Garamond" w:hAnsi="Garamond"/>
        </w:rPr>
        <w:t xml:space="preserve">A thoughtful procedural design will need to </w:t>
      </w:r>
      <w:r w:rsidR="003B02EB" w:rsidRPr="00F90A54">
        <w:rPr>
          <w:rFonts w:ascii="Garamond" w:hAnsi="Garamond"/>
        </w:rPr>
        <w:t>parse the interest</w:t>
      </w:r>
      <w:r w:rsidR="006F7E9C" w:rsidRPr="00F90A54">
        <w:rPr>
          <w:rFonts w:ascii="Garamond" w:hAnsi="Garamond"/>
        </w:rPr>
        <w:t>s</w:t>
      </w:r>
      <w:r w:rsidR="003B02EB" w:rsidRPr="00F90A54">
        <w:rPr>
          <w:rFonts w:ascii="Garamond" w:hAnsi="Garamond"/>
        </w:rPr>
        <w:t xml:space="preserve"> the outsider is seeking to protect to determine the extent of protection warranted. </w:t>
      </w:r>
    </w:p>
    <w:p w14:paraId="28B89118" w14:textId="4C5477E7" w:rsidR="00EB5F64" w:rsidRPr="00F90A54" w:rsidRDefault="00083950" w:rsidP="001F4A3F">
      <w:pPr>
        <w:ind w:firstLine="360"/>
        <w:jc w:val="both"/>
        <w:rPr>
          <w:rFonts w:ascii="Garamond" w:hAnsi="Garamond"/>
        </w:rPr>
      </w:pPr>
      <w:r w:rsidRPr="00F90A54">
        <w:rPr>
          <w:rFonts w:ascii="Garamond" w:hAnsi="Garamond"/>
        </w:rPr>
        <w:t xml:space="preserve">2. </w:t>
      </w:r>
      <w:r w:rsidRPr="00F90A54">
        <w:rPr>
          <w:rFonts w:ascii="Garamond" w:hAnsi="Garamond"/>
          <w:i/>
          <w:iCs/>
        </w:rPr>
        <w:t>Judicial Efficiency</w:t>
      </w:r>
      <w:r w:rsidRPr="00F90A54">
        <w:rPr>
          <w:rFonts w:ascii="Garamond" w:hAnsi="Garamond"/>
        </w:rPr>
        <w:t xml:space="preserve">. </w:t>
      </w:r>
      <w:r w:rsidR="00A513C0" w:rsidRPr="00F90A54">
        <w:rPr>
          <w:rFonts w:ascii="Garamond" w:hAnsi="Garamond"/>
        </w:rPr>
        <w:t>This cost to participatory rights might be defensible if it ca</w:t>
      </w:r>
      <w:r w:rsidR="009F0D85" w:rsidRPr="00F90A54">
        <w:rPr>
          <w:rFonts w:ascii="Garamond" w:hAnsi="Garamond"/>
        </w:rPr>
        <w:t>me</w:t>
      </w:r>
      <w:r w:rsidR="00A513C0" w:rsidRPr="00F90A54">
        <w:rPr>
          <w:rFonts w:ascii="Garamond" w:hAnsi="Garamond"/>
        </w:rPr>
        <w:t xml:space="preserve"> with a valuable increase in judicial </w:t>
      </w:r>
      <w:r w:rsidR="00EB49B2" w:rsidRPr="00F90A54">
        <w:rPr>
          <w:rFonts w:ascii="Garamond" w:hAnsi="Garamond"/>
        </w:rPr>
        <w:t>efficiency</w:t>
      </w:r>
      <w:r w:rsidR="00A513C0" w:rsidRPr="00F90A54">
        <w:rPr>
          <w:rFonts w:ascii="Garamond" w:hAnsi="Garamond"/>
        </w:rPr>
        <w:t xml:space="preserve"> and party control. </w:t>
      </w:r>
      <w:r w:rsidR="0071482A" w:rsidRPr="00F90A54">
        <w:rPr>
          <w:rFonts w:ascii="Garamond" w:hAnsi="Garamond"/>
        </w:rPr>
        <w:t xml:space="preserve">But </w:t>
      </w:r>
      <w:r w:rsidR="004E0C6E" w:rsidRPr="00F90A54">
        <w:rPr>
          <w:rFonts w:ascii="Garamond" w:hAnsi="Garamond"/>
        </w:rPr>
        <w:t>it does not.</w:t>
      </w:r>
      <w:r w:rsidR="00F26CE9" w:rsidRPr="00F90A54">
        <w:rPr>
          <w:rStyle w:val="FootnoteReference"/>
          <w:rFonts w:ascii="Garamond" w:hAnsi="Garamond"/>
        </w:rPr>
        <w:footnoteReference w:id="285"/>
      </w:r>
      <w:r w:rsidR="00ED06A2" w:rsidRPr="00F90A54">
        <w:rPr>
          <w:rFonts w:ascii="Garamond" w:hAnsi="Garamond"/>
        </w:rPr>
        <w:t xml:space="preserve"> Nationwide-injunction </w:t>
      </w:r>
      <w:r w:rsidR="00D82E0C" w:rsidRPr="00F90A54">
        <w:rPr>
          <w:rFonts w:ascii="Garamond" w:hAnsi="Garamond"/>
        </w:rPr>
        <w:t>cases</w:t>
      </w:r>
      <w:r w:rsidR="00ED06A2" w:rsidRPr="00F90A54">
        <w:rPr>
          <w:rFonts w:ascii="Garamond" w:hAnsi="Garamond"/>
        </w:rPr>
        <w:t xml:space="preserve"> </w:t>
      </w:r>
      <w:r w:rsidR="004654F8" w:rsidRPr="00F90A54">
        <w:rPr>
          <w:rFonts w:ascii="Garamond" w:hAnsi="Garamond"/>
        </w:rPr>
        <w:t xml:space="preserve">often </w:t>
      </w:r>
      <w:r w:rsidR="00ED06A2" w:rsidRPr="00F90A54">
        <w:rPr>
          <w:rFonts w:ascii="Garamond" w:hAnsi="Garamond"/>
        </w:rPr>
        <w:t>attract multiple outsiders who seek to participate</w:t>
      </w:r>
      <w:r w:rsidR="00B046D6" w:rsidRPr="00F90A54">
        <w:rPr>
          <w:rFonts w:ascii="Garamond" w:hAnsi="Garamond"/>
        </w:rPr>
        <w:t xml:space="preserve"> in </w:t>
      </w:r>
      <w:r w:rsidR="00B046D6" w:rsidRPr="00F90A54">
        <w:rPr>
          <w:rFonts w:ascii="Garamond" w:hAnsi="Garamond"/>
        </w:rPr>
        <w:lastRenderedPageBreak/>
        <w:t>the same suit</w:t>
      </w:r>
      <w:r w:rsidR="00D54536" w:rsidRPr="00F90A54">
        <w:rPr>
          <w:rFonts w:ascii="Garamond" w:hAnsi="Garamond"/>
        </w:rPr>
        <w:t>, at all stages of the litigation</w:t>
      </w:r>
      <w:r w:rsidR="00A42F9D" w:rsidRPr="00F90A54">
        <w:rPr>
          <w:rFonts w:ascii="Garamond" w:hAnsi="Garamond"/>
        </w:rPr>
        <w:t>. T</w:t>
      </w:r>
      <w:r w:rsidR="00B046D6" w:rsidRPr="00F90A54">
        <w:rPr>
          <w:rFonts w:ascii="Garamond" w:hAnsi="Garamond"/>
        </w:rPr>
        <w:t xml:space="preserve">he discretionary control </w:t>
      </w:r>
      <w:r w:rsidR="00F26CE9" w:rsidRPr="00F90A54">
        <w:rPr>
          <w:rFonts w:ascii="Garamond" w:hAnsi="Garamond"/>
        </w:rPr>
        <w:t>judge</w:t>
      </w:r>
      <w:r w:rsidR="004654F8" w:rsidRPr="00F90A54">
        <w:rPr>
          <w:rFonts w:ascii="Garamond" w:hAnsi="Garamond"/>
        </w:rPr>
        <w:t>s</w:t>
      </w:r>
      <w:r w:rsidR="00F26CE9" w:rsidRPr="00F90A54">
        <w:rPr>
          <w:rFonts w:ascii="Garamond" w:hAnsi="Garamond"/>
        </w:rPr>
        <w:t xml:space="preserve"> have </w:t>
      </w:r>
      <w:r w:rsidR="00B046D6" w:rsidRPr="00F90A54">
        <w:rPr>
          <w:rFonts w:ascii="Garamond" w:hAnsi="Garamond"/>
        </w:rPr>
        <w:t xml:space="preserve">over intervention encourages parties to vigorously </w:t>
      </w:r>
      <w:r w:rsidR="008408C8" w:rsidRPr="00F90A54">
        <w:rPr>
          <w:rFonts w:ascii="Garamond" w:hAnsi="Garamond"/>
        </w:rPr>
        <w:t xml:space="preserve">contest the right of outsiders to participate, driving up the time and resources that must be spent considering the motions. </w:t>
      </w:r>
      <w:r w:rsidR="00E05335" w:rsidRPr="00F90A54">
        <w:rPr>
          <w:rFonts w:ascii="Garamond" w:hAnsi="Garamond"/>
        </w:rPr>
        <w:t xml:space="preserve">And the </w:t>
      </w:r>
      <w:proofErr w:type="gramStart"/>
      <w:r w:rsidR="00E05335" w:rsidRPr="00F90A54">
        <w:rPr>
          <w:rFonts w:ascii="Garamond" w:hAnsi="Garamond"/>
        </w:rPr>
        <w:t>stakes</w:t>
      </w:r>
      <w:proofErr w:type="gramEnd"/>
      <w:r w:rsidR="00E05335" w:rsidRPr="00F90A54">
        <w:rPr>
          <w:rFonts w:ascii="Garamond" w:hAnsi="Garamond"/>
        </w:rPr>
        <w:t xml:space="preserve"> of a nationwide injunction further incentivizes nonparties to seek time-intensive interlocutory appeals when courts deny their right to intervene.</w:t>
      </w:r>
    </w:p>
    <w:p w14:paraId="4AABDDBE" w14:textId="35D6BB59" w:rsidR="00B47A6B" w:rsidRPr="00F90A54" w:rsidRDefault="00CD2103" w:rsidP="001F4A3F">
      <w:pPr>
        <w:ind w:firstLine="360"/>
        <w:jc w:val="both"/>
        <w:rPr>
          <w:rFonts w:ascii="Garamond" w:hAnsi="Garamond"/>
        </w:rPr>
      </w:pPr>
      <w:r w:rsidRPr="00F90A54">
        <w:rPr>
          <w:rFonts w:ascii="Garamond" w:hAnsi="Garamond"/>
        </w:rPr>
        <w:t>The d</w:t>
      </w:r>
      <w:r w:rsidR="007500FF" w:rsidRPr="00F90A54">
        <w:rPr>
          <w:rFonts w:ascii="Garamond" w:hAnsi="Garamond"/>
        </w:rPr>
        <w:t xml:space="preserve">ifferent </w:t>
      </w:r>
      <w:r w:rsidR="008E5997">
        <w:rPr>
          <w:rFonts w:ascii="Garamond" w:hAnsi="Garamond"/>
        </w:rPr>
        <w:t>motives</w:t>
      </w:r>
      <w:r w:rsidRPr="00F90A54">
        <w:rPr>
          <w:rFonts w:ascii="Garamond" w:hAnsi="Garamond"/>
        </w:rPr>
        <w:t xml:space="preserve"> outsiders </w:t>
      </w:r>
      <w:proofErr w:type="gramStart"/>
      <w:r w:rsidRPr="00F90A54">
        <w:rPr>
          <w:rFonts w:ascii="Garamond" w:hAnsi="Garamond"/>
        </w:rPr>
        <w:t>have to</w:t>
      </w:r>
      <w:proofErr w:type="gramEnd"/>
      <w:r w:rsidRPr="00F90A54">
        <w:rPr>
          <w:rFonts w:ascii="Garamond" w:hAnsi="Garamond"/>
        </w:rPr>
        <w:t xml:space="preserve"> intervene </w:t>
      </w:r>
      <w:r w:rsidR="007500FF" w:rsidRPr="00F90A54">
        <w:rPr>
          <w:rFonts w:ascii="Garamond" w:hAnsi="Garamond"/>
        </w:rPr>
        <w:t xml:space="preserve">can also have different efficiency costs. </w:t>
      </w:r>
      <w:r w:rsidR="00EB5F64" w:rsidRPr="00F90A54">
        <w:rPr>
          <w:rFonts w:ascii="Garamond" w:hAnsi="Garamond"/>
        </w:rPr>
        <w:t xml:space="preserve">Intervenors who wish to present additional arguments, evidence, or a narrative framing </w:t>
      </w:r>
      <w:r w:rsidR="00545AF6" w:rsidRPr="00F90A54">
        <w:rPr>
          <w:rFonts w:ascii="Garamond" w:hAnsi="Garamond"/>
        </w:rPr>
        <w:t>might</w:t>
      </w:r>
      <w:r w:rsidR="005D29EF" w:rsidRPr="00F90A54">
        <w:rPr>
          <w:rFonts w:ascii="Garamond" w:hAnsi="Garamond"/>
        </w:rPr>
        <w:t xml:space="preserve"> tax </w:t>
      </w:r>
      <w:r w:rsidR="00092B37" w:rsidRPr="00F90A54">
        <w:rPr>
          <w:rFonts w:ascii="Garamond" w:hAnsi="Garamond"/>
        </w:rPr>
        <w:t>the court’s attention</w:t>
      </w:r>
      <w:r w:rsidR="00DA1E1D" w:rsidRPr="00F90A54">
        <w:rPr>
          <w:rFonts w:ascii="Garamond" w:hAnsi="Garamond"/>
        </w:rPr>
        <w:t xml:space="preserve"> and delay its resolution of the claim</w:t>
      </w:r>
      <w:r w:rsidR="00092B37" w:rsidRPr="00F90A54">
        <w:rPr>
          <w:rFonts w:ascii="Garamond" w:hAnsi="Garamond"/>
        </w:rPr>
        <w:t>.</w:t>
      </w:r>
      <w:r w:rsidR="006218E0" w:rsidRPr="00F90A54">
        <w:rPr>
          <w:rFonts w:ascii="Garamond" w:hAnsi="Garamond"/>
        </w:rPr>
        <w:t xml:space="preserve"> </w:t>
      </w:r>
      <w:r w:rsidR="00B47A6B" w:rsidRPr="00F90A54">
        <w:rPr>
          <w:rFonts w:ascii="Garamond" w:hAnsi="Garamond"/>
        </w:rPr>
        <w:t>I</w:t>
      </w:r>
      <w:r w:rsidR="00864870" w:rsidRPr="00F90A54">
        <w:rPr>
          <w:rFonts w:ascii="Garamond" w:hAnsi="Garamond"/>
        </w:rPr>
        <w:t xml:space="preserve">ntervenors </w:t>
      </w:r>
      <w:r w:rsidR="00B47A6B" w:rsidRPr="00F90A54">
        <w:rPr>
          <w:rFonts w:ascii="Garamond" w:hAnsi="Garamond"/>
        </w:rPr>
        <w:t xml:space="preserve">who wish to add an injured plaintiff to support Article III standing might keep a case alive longer than would otherwise occur (decreasing efficiency), but it could also mean that similar cases that could have been brought as separate actions have been </w:t>
      </w:r>
      <w:r w:rsidRPr="00F90A54">
        <w:rPr>
          <w:rFonts w:ascii="Garamond" w:hAnsi="Garamond"/>
        </w:rPr>
        <w:t xml:space="preserve">effectively </w:t>
      </w:r>
      <w:r w:rsidR="00B47A6B" w:rsidRPr="00F90A54">
        <w:rPr>
          <w:rFonts w:ascii="Garamond" w:hAnsi="Garamond"/>
        </w:rPr>
        <w:t>consolidated before the court (increasing efficiency).</w:t>
      </w:r>
      <w:r w:rsidR="00B47A6B" w:rsidRPr="00F90A54">
        <w:rPr>
          <w:rStyle w:val="FootnoteReference"/>
          <w:rFonts w:ascii="Garamond" w:hAnsi="Garamond"/>
        </w:rPr>
        <w:footnoteReference w:id="286"/>
      </w:r>
      <w:r w:rsidR="0081035C" w:rsidRPr="00F90A54">
        <w:rPr>
          <w:rFonts w:ascii="Garamond" w:hAnsi="Garamond"/>
        </w:rPr>
        <w:t xml:space="preserve"> </w:t>
      </w:r>
      <w:r w:rsidR="009C3B88" w:rsidRPr="00F90A54">
        <w:rPr>
          <w:rFonts w:ascii="Garamond" w:hAnsi="Garamond"/>
        </w:rPr>
        <w:t>By contrast, i</w:t>
      </w:r>
      <w:r w:rsidR="0058321A" w:rsidRPr="00F90A54">
        <w:rPr>
          <w:rFonts w:ascii="Garamond" w:hAnsi="Garamond"/>
        </w:rPr>
        <w:t>ntervenors whose goal is to</w:t>
      </w:r>
      <w:r w:rsidR="0081035C" w:rsidRPr="00F90A54">
        <w:rPr>
          <w:rFonts w:ascii="Garamond" w:hAnsi="Garamond"/>
        </w:rPr>
        <w:t xml:space="preserve"> force </w:t>
      </w:r>
      <w:r w:rsidR="009C3B88" w:rsidRPr="00F90A54">
        <w:rPr>
          <w:rFonts w:ascii="Garamond" w:hAnsi="Garamond"/>
        </w:rPr>
        <w:t>the p</w:t>
      </w:r>
      <w:r w:rsidR="00D210B9" w:rsidRPr="00F90A54">
        <w:rPr>
          <w:rFonts w:ascii="Garamond" w:hAnsi="Garamond"/>
        </w:rPr>
        <w:t>laintiff</w:t>
      </w:r>
      <w:r w:rsidR="009C3B88" w:rsidRPr="00F90A54">
        <w:rPr>
          <w:rFonts w:ascii="Garamond" w:hAnsi="Garamond"/>
        </w:rPr>
        <w:t xml:space="preserve"> </w:t>
      </w:r>
      <w:r w:rsidR="00B32327" w:rsidRPr="00F90A54">
        <w:rPr>
          <w:rFonts w:ascii="Garamond" w:hAnsi="Garamond"/>
        </w:rPr>
        <w:t xml:space="preserve">to </w:t>
      </w:r>
      <w:r w:rsidR="00D210B9" w:rsidRPr="00F90A54">
        <w:rPr>
          <w:rFonts w:ascii="Garamond" w:hAnsi="Garamond"/>
        </w:rPr>
        <w:t xml:space="preserve">fully </w:t>
      </w:r>
      <w:r w:rsidR="00B32327" w:rsidRPr="00F90A54">
        <w:rPr>
          <w:rFonts w:ascii="Garamond" w:hAnsi="Garamond"/>
        </w:rPr>
        <w:t xml:space="preserve">litigate </w:t>
      </w:r>
      <w:r w:rsidR="0081035C" w:rsidRPr="00F90A54">
        <w:rPr>
          <w:rFonts w:ascii="Garamond" w:hAnsi="Garamond"/>
        </w:rPr>
        <w:t xml:space="preserve">the merits of the dispute, by preventing a settlement or ensuring an appeal from an adverse decision, </w:t>
      </w:r>
      <w:r w:rsidR="00AE2F1D" w:rsidRPr="00F90A54">
        <w:rPr>
          <w:rFonts w:ascii="Garamond" w:hAnsi="Garamond"/>
        </w:rPr>
        <w:t xml:space="preserve">arguably </w:t>
      </w:r>
      <w:r w:rsidR="008E5997">
        <w:rPr>
          <w:rFonts w:ascii="Garamond" w:hAnsi="Garamond"/>
        </w:rPr>
        <w:t>impose</w:t>
      </w:r>
      <w:r w:rsidR="002C3622" w:rsidRPr="00F90A54">
        <w:rPr>
          <w:rFonts w:ascii="Garamond" w:hAnsi="Garamond"/>
        </w:rPr>
        <w:t xml:space="preserve"> a far greater strain on judicial reso</w:t>
      </w:r>
      <w:r w:rsidR="00765922" w:rsidRPr="00F90A54">
        <w:rPr>
          <w:rFonts w:ascii="Garamond" w:hAnsi="Garamond"/>
        </w:rPr>
        <w:t>urces</w:t>
      </w:r>
      <w:r w:rsidR="002F556A" w:rsidRPr="00F90A54">
        <w:rPr>
          <w:rFonts w:ascii="Garamond" w:hAnsi="Garamond"/>
        </w:rPr>
        <w:t xml:space="preserve"> by requiring </w:t>
      </w:r>
      <w:r w:rsidR="00480454" w:rsidRPr="00F90A54">
        <w:rPr>
          <w:rFonts w:ascii="Garamond" w:hAnsi="Garamond"/>
        </w:rPr>
        <w:t>the court</w:t>
      </w:r>
      <w:r w:rsidR="002F556A" w:rsidRPr="00F90A54">
        <w:rPr>
          <w:rFonts w:ascii="Garamond" w:hAnsi="Garamond"/>
        </w:rPr>
        <w:t xml:space="preserve"> to </w:t>
      </w:r>
      <w:r w:rsidR="007656BD" w:rsidRPr="00F90A54">
        <w:rPr>
          <w:rFonts w:ascii="Garamond" w:hAnsi="Garamond"/>
        </w:rPr>
        <w:t xml:space="preserve">engage </w:t>
      </w:r>
      <w:r w:rsidR="00C97933" w:rsidRPr="00F90A54">
        <w:rPr>
          <w:rFonts w:ascii="Garamond" w:hAnsi="Garamond"/>
        </w:rPr>
        <w:t xml:space="preserve">in a lengthier </w:t>
      </w:r>
      <w:r w:rsidR="00A7005D" w:rsidRPr="00F90A54">
        <w:rPr>
          <w:rFonts w:ascii="Garamond" w:hAnsi="Garamond"/>
        </w:rPr>
        <w:t>adjudicative</w:t>
      </w:r>
      <w:r w:rsidR="00C97933" w:rsidRPr="00F90A54">
        <w:rPr>
          <w:rFonts w:ascii="Garamond" w:hAnsi="Garamond"/>
        </w:rPr>
        <w:t xml:space="preserve"> process. </w:t>
      </w:r>
    </w:p>
    <w:p w14:paraId="03E04328" w14:textId="61A84CC2" w:rsidR="00B47A6B" w:rsidRPr="00F90A54" w:rsidRDefault="006A0121" w:rsidP="001F4A3F">
      <w:pPr>
        <w:ind w:firstLine="360"/>
        <w:jc w:val="both"/>
        <w:rPr>
          <w:rFonts w:ascii="Garamond" w:hAnsi="Garamond"/>
        </w:rPr>
      </w:pPr>
      <w:r w:rsidRPr="00F90A54">
        <w:rPr>
          <w:rFonts w:ascii="Garamond" w:hAnsi="Garamond"/>
        </w:rPr>
        <w:t xml:space="preserve">3. </w:t>
      </w:r>
      <w:r w:rsidRPr="00F90A54">
        <w:rPr>
          <w:rFonts w:ascii="Garamond" w:hAnsi="Garamond"/>
          <w:i/>
          <w:iCs/>
        </w:rPr>
        <w:t>Party Control</w:t>
      </w:r>
      <w:r w:rsidRPr="00F90A54">
        <w:rPr>
          <w:rFonts w:ascii="Garamond" w:hAnsi="Garamond"/>
        </w:rPr>
        <w:t xml:space="preserve">. </w:t>
      </w:r>
      <w:r w:rsidR="00392D18" w:rsidRPr="00F90A54">
        <w:rPr>
          <w:rFonts w:ascii="Garamond" w:hAnsi="Garamond"/>
        </w:rPr>
        <w:t xml:space="preserve">Intervention necessarily diminishes party control, but discretionary intervention </w:t>
      </w:r>
      <w:r w:rsidR="007F5ECD" w:rsidRPr="00F90A54">
        <w:rPr>
          <w:rFonts w:ascii="Garamond" w:hAnsi="Garamond"/>
        </w:rPr>
        <w:t>exacerbates th</w:t>
      </w:r>
      <w:r w:rsidR="00795FD9" w:rsidRPr="00F90A54">
        <w:rPr>
          <w:rFonts w:ascii="Garamond" w:hAnsi="Garamond"/>
        </w:rPr>
        <w:t xml:space="preserve">ose costs. </w:t>
      </w:r>
      <w:r w:rsidR="007E557A" w:rsidRPr="00F90A54">
        <w:rPr>
          <w:rFonts w:ascii="Garamond" w:hAnsi="Garamond"/>
        </w:rPr>
        <w:t xml:space="preserve">The parties have </w:t>
      </w:r>
      <w:r w:rsidR="00CD2103" w:rsidRPr="00F90A54">
        <w:rPr>
          <w:rFonts w:ascii="Garamond" w:hAnsi="Garamond"/>
        </w:rPr>
        <w:t xml:space="preserve">a </w:t>
      </w:r>
      <w:r w:rsidR="007E557A" w:rsidRPr="00F90A54">
        <w:rPr>
          <w:rFonts w:ascii="Garamond" w:hAnsi="Garamond"/>
        </w:rPr>
        <w:t xml:space="preserve">greater incentive to challenge proposed intervenors </w:t>
      </w:r>
      <w:r w:rsidR="00CD2103" w:rsidRPr="00F90A54">
        <w:rPr>
          <w:rFonts w:ascii="Garamond" w:hAnsi="Garamond"/>
        </w:rPr>
        <w:t>who</w:t>
      </w:r>
      <w:r w:rsidR="009B6116">
        <w:rPr>
          <w:rFonts w:ascii="Garamond" w:hAnsi="Garamond"/>
        </w:rPr>
        <w:t xml:space="preserve"> have an unclear right </w:t>
      </w:r>
      <w:r w:rsidR="007E557A" w:rsidRPr="00F90A54">
        <w:rPr>
          <w:rFonts w:ascii="Garamond" w:hAnsi="Garamond"/>
        </w:rPr>
        <w:t>to participate</w:t>
      </w:r>
      <w:r w:rsidR="004D542E" w:rsidRPr="00F90A54">
        <w:rPr>
          <w:rFonts w:ascii="Garamond" w:hAnsi="Garamond"/>
        </w:rPr>
        <w:t xml:space="preserve">. </w:t>
      </w:r>
      <w:r w:rsidR="008873FE" w:rsidRPr="00F90A54">
        <w:rPr>
          <w:rFonts w:ascii="Garamond" w:hAnsi="Garamond"/>
        </w:rPr>
        <w:t xml:space="preserve">This means more motions and hearings spent on auxiliary issues, diverting time and resources from the merits of the parties’ underlying dispute. </w:t>
      </w:r>
      <w:r w:rsidR="000B36A5" w:rsidRPr="00F90A54">
        <w:rPr>
          <w:rFonts w:ascii="Garamond" w:hAnsi="Garamond"/>
        </w:rPr>
        <w:t>When time is limited</w:t>
      </w:r>
      <w:r w:rsidR="006E5047" w:rsidRPr="00F90A54">
        <w:rPr>
          <w:rFonts w:ascii="Garamond" w:hAnsi="Garamond"/>
        </w:rPr>
        <w:t xml:space="preserve">—for instance, during expedited briefing schedules on a preliminary nationwide injunction—any time </w:t>
      </w:r>
      <w:r w:rsidR="005C7F8E" w:rsidRPr="00F90A54">
        <w:rPr>
          <w:rFonts w:ascii="Garamond" w:hAnsi="Garamond"/>
        </w:rPr>
        <w:t xml:space="preserve">spent litigating </w:t>
      </w:r>
      <w:r w:rsidR="00242BA2" w:rsidRPr="00F90A54">
        <w:rPr>
          <w:rFonts w:ascii="Garamond" w:hAnsi="Garamond"/>
        </w:rPr>
        <w:t xml:space="preserve">intervention </w:t>
      </w:r>
      <w:r w:rsidR="00D203E1" w:rsidRPr="00F90A54">
        <w:rPr>
          <w:rFonts w:ascii="Garamond" w:hAnsi="Garamond"/>
        </w:rPr>
        <w:t xml:space="preserve">can </w:t>
      </w:r>
      <w:r w:rsidR="00242BA2" w:rsidRPr="00F90A54">
        <w:rPr>
          <w:rFonts w:ascii="Garamond" w:hAnsi="Garamond"/>
        </w:rPr>
        <w:t xml:space="preserve">reduce the quality of the </w:t>
      </w:r>
      <w:r w:rsidR="00635EEE" w:rsidRPr="00F90A54">
        <w:rPr>
          <w:rFonts w:ascii="Garamond" w:hAnsi="Garamond"/>
        </w:rPr>
        <w:t>parties’</w:t>
      </w:r>
      <w:r w:rsidR="00242BA2" w:rsidRPr="00F90A54">
        <w:rPr>
          <w:rFonts w:ascii="Garamond" w:hAnsi="Garamond"/>
        </w:rPr>
        <w:t xml:space="preserve"> presentation of the merits. </w:t>
      </w:r>
    </w:p>
    <w:p w14:paraId="5E37B129" w14:textId="0257BEC7" w:rsidR="00DC738D" w:rsidRPr="00F90A54" w:rsidRDefault="00432EC1" w:rsidP="001F4A3F">
      <w:pPr>
        <w:ind w:firstLine="360"/>
        <w:jc w:val="both"/>
        <w:rPr>
          <w:rFonts w:ascii="Garamond" w:hAnsi="Garamond"/>
        </w:rPr>
      </w:pPr>
      <w:r w:rsidRPr="00F90A54">
        <w:rPr>
          <w:rFonts w:ascii="Garamond" w:hAnsi="Garamond"/>
        </w:rPr>
        <w:t xml:space="preserve">The intervenor’s purpose in participating affects this calculation. </w:t>
      </w:r>
      <w:r w:rsidR="00D76D40" w:rsidRPr="00F90A54">
        <w:rPr>
          <w:rFonts w:ascii="Garamond" w:hAnsi="Garamond"/>
        </w:rPr>
        <w:t>On the one hand, a</w:t>
      </w:r>
      <w:r w:rsidR="00B17469" w:rsidRPr="00F90A54">
        <w:rPr>
          <w:rFonts w:ascii="Garamond" w:hAnsi="Garamond"/>
        </w:rPr>
        <w:t xml:space="preserve">n intervenor who wishes to add </w:t>
      </w:r>
      <w:r w:rsidR="00860D4E" w:rsidRPr="00F90A54">
        <w:rPr>
          <w:rFonts w:ascii="Garamond" w:hAnsi="Garamond"/>
        </w:rPr>
        <w:t xml:space="preserve">more arguments or evidence will increase the </w:t>
      </w:r>
      <w:r w:rsidR="007B6E79" w:rsidRPr="00F90A54">
        <w:rPr>
          <w:rFonts w:ascii="Garamond" w:hAnsi="Garamond"/>
        </w:rPr>
        <w:t xml:space="preserve">litigation </w:t>
      </w:r>
      <w:r w:rsidR="00860D4E" w:rsidRPr="00F90A54">
        <w:rPr>
          <w:rFonts w:ascii="Garamond" w:hAnsi="Garamond"/>
        </w:rPr>
        <w:t>cost</w:t>
      </w:r>
      <w:r w:rsidR="007B6E79" w:rsidRPr="00F90A54">
        <w:rPr>
          <w:rFonts w:ascii="Garamond" w:hAnsi="Garamond"/>
        </w:rPr>
        <w:t>s</w:t>
      </w:r>
      <w:r w:rsidR="00860D4E" w:rsidRPr="00F90A54">
        <w:rPr>
          <w:rFonts w:ascii="Garamond" w:hAnsi="Garamond"/>
        </w:rPr>
        <w:t xml:space="preserve"> for the </w:t>
      </w:r>
      <w:r w:rsidR="007B6E79" w:rsidRPr="00F90A54">
        <w:rPr>
          <w:rFonts w:ascii="Garamond" w:hAnsi="Garamond"/>
        </w:rPr>
        <w:t xml:space="preserve">original </w:t>
      </w:r>
      <w:r w:rsidR="00860D4E" w:rsidRPr="00F90A54">
        <w:rPr>
          <w:rFonts w:ascii="Garamond" w:hAnsi="Garamond"/>
        </w:rPr>
        <w:t>parties who will have to spend time responding to those contributions.</w:t>
      </w:r>
      <w:r w:rsidR="005B5DB5" w:rsidRPr="00F90A54">
        <w:rPr>
          <w:rStyle w:val="FootnoteReference"/>
          <w:rFonts w:ascii="Garamond" w:hAnsi="Garamond"/>
        </w:rPr>
        <w:footnoteReference w:id="287"/>
      </w:r>
      <w:r w:rsidR="00860D4E" w:rsidRPr="00F90A54">
        <w:rPr>
          <w:rFonts w:ascii="Garamond" w:hAnsi="Garamond"/>
        </w:rPr>
        <w:t xml:space="preserve"> </w:t>
      </w:r>
      <w:r w:rsidR="00D76D40" w:rsidRPr="00F90A54">
        <w:rPr>
          <w:rFonts w:ascii="Garamond" w:hAnsi="Garamond"/>
        </w:rPr>
        <w:t>On the other hand, a</w:t>
      </w:r>
      <w:r w:rsidR="00973A4E" w:rsidRPr="00F90A54">
        <w:rPr>
          <w:rFonts w:ascii="Garamond" w:hAnsi="Garamond"/>
        </w:rPr>
        <w:t xml:space="preserve"> narrative-framing intervenor</w:t>
      </w:r>
      <w:r w:rsidR="00D76D40" w:rsidRPr="00F90A54">
        <w:rPr>
          <w:rFonts w:ascii="Garamond" w:hAnsi="Garamond"/>
        </w:rPr>
        <w:t xml:space="preserve"> </w:t>
      </w:r>
      <w:r w:rsidR="00973A4E" w:rsidRPr="00F90A54">
        <w:rPr>
          <w:rFonts w:ascii="Garamond" w:hAnsi="Garamond"/>
        </w:rPr>
        <w:t xml:space="preserve">may </w:t>
      </w:r>
      <w:r w:rsidR="007B6E79" w:rsidRPr="00F90A54">
        <w:rPr>
          <w:rFonts w:ascii="Garamond" w:hAnsi="Garamond"/>
        </w:rPr>
        <w:t xml:space="preserve">divert little attention from the original party, </w:t>
      </w:r>
      <w:r w:rsidR="00973A4E" w:rsidRPr="00F90A54">
        <w:rPr>
          <w:rFonts w:ascii="Garamond" w:hAnsi="Garamond"/>
        </w:rPr>
        <w:t xml:space="preserve">who will </w:t>
      </w:r>
      <w:r w:rsidR="007B6E79" w:rsidRPr="00F90A54">
        <w:rPr>
          <w:rFonts w:ascii="Garamond" w:hAnsi="Garamond"/>
        </w:rPr>
        <w:t>be crafting</w:t>
      </w:r>
      <w:r w:rsidR="00973A4E" w:rsidRPr="00F90A54">
        <w:rPr>
          <w:rFonts w:ascii="Garamond" w:hAnsi="Garamond"/>
        </w:rPr>
        <w:t xml:space="preserve"> their own narrative framing regardless of alternatives</w:t>
      </w:r>
      <w:r w:rsidR="006716BE" w:rsidRPr="00F90A54">
        <w:rPr>
          <w:rFonts w:ascii="Garamond" w:hAnsi="Garamond"/>
        </w:rPr>
        <w:t xml:space="preserve"> before the court</w:t>
      </w:r>
      <w:r w:rsidR="00973A4E" w:rsidRPr="00F90A54">
        <w:rPr>
          <w:rFonts w:ascii="Garamond" w:hAnsi="Garamond"/>
        </w:rPr>
        <w:t xml:space="preserve">. </w:t>
      </w:r>
    </w:p>
    <w:p w14:paraId="435045BC" w14:textId="202DCB4C" w:rsidR="00B046D6" w:rsidRPr="00F90A54" w:rsidRDefault="00637065" w:rsidP="001F4A3F">
      <w:pPr>
        <w:ind w:firstLine="360"/>
        <w:jc w:val="both"/>
        <w:rPr>
          <w:rFonts w:ascii="Garamond" w:hAnsi="Garamond"/>
        </w:rPr>
      </w:pPr>
      <w:r w:rsidRPr="00F90A54">
        <w:rPr>
          <w:rFonts w:ascii="Garamond" w:hAnsi="Garamond"/>
        </w:rPr>
        <w:lastRenderedPageBreak/>
        <w:t xml:space="preserve">But the intervenor </w:t>
      </w:r>
      <w:r w:rsidR="0030469B" w:rsidRPr="00F90A54">
        <w:rPr>
          <w:rFonts w:ascii="Garamond" w:hAnsi="Garamond"/>
        </w:rPr>
        <w:t xml:space="preserve">whose goal is to prevent settlement or </w:t>
      </w:r>
      <w:r w:rsidR="00693351" w:rsidRPr="00F90A54">
        <w:rPr>
          <w:rFonts w:ascii="Garamond" w:hAnsi="Garamond"/>
        </w:rPr>
        <w:t>guarantee</w:t>
      </w:r>
      <w:r w:rsidR="0030469B" w:rsidRPr="00F90A54">
        <w:rPr>
          <w:rFonts w:ascii="Garamond" w:hAnsi="Garamond"/>
        </w:rPr>
        <w:t xml:space="preserve"> an appeal </w:t>
      </w:r>
      <w:r w:rsidR="00DF57B2" w:rsidRPr="00F90A54">
        <w:rPr>
          <w:rFonts w:ascii="Garamond" w:hAnsi="Garamond"/>
        </w:rPr>
        <w:t xml:space="preserve">poses the greatest challenge to party control. </w:t>
      </w:r>
      <w:r w:rsidR="00693351" w:rsidRPr="00F90A54">
        <w:rPr>
          <w:rFonts w:ascii="Garamond" w:hAnsi="Garamond"/>
        </w:rPr>
        <w:t xml:space="preserve">By design, these intervenors believe that the current parties are inadequately </w:t>
      </w:r>
      <w:r w:rsidR="00DE0D57" w:rsidRPr="00F90A54">
        <w:rPr>
          <w:rFonts w:ascii="Garamond" w:hAnsi="Garamond"/>
        </w:rPr>
        <w:t>defending</w:t>
      </w:r>
      <w:r w:rsidR="00693351" w:rsidRPr="00F90A54">
        <w:rPr>
          <w:rFonts w:ascii="Garamond" w:hAnsi="Garamond"/>
        </w:rPr>
        <w:t xml:space="preserve"> the</w:t>
      </w:r>
      <w:r w:rsidR="00840681" w:rsidRPr="00F90A54">
        <w:rPr>
          <w:rFonts w:ascii="Garamond" w:hAnsi="Garamond"/>
        </w:rPr>
        <w:t xml:space="preserve"> asserted claim</w:t>
      </w:r>
      <w:r w:rsidR="00FD7710" w:rsidRPr="00F90A54">
        <w:rPr>
          <w:rFonts w:ascii="Garamond" w:hAnsi="Garamond"/>
        </w:rPr>
        <w:t xml:space="preserve"> and </w:t>
      </w:r>
      <w:r w:rsidR="00E776A7" w:rsidRPr="00F90A54">
        <w:rPr>
          <w:rFonts w:ascii="Garamond" w:hAnsi="Garamond"/>
        </w:rPr>
        <w:t>the nonparty’s</w:t>
      </w:r>
      <w:r w:rsidR="00FD7710" w:rsidRPr="00F90A54">
        <w:rPr>
          <w:rFonts w:ascii="Garamond" w:hAnsi="Garamond"/>
        </w:rPr>
        <w:t xml:space="preserve"> participation is </w:t>
      </w:r>
      <w:r w:rsidR="00E776A7" w:rsidRPr="00F90A54">
        <w:rPr>
          <w:rFonts w:ascii="Garamond" w:hAnsi="Garamond"/>
        </w:rPr>
        <w:t xml:space="preserve">meant to </w:t>
      </w:r>
      <w:r w:rsidR="00FD7710" w:rsidRPr="00F90A54">
        <w:rPr>
          <w:rFonts w:ascii="Garamond" w:hAnsi="Garamond"/>
        </w:rPr>
        <w:t xml:space="preserve">correct those perceived deficiencies. </w:t>
      </w:r>
      <w:r w:rsidR="00EC47FC" w:rsidRPr="00F90A54">
        <w:rPr>
          <w:rFonts w:ascii="Garamond" w:hAnsi="Garamond"/>
        </w:rPr>
        <w:t xml:space="preserve">These intervenors wrest control from the </w:t>
      </w:r>
      <w:r w:rsidR="00092C57" w:rsidRPr="00F90A54">
        <w:rPr>
          <w:rFonts w:ascii="Garamond" w:hAnsi="Garamond"/>
        </w:rPr>
        <w:t xml:space="preserve">parties </w:t>
      </w:r>
      <w:r w:rsidR="00792848" w:rsidRPr="00F90A54">
        <w:rPr>
          <w:rFonts w:ascii="Garamond" w:hAnsi="Garamond"/>
        </w:rPr>
        <w:t xml:space="preserve">and force them to continue litigating </w:t>
      </w:r>
      <w:r w:rsidR="00CE230E" w:rsidRPr="00F90A54">
        <w:rPr>
          <w:rFonts w:ascii="Garamond" w:hAnsi="Garamond"/>
        </w:rPr>
        <w:t xml:space="preserve">even after they have resolved their dispute. </w:t>
      </w:r>
    </w:p>
    <w:p w14:paraId="2A0B7B46" w14:textId="77777777" w:rsidR="00260026" w:rsidRPr="00F90A54" w:rsidRDefault="00260026" w:rsidP="00F20ABC">
      <w:pPr>
        <w:ind w:firstLine="360"/>
        <w:rPr>
          <w:rFonts w:ascii="Garamond" w:hAnsi="Garamond"/>
        </w:rPr>
      </w:pPr>
    </w:p>
    <w:p w14:paraId="112EBEEE" w14:textId="77777777" w:rsidR="00DF6063" w:rsidRPr="00F90A54" w:rsidRDefault="00DF6063" w:rsidP="00D9403B">
      <w:pPr>
        <w:pStyle w:val="Heading2"/>
        <w:keepNext/>
      </w:pPr>
      <w:bookmarkStart w:id="20" w:name="_Toc143336562"/>
      <w:r w:rsidRPr="00F90A54">
        <w:t>Additional Normative Concerns</w:t>
      </w:r>
      <w:bookmarkEnd w:id="20"/>
    </w:p>
    <w:p w14:paraId="495F728C" w14:textId="77777777" w:rsidR="00DF6063" w:rsidRPr="00F90A54" w:rsidRDefault="00DF6063" w:rsidP="00D9403B">
      <w:pPr>
        <w:keepNext/>
        <w:ind w:left="360" w:hanging="360"/>
        <w:rPr>
          <w:rFonts w:ascii="Garamond" w:hAnsi="Garamond"/>
        </w:rPr>
      </w:pPr>
    </w:p>
    <w:p w14:paraId="4067D20F" w14:textId="637BB3C0" w:rsidR="00BD0C77" w:rsidRPr="00F90A54" w:rsidRDefault="00DC738D" w:rsidP="001F4A3F">
      <w:pPr>
        <w:ind w:firstLine="360"/>
        <w:jc w:val="both"/>
        <w:rPr>
          <w:rFonts w:ascii="Garamond" w:hAnsi="Garamond"/>
        </w:rPr>
      </w:pPr>
      <w:r w:rsidRPr="00F90A54">
        <w:rPr>
          <w:rFonts w:ascii="Garamond" w:hAnsi="Garamond"/>
        </w:rPr>
        <w:t xml:space="preserve">In addition to undermining the values behind </w:t>
      </w:r>
      <w:r w:rsidR="00430E91" w:rsidRPr="00F90A54">
        <w:rPr>
          <w:rFonts w:ascii="Garamond" w:hAnsi="Garamond"/>
        </w:rPr>
        <w:t>Rule 24</w:t>
      </w:r>
      <w:r w:rsidRPr="00F90A54">
        <w:rPr>
          <w:rFonts w:ascii="Garamond" w:hAnsi="Garamond"/>
        </w:rPr>
        <w:t xml:space="preserve">, </w:t>
      </w:r>
      <w:r w:rsidR="00BD0C77" w:rsidRPr="00F90A54">
        <w:rPr>
          <w:rFonts w:ascii="Garamond" w:hAnsi="Garamond"/>
        </w:rPr>
        <w:t>intervention in nationwide-injunction cases</w:t>
      </w:r>
      <w:r w:rsidR="00430E91" w:rsidRPr="00F90A54">
        <w:rPr>
          <w:rFonts w:ascii="Garamond" w:hAnsi="Garamond"/>
        </w:rPr>
        <w:t xml:space="preserve"> </w:t>
      </w:r>
      <w:r w:rsidR="00BD0C77" w:rsidRPr="00F90A54">
        <w:rPr>
          <w:rFonts w:ascii="Garamond" w:hAnsi="Garamond"/>
        </w:rPr>
        <w:t xml:space="preserve">also exacerbates </w:t>
      </w:r>
      <w:r w:rsidR="004D042C" w:rsidRPr="00F90A54">
        <w:rPr>
          <w:rFonts w:ascii="Garamond" w:hAnsi="Garamond"/>
        </w:rPr>
        <w:t>two o</w:t>
      </w:r>
      <w:r w:rsidR="00BD0C77" w:rsidRPr="00F90A54">
        <w:rPr>
          <w:rFonts w:ascii="Garamond" w:hAnsi="Garamond"/>
        </w:rPr>
        <w:t>ther concerns connected to judicial legitimacy</w:t>
      </w:r>
      <w:r w:rsidR="004D1950" w:rsidRPr="00F90A54">
        <w:rPr>
          <w:rFonts w:ascii="Garamond" w:hAnsi="Garamond"/>
        </w:rPr>
        <w:t xml:space="preserve">: the reputation of the court as an impartial arbiter and the power of the court to avoid involving itself in political cases. </w:t>
      </w:r>
    </w:p>
    <w:p w14:paraId="26665F6E" w14:textId="77777777" w:rsidR="00BD0C77" w:rsidRPr="00F90A54" w:rsidRDefault="00BD0C77" w:rsidP="00DF6063">
      <w:pPr>
        <w:ind w:left="360" w:hanging="360"/>
        <w:rPr>
          <w:rFonts w:ascii="Garamond" w:hAnsi="Garamond"/>
        </w:rPr>
      </w:pPr>
    </w:p>
    <w:p w14:paraId="1E34DCFE" w14:textId="402D3B2E" w:rsidR="00DF6063" w:rsidRPr="00F90A54" w:rsidRDefault="00B57E60" w:rsidP="00D9403B">
      <w:pPr>
        <w:pStyle w:val="Heading3"/>
        <w:keepNext/>
      </w:pPr>
      <w:bookmarkStart w:id="21" w:name="_Toc143336563"/>
      <w:r w:rsidRPr="00F90A54">
        <w:t xml:space="preserve">Intervention </w:t>
      </w:r>
      <w:r w:rsidR="008433C5" w:rsidRPr="00F90A54">
        <w:t>Undermines the Impartial Judiciary</w:t>
      </w:r>
      <w:bookmarkEnd w:id="21"/>
    </w:p>
    <w:p w14:paraId="414DD5E9" w14:textId="77777777" w:rsidR="00C4116E" w:rsidRPr="00F90A54" w:rsidRDefault="00C4116E" w:rsidP="00D9403B">
      <w:pPr>
        <w:keepNext/>
        <w:rPr>
          <w:rFonts w:ascii="Garamond" w:hAnsi="Garamond"/>
        </w:rPr>
      </w:pPr>
    </w:p>
    <w:p w14:paraId="79043FC4" w14:textId="6605B7CB" w:rsidR="00096438" w:rsidRPr="00F90A54" w:rsidRDefault="00C4116E" w:rsidP="001F4A3F">
      <w:pPr>
        <w:ind w:firstLine="360"/>
        <w:jc w:val="both"/>
        <w:rPr>
          <w:rFonts w:ascii="Garamond" w:eastAsia="Times New Roman" w:hAnsi="Garamond"/>
        </w:rPr>
      </w:pPr>
      <w:r w:rsidRPr="00F90A54">
        <w:rPr>
          <w:rFonts w:ascii="Garamond" w:hAnsi="Garamond"/>
        </w:rPr>
        <w:t xml:space="preserve">One of the enduring critiques of </w:t>
      </w:r>
      <w:r w:rsidR="00044DB3" w:rsidRPr="00F90A54">
        <w:rPr>
          <w:rFonts w:ascii="Garamond" w:hAnsi="Garamond"/>
        </w:rPr>
        <w:t xml:space="preserve">the </w:t>
      </w:r>
      <w:r w:rsidR="00780D48" w:rsidRPr="00F90A54">
        <w:rPr>
          <w:rFonts w:ascii="Garamond" w:hAnsi="Garamond"/>
        </w:rPr>
        <w:t xml:space="preserve">nationwide injunction </w:t>
      </w:r>
      <w:r w:rsidRPr="00F90A54">
        <w:rPr>
          <w:rFonts w:ascii="Garamond" w:hAnsi="Garamond"/>
        </w:rPr>
        <w:t xml:space="preserve">is the political valence of the relief. </w:t>
      </w:r>
      <w:r w:rsidR="00780D48" w:rsidRPr="00F90A54">
        <w:rPr>
          <w:rFonts w:ascii="Garamond" w:hAnsi="Garamond"/>
        </w:rPr>
        <w:t xml:space="preserve">These suits </w:t>
      </w:r>
      <w:r w:rsidRPr="00F90A54">
        <w:rPr>
          <w:rFonts w:ascii="Garamond" w:hAnsi="Garamond"/>
        </w:rPr>
        <w:t xml:space="preserve">raise legal questions of great public interest with litigants split along partisan lines. </w:t>
      </w:r>
      <w:r w:rsidR="00780D48" w:rsidRPr="00F90A54">
        <w:rPr>
          <w:rFonts w:ascii="Garamond" w:hAnsi="Garamond"/>
        </w:rPr>
        <w:t>T</w:t>
      </w:r>
      <w:r w:rsidRPr="00F90A54">
        <w:rPr>
          <w:rFonts w:ascii="Garamond" w:hAnsi="Garamond"/>
        </w:rPr>
        <w:t>he one-stop shop nature of the order invites litigants to file in courts with sympathetic judges who are willing to grant broad remedies.</w:t>
      </w:r>
      <w:r w:rsidR="00096438" w:rsidRPr="00F90A54">
        <w:rPr>
          <w:rFonts w:ascii="Garamond" w:eastAsia="Times New Roman" w:hAnsi="Garamond"/>
          <w:vertAlign w:val="superscript"/>
        </w:rPr>
        <w:footnoteReference w:id="288"/>
      </w:r>
      <w:r w:rsidR="00096438" w:rsidRPr="00F90A54">
        <w:rPr>
          <w:rFonts w:ascii="Garamond" w:eastAsia="Times New Roman" w:hAnsi="Garamond"/>
        </w:rPr>
        <w:t xml:space="preserve"> </w:t>
      </w:r>
    </w:p>
    <w:p w14:paraId="38B61936" w14:textId="6746F345" w:rsidR="00C4116E" w:rsidRPr="00F90A54" w:rsidRDefault="00096438" w:rsidP="001F4A3F">
      <w:pPr>
        <w:ind w:firstLine="360"/>
        <w:jc w:val="both"/>
        <w:rPr>
          <w:rFonts w:ascii="Garamond" w:eastAsia="Times New Roman" w:hAnsi="Garamond"/>
        </w:rPr>
      </w:pPr>
      <w:r w:rsidRPr="00F90A54">
        <w:rPr>
          <w:rFonts w:ascii="Garamond" w:eastAsia="Times New Roman" w:hAnsi="Garamond"/>
        </w:rPr>
        <w:t>This practice “feeds the growing perception that the courts are politicized.”</w:t>
      </w:r>
      <w:r w:rsidRPr="00F90A54">
        <w:rPr>
          <w:rStyle w:val="FootnoteReference"/>
          <w:rFonts w:ascii="Garamond" w:eastAsia="Times New Roman" w:hAnsi="Garamond"/>
        </w:rPr>
        <w:footnoteReference w:id="289"/>
      </w:r>
      <w:r w:rsidRPr="00F90A54">
        <w:rPr>
          <w:rFonts w:ascii="Garamond" w:eastAsia="Times New Roman" w:hAnsi="Garamond"/>
        </w:rPr>
        <w:t xml:space="preserve"> </w:t>
      </w:r>
      <w:r w:rsidR="000E16C0" w:rsidRPr="00F90A54">
        <w:rPr>
          <w:rFonts w:ascii="Garamond" w:eastAsia="Times New Roman" w:hAnsi="Garamond"/>
        </w:rPr>
        <w:t>Scholars, journalists, and public figures alike have drawn adverse inferences against the judges who issue universal remedies, often comparing the party of the president who appointed the judge to the party of the president defending the law being enjoined.</w:t>
      </w:r>
      <w:r w:rsidR="000E16C0" w:rsidRPr="00F90A54">
        <w:rPr>
          <w:rStyle w:val="FootnoteReference"/>
          <w:rFonts w:ascii="Garamond" w:eastAsia="Times New Roman" w:hAnsi="Garamond"/>
        </w:rPr>
        <w:footnoteReference w:id="290"/>
      </w:r>
      <w:r w:rsidR="000E16C0" w:rsidRPr="00F90A54">
        <w:rPr>
          <w:rFonts w:ascii="Garamond" w:eastAsia="Times New Roman" w:hAnsi="Garamond"/>
        </w:rPr>
        <w:t xml:space="preserve"> The nationwide injunction has thus been aptly referred to as “a new ‘political thicket’ into which the federal courts are being asked to venture.”</w:t>
      </w:r>
      <w:r w:rsidR="000E16C0" w:rsidRPr="00F90A54">
        <w:rPr>
          <w:rStyle w:val="FootnoteReference"/>
          <w:rFonts w:ascii="Garamond" w:eastAsia="Times New Roman" w:hAnsi="Garamond"/>
        </w:rPr>
        <w:footnoteReference w:id="291"/>
      </w:r>
    </w:p>
    <w:p w14:paraId="3B731EF0" w14:textId="07A00A9C" w:rsidR="00370E08" w:rsidRPr="00F90A54" w:rsidRDefault="00370E08" w:rsidP="001F4A3F">
      <w:pPr>
        <w:ind w:firstLine="360"/>
        <w:jc w:val="both"/>
        <w:rPr>
          <w:rFonts w:ascii="Garamond" w:hAnsi="Garamond"/>
        </w:rPr>
      </w:pPr>
      <w:r w:rsidRPr="00F90A54">
        <w:rPr>
          <w:rFonts w:ascii="Garamond" w:hAnsi="Garamond"/>
        </w:rPr>
        <w:lastRenderedPageBreak/>
        <w:t>These criticisms raise important questions about public confidence in the court. Even if judges are not deciding cases on ideological grounds, “when politically active parties engage courts in challenges to decisions made in the political domain it is difficult to separate the decisions from an appearance of judicial entanglement with politics.”</w:t>
      </w:r>
      <w:r w:rsidRPr="00F90A54">
        <w:rPr>
          <w:rStyle w:val="FootnoteReference"/>
          <w:rFonts w:ascii="Garamond" w:hAnsi="Garamond"/>
        </w:rPr>
        <w:footnoteReference w:id="292"/>
      </w:r>
      <w:r w:rsidRPr="00F90A54">
        <w:rPr>
          <w:rFonts w:ascii="Garamond" w:hAnsi="Garamond"/>
        </w:rPr>
        <w:t xml:space="preserve"> As </w:t>
      </w:r>
      <w:r w:rsidR="00E77CE4">
        <w:rPr>
          <w:rFonts w:ascii="Garamond" w:hAnsi="Garamond"/>
        </w:rPr>
        <w:t>Amanda</w:t>
      </w:r>
      <w:r w:rsidRPr="00F90A54">
        <w:rPr>
          <w:rFonts w:ascii="Garamond" w:hAnsi="Garamond"/>
        </w:rPr>
        <w:t xml:space="preserve"> Frost put it, “the federal judiciary’s reputation as impartial and nonpartisan suffers when the public watches judges in the ‘red state’ of Texas halt Obama’s policies, and judges in the ‘blue state’ of Hawaii enjoin Trumps.”</w:t>
      </w:r>
      <w:r w:rsidRPr="00F90A54">
        <w:rPr>
          <w:rStyle w:val="FootnoteReference"/>
          <w:rFonts w:ascii="Garamond" w:hAnsi="Garamond"/>
        </w:rPr>
        <w:footnoteReference w:id="293"/>
      </w:r>
      <w:r w:rsidR="004452E7" w:rsidRPr="00F90A54">
        <w:rPr>
          <w:rFonts w:ascii="Garamond" w:hAnsi="Garamond"/>
        </w:rPr>
        <w:t xml:space="preserve"> This reputational harm </w:t>
      </w:r>
      <w:r w:rsidR="00C1129C">
        <w:rPr>
          <w:rFonts w:ascii="Garamond" w:hAnsi="Garamond"/>
        </w:rPr>
        <w:t>can be destabilizing</w:t>
      </w:r>
      <w:r w:rsidR="004452E7" w:rsidRPr="00F90A54">
        <w:rPr>
          <w:rFonts w:ascii="Garamond" w:hAnsi="Garamond"/>
        </w:rPr>
        <w:t xml:space="preserve"> for an institution, like the judiciary, that relies on public support to </w:t>
      </w:r>
      <w:r w:rsidR="00A370A6" w:rsidRPr="00F90A54">
        <w:rPr>
          <w:rFonts w:ascii="Garamond" w:hAnsi="Garamond"/>
        </w:rPr>
        <w:t>ensure compliance with its decisions</w:t>
      </w:r>
      <w:r w:rsidR="004452E7" w:rsidRPr="00F90A54">
        <w:rPr>
          <w:rFonts w:ascii="Garamond" w:hAnsi="Garamond"/>
        </w:rPr>
        <w:t>.</w:t>
      </w:r>
      <w:r w:rsidR="004452E7" w:rsidRPr="00F90A54">
        <w:rPr>
          <w:rStyle w:val="FootnoteReference"/>
          <w:rFonts w:ascii="Garamond" w:hAnsi="Garamond"/>
        </w:rPr>
        <w:footnoteReference w:id="294"/>
      </w:r>
      <w:r w:rsidR="004452E7" w:rsidRPr="00F90A54">
        <w:rPr>
          <w:rFonts w:ascii="Garamond" w:hAnsi="Garamond"/>
        </w:rPr>
        <w:t xml:space="preserve"> </w:t>
      </w:r>
    </w:p>
    <w:p w14:paraId="319D27B7" w14:textId="6FA1F029" w:rsidR="00F94C58" w:rsidRPr="00F90A54" w:rsidRDefault="00F94C58" w:rsidP="001F4A3F">
      <w:pPr>
        <w:ind w:firstLine="360"/>
        <w:jc w:val="both"/>
        <w:rPr>
          <w:rFonts w:ascii="Garamond" w:hAnsi="Garamond"/>
        </w:rPr>
      </w:pPr>
      <w:r w:rsidRPr="00F90A54">
        <w:rPr>
          <w:rFonts w:ascii="Garamond" w:hAnsi="Garamond"/>
        </w:rPr>
        <w:t xml:space="preserve">Widespread </w:t>
      </w:r>
      <w:r w:rsidR="00707383">
        <w:rPr>
          <w:rFonts w:ascii="Garamond" w:hAnsi="Garamond"/>
        </w:rPr>
        <w:t xml:space="preserve">and discretionary </w:t>
      </w:r>
      <w:r w:rsidRPr="00F90A54">
        <w:rPr>
          <w:rFonts w:ascii="Garamond" w:hAnsi="Garamond"/>
        </w:rPr>
        <w:t xml:space="preserve">intervention in nationwide-injunction cases exacerbates this problem. </w:t>
      </w:r>
      <w:r w:rsidR="007E746B" w:rsidRPr="00F90A54">
        <w:rPr>
          <w:rFonts w:ascii="Garamond" w:hAnsi="Garamond"/>
        </w:rPr>
        <w:t xml:space="preserve">Individual judges </w:t>
      </w:r>
      <w:r w:rsidR="003F1031" w:rsidRPr="00F90A54">
        <w:rPr>
          <w:rFonts w:ascii="Garamond" w:hAnsi="Garamond"/>
        </w:rPr>
        <w:t xml:space="preserve">are not only tasked with deciding whether to enjoin a hotly contested public program, but also who </w:t>
      </w:r>
      <w:r w:rsidR="003237CF" w:rsidRPr="00F90A54">
        <w:rPr>
          <w:rFonts w:ascii="Garamond" w:hAnsi="Garamond"/>
        </w:rPr>
        <w:t>is a proper participant in that decision</w:t>
      </w:r>
      <w:r w:rsidR="003F1031" w:rsidRPr="00F90A54">
        <w:rPr>
          <w:rFonts w:ascii="Garamond" w:hAnsi="Garamond"/>
        </w:rPr>
        <w:t>—including who might be allowed to challenge or defend the law.</w:t>
      </w:r>
      <w:r w:rsidR="00870FF0" w:rsidRPr="00F90A54">
        <w:rPr>
          <w:rFonts w:ascii="Garamond" w:hAnsi="Garamond"/>
        </w:rPr>
        <w:t xml:space="preserve"> </w:t>
      </w:r>
      <w:r w:rsidR="005549B6" w:rsidRPr="00F90A54">
        <w:rPr>
          <w:rFonts w:ascii="Garamond" w:hAnsi="Garamond"/>
        </w:rPr>
        <w:t>When the</w:t>
      </w:r>
      <w:r w:rsidR="00870FF0" w:rsidRPr="00F90A54">
        <w:rPr>
          <w:rFonts w:ascii="Garamond" w:hAnsi="Garamond"/>
        </w:rPr>
        <w:t xml:space="preserve"> proposed intervenors</w:t>
      </w:r>
      <w:r w:rsidR="005549B6" w:rsidRPr="00F90A54">
        <w:rPr>
          <w:rFonts w:ascii="Garamond" w:hAnsi="Garamond"/>
        </w:rPr>
        <w:t xml:space="preserve"> are also political advocates</w:t>
      </w:r>
      <w:r w:rsidR="00844291" w:rsidRPr="00F90A54">
        <w:rPr>
          <w:rFonts w:ascii="Garamond" w:hAnsi="Garamond"/>
        </w:rPr>
        <w:t>, the court’s decision on whether they may participate in the case can be seen as an indication of the judge’s leaning on the merits.</w:t>
      </w:r>
      <w:r w:rsidR="00B25933" w:rsidRPr="00F90A54">
        <w:rPr>
          <w:rStyle w:val="FootnoteReference"/>
          <w:rFonts w:ascii="Garamond" w:hAnsi="Garamond"/>
        </w:rPr>
        <w:footnoteReference w:id="295"/>
      </w:r>
      <w:r w:rsidR="00844291" w:rsidRPr="00F90A54">
        <w:rPr>
          <w:rFonts w:ascii="Garamond" w:hAnsi="Garamond"/>
        </w:rPr>
        <w:t xml:space="preserve"> </w:t>
      </w:r>
      <w:r w:rsidR="00404E29" w:rsidRPr="00F90A54">
        <w:rPr>
          <w:rFonts w:ascii="Garamond" w:hAnsi="Garamond"/>
        </w:rPr>
        <w:t xml:space="preserve">It can become difficult, as </w:t>
      </w:r>
      <w:r w:rsidR="004E03D2">
        <w:rPr>
          <w:rFonts w:ascii="Garamond" w:hAnsi="Garamond"/>
        </w:rPr>
        <w:t>Ronald</w:t>
      </w:r>
      <w:r w:rsidR="00404E29" w:rsidRPr="00F90A54">
        <w:rPr>
          <w:rFonts w:ascii="Garamond" w:hAnsi="Garamond"/>
        </w:rPr>
        <w:t xml:space="preserve"> </w:t>
      </w:r>
      <w:r w:rsidR="00AD5CC1" w:rsidRPr="00F90A54">
        <w:rPr>
          <w:rFonts w:ascii="Garamond" w:hAnsi="Garamond"/>
        </w:rPr>
        <w:t>Cass</w:t>
      </w:r>
      <w:r w:rsidR="00404E29" w:rsidRPr="00F90A54">
        <w:rPr>
          <w:rFonts w:ascii="Garamond" w:hAnsi="Garamond"/>
        </w:rPr>
        <w:t xml:space="preserve"> put it, “to separate the resulting decisions from an appearance of judicial entanglement with politics.”</w:t>
      </w:r>
      <w:r w:rsidR="00404E29" w:rsidRPr="00F90A54">
        <w:rPr>
          <w:rStyle w:val="FootnoteReference"/>
          <w:rFonts w:ascii="Garamond" w:hAnsi="Garamond"/>
        </w:rPr>
        <w:footnoteReference w:id="296"/>
      </w:r>
      <w:r w:rsidR="00404E29" w:rsidRPr="00F90A54">
        <w:rPr>
          <w:rFonts w:ascii="Garamond" w:hAnsi="Garamond"/>
        </w:rPr>
        <w:t xml:space="preserve"> </w:t>
      </w:r>
    </w:p>
    <w:p w14:paraId="594A1062" w14:textId="4CA1AF28" w:rsidR="00453606" w:rsidRPr="00F90A54" w:rsidRDefault="00453606" w:rsidP="001F4A3F">
      <w:pPr>
        <w:ind w:firstLine="360"/>
        <w:jc w:val="both"/>
        <w:rPr>
          <w:rFonts w:ascii="Garamond" w:hAnsi="Garamond"/>
        </w:rPr>
      </w:pPr>
      <w:r w:rsidRPr="00F90A54">
        <w:rPr>
          <w:rFonts w:ascii="Garamond" w:hAnsi="Garamond"/>
        </w:rPr>
        <w:t xml:space="preserve">Take two examples discussed in Part II. </w:t>
      </w:r>
      <w:r w:rsidR="00B325AA" w:rsidRPr="00F90A54">
        <w:rPr>
          <w:rFonts w:ascii="Garamond" w:hAnsi="Garamond"/>
        </w:rPr>
        <w:t>First, i</w:t>
      </w:r>
      <w:r w:rsidRPr="00F90A54">
        <w:rPr>
          <w:rFonts w:ascii="Garamond" w:hAnsi="Garamond"/>
        </w:rPr>
        <w:t xml:space="preserve">n </w:t>
      </w:r>
      <w:r w:rsidRPr="00F90A54">
        <w:rPr>
          <w:rFonts w:ascii="Garamond" w:hAnsi="Garamond"/>
          <w:i/>
          <w:iCs/>
        </w:rPr>
        <w:t>Louisiana v. Biden</w:t>
      </w:r>
      <w:r w:rsidRPr="00F90A54">
        <w:rPr>
          <w:rFonts w:ascii="Garamond" w:hAnsi="Garamond"/>
        </w:rPr>
        <w:t>, the district court rejected several conservation groups who sought to intervene to help defen</w:t>
      </w:r>
      <w:r w:rsidR="001B7972" w:rsidRPr="00F90A54">
        <w:rPr>
          <w:rFonts w:ascii="Garamond" w:hAnsi="Garamond"/>
        </w:rPr>
        <w:t>d a moratorium on offshore oil and gas lease sales. Part of the court’s reasoning was that the conservation groups were “advocating for positions not at issue in this proceeding” including their position that the agency’s approach to oil and gas leasing should “protect the environment, climate, and public health.”</w:t>
      </w:r>
      <w:r w:rsidR="00C4339D" w:rsidRPr="00F90A54">
        <w:rPr>
          <w:rStyle w:val="FootnoteReference"/>
          <w:rFonts w:ascii="Garamond" w:hAnsi="Garamond"/>
        </w:rPr>
        <w:footnoteReference w:id="297"/>
      </w:r>
      <w:r w:rsidR="001B7972" w:rsidRPr="00F90A54">
        <w:rPr>
          <w:rFonts w:ascii="Garamond" w:hAnsi="Garamond"/>
        </w:rPr>
        <w:t xml:space="preserve"> As the court put it, “[t]his </w:t>
      </w:r>
      <w:r w:rsidR="001B7972" w:rsidRPr="00F90A54">
        <w:rPr>
          <w:rFonts w:ascii="Garamond" w:hAnsi="Garamond"/>
        </w:rPr>
        <w:lastRenderedPageBreak/>
        <w:t>court intends only to address the constitutional and statutory authority issues in this lawsuit, not climate policy.”</w:t>
      </w:r>
      <w:r w:rsidR="001B7972" w:rsidRPr="00F90A54">
        <w:rPr>
          <w:rStyle w:val="FootnoteReference"/>
          <w:rFonts w:ascii="Garamond" w:hAnsi="Garamond"/>
        </w:rPr>
        <w:footnoteReference w:id="298"/>
      </w:r>
      <w:r w:rsidR="001B7972" w:rsidRPr="00F90A54">
        <w:rPr>
          <w:rFonts w:ascii="Garamond" w:hAnsi="Garamond"/>
        </w:rPr>
        <w:t xml:space="preserve"> But shortly thereafter, the court </w:t>
      </w:r>
      <w:r w:rsidR="00A30A4F" w:rsidRPr="00F90A54">
        <w:rPr>
          <w:rFonts w:ascii="Garamond" w:hAnsi="Garamond"/>
        </w:rPr>
        <w:t xml:space="preserve">ordered the government to turn over all communications with those same conservation groups because the groups had been “indirectly involved in this matter” and the information was “important” to “determine whether there was improper influence, whether there was collusion, and/or whether the postponement or cancellation of these Lease Sales </w:t>
      </w:r>
      <w:r w:rsidR="00C4339D" w:rsidRPr="00F90A54">
        <w:rPr>
          <w:rFonts w:ascii="Garamond" w:hAnsi="Garamond"/>
        </w:rPr>
        <w:t>[were]</w:t>
      </w:r>
      <w:r w:rsidR="00A30A4F" w:rsidRPr="00F90A54">
        <w:rPr>
          <w:rFonts w:ascii="Garamond" w:hAnsi="Garamond"/>
        </w:rPr>
        <w:t xml:space="preserve"> pretextual.”</w:t>
      </w:r>
      <w:r w:rsidR="00A30A4F" w:rsidRPr="00F90A54">
        <w:rPr>
          <w:rStyle w:val="FootnoteReference"/>
          <w:rFonts w:ascii="Garamond" w:hAnsi="Garamond"/>
        </w:rPr>
        <w:footnoteReference w:id="299"/>
      </w:r>
      <w:r w:rsidR="00A30A4F" w:rsidRPr="00F90A54">
        <w:rPr>
          <w:rFonts w:ascii="Garamond" w:hAnsi="Garamond"/>
        </w:rPr>
        <w:t xml:space="preserve"> </w:t>
      </w:r>
      <w:r w:rsidR="0065533D" w:rsidRPr="00F90A54">
        <w:rPr>
          <w:rFonts w:ascii="Garamond" w:hAnsi="Garamond"/>
        </w:rPr>
        <w:t>In other words, the court rejected the conservation groups from participating in the case because their role would be tangential, but then ordered all communication between the government and those same groups to be disclosed because it was “important” to the court’s resolution of the merits of the cas</w:t>
      </w:r>
      <w:r w:rsidR="004E5A6B" w:rsidRPr="00F90A54">
        <w:rPr>
          <w:rFonts w:ascii="Garamond" w:hAnsi="Garamond"/>
        </w:rPr>
        <w:t xml:space="preserve">e. </w:t>
      </w:r>
      <w:r w:rsidR="000620E3" w:rsidRPr="00F90A54">
        <w:rPr>
          <w:rFonts w:ascii="Garamond" w:hAnsi="Garamond"/>
        </w:rPr>
        <w:t>One might conclude from this string of events that the district court was considering more than just the merits of the intervention motion when it declined to let the conservation groups participate.</w:t>
      </w:r>
    </w:p>
    <w:p w14:paraId="3EE5633E" w14:textId="21299128" w:rsidR="003A1BE3" w:rsidRPr="00F90A54" w:rsidRDefault="002867F0" w:rsidP="001F4A3F">
      <w:pPr>
        <w:ind w:firstLine="360"/>
        <w:jc w:val="both"/>
        <w:rPr>
          <w:rFonts w:ascii="Garamond" w:hAnsi="Garamond"/>
        </w:rPr>
      </w:pPr>
      <w:r w:rsidRPr="00F90A54">
        <w:rPr>
          <w:rFonts w:ascii="Garamond" w:hAnsi="Garamond"/>
        </w:rPr>
        <w:t xml:space="preserve">Second, in </w:t>
      </w:r>
      <w:r w:rsidRPr="00F90A54">
        <w:rPr>
          <w:rFonts w:ascii="Garamond" w:hAnsi="Garamond"/>
          <w:i/>
          <w:iCs/>
        </w:rPr>
        <w:t>Alabama v. United States Department of Commerce</w:t>
      </w:r>
      <w:r w:rsidRPr="00F90A54">
        <w:rPr>
          <w:rFonts w:ascii="Garamond" w:hAnsi="Garamond"/>
        </w:rPr>
        <w:t xml:space="preserve">, </w:t>
      </w:r>
      <w:r w:rsidR="004E5163" w:rsidRPr="00F90A54">
        <w:rPr>
          <w:rFonts w:ascii="Garamond" w:hAnsi="Garamond"/>
        </w:rPr>
        <w:t>the</w:t>
      </w:r>
      <w:r w:rsidRPr="00F90A54">
        <w:rPr>
          <w:rFonts w:ascii="Garamond" w:hAnsi="Garamond"/>
        </w:rPr>
        <w:t xml:space="preserve"> district court </w:t>
      </w:r>
      <w:r w:rsidR="004E5163" w:rsidRPr="00F90A54">
        <w:rPr>
          <w:rFonts w:ascii="Garamond" w:hAnsi="Garamond"/>
        </w:rPr>
        <w:t xml:space="preserve">granted intervention to several intervenors who sought to help defend the Department of Commerce’s 2020 Census </w:t>
      </w:r>
      <w:r w:rsidR="000C4BA8" w:rsidRPr="00F90A54">
        <w:rPr>
          <w:rFonts w:ascii="Garamond" w:hAnsi="Garamond"/>
        </w:rPr>
        <w:t xml:space="preserve">Residence Rule </w:t>
      </w:r>
      <w:r w:rsidR="0068114D" w:rsidRPr="00F90A54">
        <w:rPr>
          <w:rFonts w:ascii="Garamond" w:hAnsi="Garamond"/>
        </w:rPr>
        <w:t>that allowed foreign nationals in the United States to “be counted in the census and allocated to the state where their ‘usual residence’ is located” regardless of their legal status.</w:t>
      </w:r>
      <w:r w:rsidR="0068114D" w:rsidRPr="00F90A54">
        <w:rPr>
          <w:rStyle w:val="FootnoteReference"/>
          <w:rFonts w:ascii="Garamond" w:hAnsi="Garamond"/>
        </w:rPr>
        <w:footnoteReference w:id="300"/>
      </w:r>
      <w:r w:rsidR="0068114D" w:rsidRPr="00F90A54">
        <w:rPr>
          <w:rFonts w:ascii="Garamond" w:hAnsi="Garamond"/>
        </w:rPr>
        <w:t xml:space="preserve"> </w:t>
      </w:r>
      <w:r w:rsidR="002E2FF1" w:rsidRPr="00F90A54">
        <w:rPr>
          <w:rFonts w:ascii="Garamond" w:hAnsi="Garamond"/>
        </w:rPr>
        <w:t xml:space="preserve">In granting </w:t>
      </w:r>
      <w:r w:rsidR="003A1BE3" w:rsidRPr="00F90A54">
        <w:rPr>
          <w:rFonts w:ascii="Garamond" w:hAnsi="Garamond"/>
        </w:rPr>
        <w:t xml:space="preserve">several intervention </w:t>
      </w:r>
      <w:r w:rsidR="002E2FF1" w:rsidRPr="00F90A54">
        <w:rPr>
          <w:rFonts w:ascii="Garamond" w:hAnsi="Garamond"/>
        </w:rPr>
        <w:t>motions, the district court noted that its decision was “particularly significant in light of [the Department of Commerce]’s rather halfhearted Motion to Dismiss for Lack of Jurisdiction.”</w:t>
      </w:r>
      <w:r w:rsidR="003A1BE3" w:rsidRPr="00F90A54">
        <w:rPr>
          <w:rStyle w:val="FootnoteReference"/>
          <w:rFonts w:ascii="Garamond" w:hAnsi="Garamond"/>
        </w:rPr>
        <w:footnoteReference w:id="301"/>
      </w:r>
      <w:r w:rsidR="002E2FF1" w:rsidRPr="00F90A54">
        <w:rPr>
          <w:rFonts w:ascii="Garamond" w:hAnsi="Garamond"/>
        </w:rPr>
        <w:t xml:space="preserve"> The court was “concerned that Defendants have overlooked a key argument as to why Plaintiffs potentially lack Article III standing.”</w:t>
      </w:r>
      <w:r w:rsidR="003A1BE3" w:rsidRPr="00F90A54">
        <w:rPr>
          <w:rStyle w:val="FootnoteReference"/>
          <w:rFonts w:ascii="Garamond" w:hAnsi="Garamond"/>
        </w:rPr>
        <w:footnoteReference w:id="302"/>
      </w:r>
      <w:r w:rsidR="002E2FF1" w:rsidRPr="00F90A54">
        <w:rPr>
          <w:rFonts w:ascii="Garamond" w:hAnsi="Garamond"/>
        </w:rPr>
        <w:t xml:space="preserve"> </w:t>
      </w:r>
      <w:r w:rsidR="003A1BE3" w:rsidRPr="00F90A54">
        <w:rPr>
          <w:rFonts w:ascii="Garamond" w:hAnsi="Garamond"/>
        </w:rPr>
        <w:t xml:space="preserve">It </w:t>
      </w:r>
      <w:r w:rsidR="002E2FF1" w:rsidRPr="00F90A54">
        <w:rPr>
          <w:rFonts w:ascii="Garamond" w:hAnsi="Garamond"/>
        </w:rPr>
        <w:t>allowed intervention to “increase the prospect that the court w[</w:t>
      </w:r>
      <w:proofErr w:type="spellStart"/>
      <w:r w:rsidR="002E2FF1" w:rsidRPr="00F90A54">
        <w:rPr>
          <w:rFonts w:ascii="Garamond" w:hAnsi="Garamond"/>
        </w:rPr>
        <w:t>ould</w:t>
      </w:r>
      <w:proofErr w:type="spellEnd"/>
      <w:r w:rsidR="002E2FF1" w:rsidRPr="00F90A54">
        <w:rPr>
          <w:rFonts w:ascii="Garamond" w:hAnsi="Garamond"/>
        </w:rPr>
        <w:t>] be more fully informed of the best arguments that support Defendants’ position.”</w:t>
      </w:r>
      <w:r w:rsidR="00B8302C" w:rsidRPr="00F90A54">
        <w:rPr>
          <w:rStyle w:val="FootnoteReference"/>
          <w:rFonts w:ascii="Garamond" w:hAnsi="Garamond"/>
        </w:rPr>
        <w:footnoteReference w:id="303"/>
      </w:r>
      <w:r w:rsidR="002E2FF1" w:rsidRPr="00F90A54">
        <w:rPr>
          <w:rFonts w:ascii="Garamond" w:hAnsi="Garamond"/>
        </w:rPr>
        <w:t xml:space="preserve"> </w:t>
      </w:r>
    </w:p>
    <w:p w14:paraId="4DFF58A1" w14:textId="77777777" w:rsidR="0057680B" w:rsidRPr="00F90A54" w:rsidRDefault="00D67DEE" w:rsidP="0057680B">
      <w:pPr>
        <w:ind w:firstLine="360"/>
        <w:jc w:val="both"/>
        <w:rPr>
          <w:rFonts w:ascii="Garamond" w:hAnsi="Garamond"/>
        </w:rPr>
      </w:pPr>
      <w:r w:rsidRPr="00F90A54">
        <w:rPr>
          <w:rFonts w:ascii="Garamond" w:hAnsi="Garamond"/>
        </w:rPr>
        <w:t xml:space="preserve">Given the district court’s explicit admission that it was granting intervention to </w:t>
      </w:r>
      <w:r w:rsidR="00F65908" w:rsidRPr="00F90A54">
        <w:rPr>
          <w:rFonts w:ascii="Garamond" w:hAnsi="Garamond"/>
        </w:rPr>
        <w:t xml:space="preserve">bolster the arguments for dismissing the case, one might think that this intervention decision was also motivated by concerns beyond the four concerns of the intervention dispute. </w:t>
      </w:r>
      <w:r w:rsidR="00E23303" w:rsidRPr="00F90A54">
        <w:rPr>
          <w:rFonts w:ascii="Garamond" w:hAnsi="Garamond"/>
        </w:rPr>
        <w:t xml:space="preserve">But the district court went on to </w:t>
      </w:r>
      <w:r w:rsidR="00E23303" w:rsidRPr="00F90A54">
        <w:rPr>
          <w:rFonts w:ascii="Garamond" w:hAnsi="Garamond"/>
          <w:i/>
          <w:iCs/>
        </w:rPr>
        <w:t>reject</w:t>
      </w:r>
      <w:r w:rsidR="00E23303" w:rsidRPr="00F90A54">
        <w:rPr>
          <w:rFonts w:ascii="Garamond" w:hAnsi="Garamond"/>
        </w:rPr>
        <w:t xml:space="preserve"> the motion to dismiss</w:t>
      </w:r>
      <w:r w:rsidR="00D76C03" w:rsidRPr="00F90A54">
        <w:rPr>
          <w:rFonts w:ascii="Garamond" w:hAnsi="Garamond"/>
        </w:rPr>
        <w:t>, including the arguments asserted by the intervenors</w:t>
      </w:r>
      <w:r w:rsidR="00E23303" w:rsidRPr="00F90A54">
        <w:rPr>
          <w:rFonts w:ascii="Garamond" w:hAnsi="Garamond"/>
        </w:rPr>
        <w:t>.</w:t>
      </w:r>
      <w:r w:rsidR="008F746B" w:rsidRPr="00F90A54">
        <w:rPr>
          <w:rStyle w:val="FootnoteReference"/>
          <w:rFonts w:ascii="Garamond" w:hAnsi="Garamond"/>
        </w:rPr>
        <w:footnoteReference w:id="304"/>
      </w:r>
      <w:r w:rsidR="00E23303" w:rsidRPr="00F90A54">
        <w:rPr>
          <w:rFonts w:ascii="Garamond" w:hAnsi="Garamond"/>
        </w:rPr>
        <w:t xml:space="preserve"> </w:t>
      </w:r>
    </w:p>
    <w:p w14:paraId="5685BCA2" w14:textId="57F9779A" w:rsidR="003A59C7" w:rsidRPr="00F90A54" w:rsidRDefault="00A62233" w:rsidP="0057680B">
      <w:pPr>
        <w:ind w:firstLine="360"/>
        <w:jc w:val="both"/>
        <w:rPr>
          <w:rFonts w:ascii="Garamond" w:hAnsi="Garamond"/>
        </w:rPr>
      </w:pPr>
      <w:r w:rsidRPr="00F90A54">
        <w:rPr>
          <w:rFonts w:ascii="Garamond" w:hAnsi="Garamond"/>
        </w:rPr>
        <w:t>In hindsight, the district court’s opinion</w:t>
      </w:r>
      <w:r w:rsidR="00010D44" w:rsidRPr="00F90A54">
        <w:rPr>
          <w:rFonts w:ascii="Garamond" w:hAnsi="Garamond"/>
        </w:rPr>
        <w:t xml:space="preserve"> appears to be guided more by a concern with ensuring the accuracy of the court’s judgment than politics</w:t>
      </w:r>
      <w:r w:rsidR="0092628A" w:rsidRPr="00F90A54">
        <w:rPr>
          <w:rFonts w:ascii="Garamond" w:hAnsi="Garamond"/>
        </w:rPr>
        <w:t>.</w:t>
      </w:r>
      <w:r w:rsidR="0033593C" w:rsidRPr="00F90A54">
        <w:rPr>
          <w:rFonts w:ascii="Garamond" w:hAnsi="Garamond"/>
        </w:rPr>
        <w:t xml:space="preserve"> </w:t>
      </w:r>
      <w:r w:rsidR="00010D44" w:rsidRPr="00F90A54">
        <w:rPr>
          <w:rFonts w:ascii="Garamond" w:hAnsi="Garamond"/>
        </w:rPr>
        <w:t xml:space="preserve">But </w:t>
      </w:r>
      <w:r w:rsidR="003A59C7" w:rsidRPr="00F90A54">
        <w:rPr>
          <w:rFonts w:ascii="Garamond" w:hAnsi="Garamond"/>
        </w:rPr>
        <w:t>the district court</w:t>
      </w:r>
      <w:r w:rsidR="00DD6A16">
        <w:rPr>
          <w:rFonts w:ascii="Garamond" w:hAnsi="Garamond"/>
        </w:rPr>
        <w:t>’s</w:t>
      </w:r>
      <w:r w:rsidR="003A59C7" w:rsidRPr="00F90A54">
        <w:rPr>
          <w:rFonts w:ascii="Garamond" w:hAnsi="Garamond"/>
        </w:rPr>
        <w:t xml:space="preserve"> broad discretion over intervention </w:t>
      </w:r>
      <w:r w:rsidR="00DD6A16">
        <w:rPr>
          <w:rFonts w:ascii="Garamond" w:hAnsi="Garamond"/>
        </w:rPr>
        <w:t xml:space="preserve">justifies </w:t>
      </w:r>
      <w:r w:rsidR="00010D44" w:rsidRPr="00F90A54">
        <w:rPr>
          <w:rFonts w:ascii="Garamond" w:hAnsi="Garamond"/>
        </w:rPr>
        <w:t>observers interpreting the decision as</w:t>
      </w:r>
      <w:r w:rsidR="003A59C7" w:rsidRPr="00F90A54">
        <w:rPr>
          <w:rFonts w:ascii="Garamond" w:hAnsi="Garamond"/>
        </w:rPr>
        <w:t xml:space="preserve"> </w:t>
      </w:r>
      <w:r w:rsidR="00010D44" w:rsidRPr="00F90A54">
        <w:rPr>
          <w:rFonts w:ascii="Garamond" w:hAnsi="Garamond"/>
        </w:rPr>
        <w:t>an act of filtering the arguments and evidence according to the court’s preferences on the merits.</w:t>
      </w:r>
      <w:r w:rsidR="004D1F48" w:rsidRPr="00F90A54">
        <w:rPr>
          <w:rStyle w:val="FootnoteReference"/>
          <w:rFonts w:ascii="Garamond" w:hAnsi="Garamond"/>
        </w:rPr>
        <w:footnoteReference w:id="305"/>
      </w:r>
      <w:r w:rsidR="00B51B86" w:rsidRPr="00F90A54">
        <w:rPr>
          <w:rFonts w:ascii="Garamond" w:hAnsi="Garamond"/>
        </w:rPr>
        <w:t xml:space="preserve"> </w:t>
      </w:r>
      <w:r w:rsidR="00C80874" w:rsidRPr="00F90A54">
        <w:rPr>
          <w:rFonts w:ascii="Garamond" w:hAnsi="Garamond"/>
        </w:rPr>
        <w:t xml:space="preserve">In other words, the </w:t>
      </w:r>
      <w:r w:rsidR="00952343" w:rsidRPr="00F90A54">
        <w:rPr>
          <w:rFonts w:ascii="Garamond" w:hAnsi="Garamond"/>
        </w:rPr>
        <w:t xml:space="preserve">technical </w:t>
      </w:r>
      <w:r w:rsidR="00C80874" w:rsidRPr="00F90A54">
        <w:rPr>
          <w:rFonts w:ascii="Garamond" w:hAnsi="Garamond"/>
        </w:rPr>
        <w:t xml:space="preserve">decision </w:t>
      </w:r>
      <w:r w:rsidR="00C80874" w:rsidRPr="00F90A54">
        <w:rPr>
          <w:rFonts w:ascii="Garamond" w:hAnsi="Garamond"/>
          <w:i/>
          <w:iCs/>
        </w:rPr>
        <w:t>appeared</w:t>
      </w:r>
      <w:r w:rsidR="00C80874" w:rsidRPr="00F90A54">
        <w:rPr>
          <w:rFonts w:ascii="Garamond" w:hAnsi="Garamond"/>
        </w:rPr>
        <w:t xml:space="preserve"> more political regardless of </w:t>
      </w:r>
      <w:r w:rsidR="00C80874" w:rsidRPr="00F90A54">
        <w:rPr>
          <w:rFonts w:ascii="Garamond" w:hAnsi="Garamond"/>
        </w:rPr>
        <w:lastRenderedPageBreak/>
        <w:t>the court’s actual intentions.</w:t>
      </w:r>
      <w:r w:rsidR="00952343" w:rsidRPr="00F90A54">
        <w:rPr>
          <w:rStyle w:val="FootnoteReference"/>
          <w:rFonts w:ascii="Garamond" w:hAnsi="Garamond"/>
        </w:rPr>
        <w:footnoteReference w:id="306"/>
      </w:r>
      <w:r w:rsidR="00C80874" w:rsidRPr="00F90A54">
        <w:rPr>
          <w:rFonts w:ascii="Garamond" w:hAnsi="Garamond"/>
        </w:rPr>
        <w:t xml:space="preserve"> </w:t>
      </w:r>
      <w:r w:rsidR="009614AB" w:rsidRPr="00F90A54">
        <w:rPr>
          <w:rFonts w:ascii="Garamond" w:hAnsi="Garamond"/>
        </w:rPr>
        <w:t xml:space="preserve">As </w:t>
      </w:r>
      <w:r w:rsidR="004E03D2">
        <w:rPr>
          <w:rFonts w:ascii="Garamond" w:hAnsi="Garamond"/>
        </w:rPr>
        <w:t>Steve</w:t>
      </w:r>
      <w:r w:rsidR="009614AB" w:rsidRPr="00F90A54">
        <w:rPr>
          <w:rFonts w:ascii="Garamond" w:hAnsi="Garamond"/>
        </w:rPr>
        <w:t xml:space="preserve"> Vladeck put it in another context, when procedural decisions are guided by uncertain standards</w:t>
      </w:r>
      <w:r w:rsidR="00C0666C" w:rsidRPr="00F90A54">
        <w:rPr>
          <w:rFonts w:ascii="Garamond" w:hAnsi="Garamond"/>
        </w:rPr>
        <w:t>,</w:t>
      </w:r>
      <w:r w:rsidR="009614AB" w:rsidRPr="00F90A54">
        <w:rPr>
          <w:rFonts w:ascii="Garamond" w:hAnsi="Garamond"/>
        </w:rPr>
        <w:t xml:space="preserve"> courts risk the perception that </w:t>
      </w:r>
      <w:r w:rsidR="00C0666C" w:rsidRPr="00F90A54">
        <w:rPr>
          <w:rFonts w:ascii="Garamond" w:hAnsi="Garamond"/>
        </w:rPr>
        <w:t>their</w:t>
      </w:r>
      <w:r w:rsidR="009614AB" w:rsidRPr="00F90A54">
        <w:rPr>
          <w:rFonts w:ascii="Garamond" w:hAnsi="Garamond"/>
        </w:rPr>
        <w:t xml:space="preserve"> decisions depend “on the political or ideological valence of the particular government policy at issue.”</w:t>
      </w:r>
      <w:r w:rsidR="009614AB" w:rsidRPr="00F90A54">
        <w:rPr>
          <w:rStyle w:val="FootnoteReference"/>
          <w:rFonts w:ascii="Garamond" w:hAnsi="Garamond"/>
        </w:rPr>
        <w:footnoteReference w:id="307"/>
      </w:r>
      <w:r w:rsidR="009614AB" w:rsidRPr="00F90A54">
        <w:rPr>
          <w:rFonts w:ascii="Garamond" w:hAnsi="Garamond"/>
        </w:rPr>
        <w:t xml:space="preserve"> </w:t>
      </w:r>
      <w:r w:rsidR="00F45342" w:rsidRPr="00F90A54">
        <w:rPr>
          <w:rFonts w:ascii="Garamond" w:hAnsi="Garamond"/>
        </w:rPr>
        <w:t xml:space="preserve">That is a weighty risk </w:t>
      </w:r>
      <w:r w:rsidR="00C0666C" w:rsidRPr="00F90A54">
        <w:rPr>
          <w:rFonts w:ascii="Garamond" w:hAnsi="Garamond"/>
        </w:rPr>
        <w:t xml:space="preserve">in cases that already </w:t>
      </w:r>
      <w:r w:rsidR="00F45342" w:rsidRPr="00F90A54">
        <w:rPr>
          <w:rFonts w:ascii="Garamond" w:hAnsi="Garamond"/>
        </w:rPr>
        <w:t xml:space="preserve">receive significant public attention and </w:t>
      </w:r>
      <w:r w:rsidR="006F4EC4" w:rsidRPr="00F90A54">
        <w:rPr>
          <w:rFonts w:ascii="Garamond" w:hAnsi="Garamond"/>
        </w:rPr>
        <w:t xml:space="preserve">will likely be criticized as </w:t>
      </w:r>
      <w:r w:rsidR="00651412" w:rsidRPr="00F90A54">
        <w:rPr>
          <w:rFonts w:ascii="Garamond" w:hAnsi="Garamond"/>
        </w:rPr>
        <w:t>political</w:t>
      </w:r>
      <w:r w:rsidR="006F4EC4" w:rsidRPr="00F90A54">
        <w:rPr>
          <w:rFonts w:ascii="Garamond" w:hAnsi="Garamond"/>
        </w:rPr>
        <w:t>ly motivated</w:t>
      </w:r>
      <w:r w:rsidR="00651412" w:rsidRPr="00F90A54">
        <w:rPr>
          <w:rFonts w:ascii="Garamond" w:hAnsi="Garamond"/>
        </w:rPr>
        <w:t xml:space="preserve">. </w:t>
      </w:r>
    </w:p>
    <w:p w14:paraId="59DCB6F7" w14:textId="4A7CA1A6" w:rsidR="00E50045" w:rsidRPr="00F90A54" w:rsidRDefault="004E32CB" w:rsidP="001F4A3F">
      <w:pPr>
        <w:ind w:firstLine="360"/>
        <w:jc w:val="both"/>
        <w:rPr>
          <w:rFonts w:ascii="Garamond" w:hAnsi="Garamond"/>
        </w:rPr>
      </w:pPr>
      <w:r w:rsidRPr="00F90A54">
        <w:rPr>
          <w:rFonts w:ascii="Garamond" w:hAnsi="Garamond"/>
        </w:rPr>
        <w:t xml:space="preserve">Nor is it unduly cynical for observers to think that a court might want to influence the decision through a grant or denial of intervention. </w:t>
      </w:r>
      <w:r w:rsidR="00F92C16" w:rsidRPr="00F90A54">
        <w:rPr>
          <w:rFonts w:ascii="Garamond" w:hAnsi="Garamond"/>
        </w:rPr>
        <w:t xml:space="preserve">When a court wants to avoid ruling on a publicly fraught merits question, but the defendant is pushing the case towards a </w:t>
      </w:r>
      <w:proofErr w:type="gramStart"/>
      <w:r w:rsidR="00F92C16" w:rsidRPr="00F90A54">
        <w:rPr>
          <w:rFonts w:ascii="Garamond" w:hAnsi="Garamond"/>
        </w:rPr>
        <w:t>merits</w:t>
      </w:r>
      <w:proofErr w:type="gramEnd"/>
      <w:r w:rsidR="00F92C16" w:rsidRPr="00F90A54">
        <w:rPr>
          <w:rFonts w:ascii="Garamond" w:hAnsi="Garamond"/>
        </w:rPr>
        <w:t xml:space="preserve"> determination, the court can grant intervention to a party that wants to dismiss the case </w:t>
      </w:r>
      <w:r w:rsidR="00295C89" w:rsidRPr="00F90A54">
        <w:rPr>
          <w:rFonts w:ascii="Garamond" w:hAnsi="Garamond"/>
        </w:rPr>
        <w:t xml:space="preserve">for </w:t>
      </w:r>
      <w:r w:rsidR="00F92C16" w:rsidRPr="00F90A54">
        <w:rPr>
          <w:rFonts w:ascii="Garamond" w:hAnsi="Garamond"/>
        </w:rPr>
        <w:t xml:space="preserve">pleading deficiencies. Likewise, a court </w:t>
      </w:r>
      <w:r w:rsidR="00C2316B" w:rsidRPr="00F90A54">
        <w:rPr>
          <w:rFonts w:ascii="Garamond" w:hAnsi="Garamond"/>
        </w:rPr>
        <w:t xml:space="preserve">bent on ensuring that it will resolve the merits </w:t>
      </w:r>
      <w:r w:rsidR="00F92C16" w:rsidRPr="00F90A54">
        <w:rPr>
          <w:rFonts w:ascii="Garamond" w:hAnsi="Garamond"/>
        </w:rPr>
        <w:t>might intentionally exclude third parties who wish to raise procedural objections</w:t>
      </w:r>
      <w:r w:rsidR="00C2316B" w:rsidRPr="00F90A54">
        <w:rPr>
          <w:rFonts w:ascii="Garamond" w:hAnsi="Garamond"/>
        </w:rPr>
        <w:t>, or limit their participation to the arguments raised by the original parties</w:t>
      </w:r>
      <w:r w:rsidR="00F92C16" w:rsidRPr="00F90A54">
        <w:rPr>
          <w:rFonts w:ascii="Garamond" w:hAnsi="Garamond"/>
        </w:rPr>
        <w:t>.</w:t>
      </w:r>
      <w:r w:rsidR="00F92C16" w:rsidRPr="00F90A54">
        <w:rPr>
          <w:rStyle w:val="FootnoteReference"/>
          <w:rFonts w:ascii="Garamond" w:hAnsi="Garamond"/>
        </w:rPr>
        <w:footnoteReference w:id="308"/>
      </w:r>
      <w:r w:rsidR="00F92C16" w:rsidRPr="00F90A54">
        <w:rPr>
          <w:rFonts w:ascii="Garamond" w:hAnsi="Garamond"/>
        </w:rPr>
        <w:t xml:space="preserve"> </w:t>
      </w:r>
      <w:r w:rsidR="00C2316B" w:rsidRPr="00F90A54">
        <w:rPr>
          <w:rFonts w:ascii="Garamond" w:hAnsi="Garamond"/>
        </w:rPr>
        <w:t xml:space="preserve">Those limits will </w:t>
      </w:r>
      <w:r w:rsidR="00C25A6B" w:rsidRPr="00F90A54">
        <w:rPr>
          <w:rFonts w:ascii="Garamond" w:hAnsi="Garamond"/>
        </w:rPr>
        <w:t>reverberate throughout</w:t>
      </w:r>
      <w:r w:rsidR="00C2316B" w:rsidRPr="00F90A54">
        <w:rPr>
          <w:rFonts w:ascii="Garamond" w:hAnsi="Garamond"/>
        </w:rPr>
        <w:t xml:space="preserve"> the </w:t>
      </w:r>
      <w:r w:rsidR="001E6D09" w:rsidRPr="00F90A54">
        <w:rPr>
          <w:rFonts w:ascii="Garamond" w:hAnsi="Garamond"/>
        </w:rPr>
        <w:t xml:space="preserve">life cycle of the </w:t>
      </w:r>
      <w:r w:rsidR="00C2316B" w:rsidRPr="00F90A54">
        <w:rPr>
          <w:rFonts w:ascii="Garamond" w:hAnsi="Garamond"/>
        </w:rPr>
        <w:t>case</w:t>
      </w:r>
      <w:r w:rsidR="008972AF" w:rsidRPr="00F90A54">
        <w:rPr>
          <w:rFonts w:ascii="Garamond" w:hAnsi="Garamond"/>
        </w:rPr>
        <w:t>.</w:t>
      </w:r>
      <w:r w:rsidR="00C2316B" w:rsidRPr="00F90A54">
        <w:rPr>
          <w:rFonts w:ascii="Garamond" w:hAnsi="Garamond"/>
        </w:rPr>
        <w:t xml:space="preserve"> </w:t>
      </w:r>
      <w:r w:rsidR="008972AF" w:rsidRPr="00F90A54">
        <w:rPr>
          <w:rFonts w:ascii="Garamond" w:hAnsi="Garamond"/>
        </w:rPr>
        <w:t>E</w:t>
      </w:r>
      <w:r w:rsidR="0029252C" w:rsidRPr="00F90A54">
        <w:rPr>
          <w:rFonts w:ascii="Garamond" w:hAnsi="Garamond"/>
        </w:rPr>
        <w:t xml:space="preserve">vidence not presented </w:t>
      </w:r>
      <w:r w:rsidR="00C2316B" w:rsidRPr="00F90A54">
        <w:rPr>
          <w:rFonts w:ascii="Garamond" w:hAnsi="Garamond"/>
        </w:rPr>
        <w:t>to</w:t>
      </w:r>
      <w:r w:rsidR="0029252C" w:rsidRPr="00F90A54">
        <w:rPr>
          <w:rFonts w:ascii="Garamond" w:hAnsi="Garamond"/>
        </w:rPr>
        <w:t xml:space="preserve"> the district court will not be in the record for the appellate court to consider</w:t>
      </w:r>
      <w:r w:rsidR="008972AF" w:rsidRPr="00F90A54">
        <w:rPr>
          <w:rFonts w:ascii="Garamond" w:hAnsi="Garamond"/>
        </w:rPr>
        <w:t>.</w:t>
      </w:r>
      <w:r w:rsidR="0029252C" w:rsidRPr="00F90A54">
        <w:rPr>
          <w:rFonts w:ascii="Garamond" w:hAnsi="Garamond"/>
        </w:rPr>
        <w:t xml:space="preserve"> </w:t>
      </w:r>
      <w:r w:rsidR="008972AF" w:rsidRPr="00F90A54">
        <w:rPr>
          <w:rFonts w:ascii="Garamond" w:hAnsi="Garamond"/>
        </w:rPr>
        <w:t>A</w:t>
      </w:r>
      <w:r w:rsidR="0029252C" w:rsidRPr="00F90A54">
        <w:rPr>
          <w:rFonts w:ascii="Garamond" w:hAnsi="Garamond"/>
        </w:rPr>
        <w:t xml:space="preserve">nd procedural objections not made </w:t>
      </w:r>
      <w:r w:rsidR="00C2316B" w:rsidRPr="00F90A54">
        <w:rPr>
          <w:rFonts w:ascii="Garamond" w:hAnsi="Garamond"/>
        </w:rPr>
        <w:t xml:space="preserve">below </w:t>
      </w:r>
      <w:r w:rsidR="0029252C" w:rsidRPr="00F90A54">
        <w:rPr>
          <w:rFonts w:ascii="Garamond" w:hAnsi="Garamond"/>
        </w:rPr>
        <w:t xml:space="preserve">will be waived or receive an unfavorable standard of review on appeal. </w:t>
      </w:r>
    </w:p>
    <w:p w14:paraId="11757277" w14:textId="25F44012" w:rsidR="00E72E6E" w:rsidRPr="00F90A54" w:rsidRDefault="00EB7AB6" w:rsidP="001F4A3F">
      <w:pPr>
        <w:ind w:firstLine="360"/>
        <w:jc w:val="both"/>
        <w:rPr>
          <w:rFonts w:ascii="Garamond" w:eastAsia="Times New Roman" w:hAnsi="Garamond"/>
        </w:rPr>
      </w:pPr>
      <w:r w:rsidRPr="00F90A54">
        <w:rPr>
          <w:rFonts w:ascii="Garamond" w:eastAsia="Times New Roman" w:hAnsi="Garamond"/>
        </w:rPr>
        <w:t xml:space="preserve">The court may even dictate whether there will be an appeal at all. </w:t>
      </w:r>
      <w:r w:rsidR="00E72E6E" w:rsidRPr="00F90A54">
        <w:rPr>
          <w:rFonts w:ascii="Garamond" w:eastAsia="Times New Roman" w:hAnsi="Garamond"/>
        </w:rPr>
        <w:t xml:space="preserve">Proposed intervenors often show that the federal government does not adequately represent their interests by contrasting the government’s predicted strategy with their own </w:t>
      </w:r>
      <w:r w:rsidR="00E72E6E" w:rsidRPr="00F90A54">
        <w:rPr>
          <w:rFonts w:ascii="Garamond" w:eastAsia="Times New Roman" w:hAnsi="Garamond"/>
        </w:rPr>
        <w:lastRenderedPageBreak/>
        <w:t>willingness to defend a law to the bitter end of appellate review.</w:t>
      </w:r>
      <w:r w:rsidR="00E72E6E" w:rsidRPr="00F90A54">
        <w:rPr>
          <w:rFonts w:ascii="Garamond" w:eastAsia="Times New Roman" w:hAnsi="Garamond"/>
          <w:vertAlign w:val="superscript"/>
        </w:rPr>
        <w:footnoteReference w:id="309"/>
      </w:r>
      <w:r w:rsidR="00E72E6E" w:rsidRPr="00F90A54">
        <w:rPr>
          <w:rFonts w:ascii="Garamond" w:eastAsia="Times New Roman" w:hAnsi="Garamond"/>
        </w:rPr>
        <w:t xml:space="preserve"> Denying intervention, delaying ruling on an intervention motion, or granting only limited intervention can “</w:t>
      </w:r>
      <w:proofErr w:type="gramStart"/>
      <w:r w:rsidR="00E72E6E" w:rsidRPr="00F90A54">
        <w:rPr>
          <w:rFonts w:ascii="Garamond" w:eastAsia="Times New Roman" w:hAnsi="Garamond"/>
        </w:rPr>
        <w:t>insulate[</w:t>
      </w:r>
      <w:proofErr w:type="gramEnd"/>
      <w:r w:rsidR="00E72E6E" w:rsidRPr="00F90A54">
        <w:rPr>
          <w:rFonts w:ascii="Garamond" w:eastAsia="Times New Roman" w:hAnsi="Garamond"/>
        </w:rPr>
        <w:t>] the district court’s merits rulings from appellate scrutiny for as long as the delay lasts.”</w:t>
      </w:r>
      <w:r w:rsidR="00E72E6E" w:rsidRPr="00F90A54">
        <w:rPr>
          <w:rFonts w:ascii="Garamond" w:eastAsia="Times New Roman" w:hAnsi="Garamond"/>
          <w:vertAlign w:val="superscript"/>
        </w:rPr>
        <w:footnoteReference w:id="310"/>
      </w:r>
    </w:p>
    <w:p w14:paraId="3C58265E" w14:textId="59948BBE" w:rsidR="0084251B" w:rsidRPr="00F90A54" w:rsidRDefault="0029252C" w:rsidP="001F4A3F">
      <w:pPr>
        <w:ind w:firstLine="360"/>
        <w:jc w:val="both"/>
        <w:rPr>
          <w:rFonts w:ascii="Garamond" w:hAnsi="Garamond"/>
        </w:rPr>
      </w:pPr>
      <w:r w:rsidRPr="00F90A54">
        <w:rPr>
          <w:rFonts w:ascii="Garamond" w:hAnsi="Garamond"/>
        </w:rPr>
        <w:t xml:space="preserve">Given the impact that intervention can have on a case, </w:t>
      </w:r>
      <w:r w:rsidR="00FE687D" w:rsidRPr="00F90A54">
        <w:rPr>
          <w:rFonts w:ascii="Garamond" w:hAnsi="Garamond"/>
        </w:rPr>
        <w:t xml:space="preserve">it makes sense </w:t>
      </w:r>
      <w:r w:rsidR="00217ABF" w:rsidRPr="00F90A54">
        <w:rPr>
          <w:rFonts w:ascii="Garamond" w:hAnsi="Garamond"/>
        </w:rPr>
        <w:t xml:space="preserve">for the public to be </w:t>
      </w:r>
      <w:r w:rsidR="001F3494" w:rsidRPr="00F90A54">
        <w:rPr>
          <w:rFonts w:ascii="Garamond" w:hAnsi="Garamond"/>
        </w:rPr>
        <w:t>skeptical</w:t>
      </w:r>
      <w:r w:rsidR="00217ABF" w:rsidRPr="00F90A54">
        <w:rPr>
          <w:rFonts w:ascii="Garamond" w:hAnsi="Garamond"/>
        </w:rPr>
        <w:t xml:space="preserve"> that </w:t>
      </w:r>
      <w:r w:rsidR="00FE687D" w:rsidRPr="00F90A54">
        <w:rPr>
          <w:rFonts w:ascii="Garamond" w:hAnsi="Garamond"/>
        </w:rPr>
        <w:t xml:space="preserve">politics might be motivating the </w:t>
      </w:r>
      <w:r w:rsidR="00667235" w:rsidRPr="00F90A54">
        <w:rPr>
          <w:rFonts w:ascii="Garamond" w:hAnsi="Garamond"/>
        </w:rPr>
        <w:t xml:space="preserve">court’s </w:t>
      </w:r>
      <w:r w:rsidR="00FE687D" w:rsidRPr="00F90A54">
        <w:rPr>
          <w:rFonts w:ascii="Garamond" w:hAnsi="Garamond"/>
        </w:rPr>
        <w:t xml:space="preserve">decision in politically contentious changes. </w:t>
      </w:r>
      <w:r w:rsidR="0084251B" w:rsidRPr="00F90A54">
        <w:rPr>
          <w:rFonts w:ascii="Garamond" w:hAnsi="Garamond"/>
        </w:rPr>
        <w:t>The varying and inconsistent standards guiding intervention compound that skepticism</w:t>
      </w:r>
      <w:r w:rsidR="00E67242" w:rsidRPr="00F90A54">
        <w:rPr>
          <w:rFonts w:ascii="Garamond" w:hAnsi="Garamond"/>
        </w:rPr>
        <w:t xml:space="preserve"> and </w:t>
      </w:r>
      <w:r w:rsidR="0084251B" w:rsidRPr="00F90A54">
        <w:rPr>
          <w:rFonts w:ascii="Garamond" w:hAnsi="Garamond"/>
        </w:rPr>
        <w:t xml:space="preserve">exacerbate concerns that the </w:t>
      </w:r>
      <w:r w:rsidR="00E67242" w:rsidRPr="00F90A54">
        <w:rPr>
          <w:rFonts w:ascii="Garamond" w:hAnsi="Garamond"/>
        </w:rPr>
        <w:t xml:space="preserve">ultimate </w:t>
      </w:r>
      <w:r w:rsidR="0084251B" w:rsidRPr="00F90A54">
        <w:rPr>
          <w:rFonts w:ascii="Garamond" w:hAnsi="Garamond"/>
        </w:rPr>
        <w:t xml:space="preserve">decision to issue </w:t>
      </w:r>
      <w:r w:rsidR="00E67242" w:rsidRPr="00F90A54">
        <w:rPr>
          <w:rFonts w:ascii="Garamond" w:hAnsi="Garamond"/>
        </w:rPr>
        <w:t xml:space="preserve">or deny </w:t>
      </w:r>
      <w:r w:rsidR="0084251B" w:rsidRPr="00F90A54">
        <w:rPr>
          <w:rFonts w:ascii="Garamond" w:hAnsi="Garamond"/>
        </w:rPr>
        <w:t xml:space="preserve">a nationwide injunction is also politically motivated. </w:t>
      </w:r>
    </w:p>
    <w:p w14:paraId="350320DB" w14:textId="4B9507B3" w:rsidR="00DF6063" w:rsidRPr="00F90A54" w:rsidRDefault="00D67DEE" w:rsidP="00DF6063">
      <w:pPr>
        <w:ind w:left="360" w:hanging="360"/>
        <w:rPr>
          <w:rFonts w:ascii="Garamond" w:hAnsi="Garamond"/>
        </w:rPr>
      </w:pPr>
      <w:r w:rsidRPr="00F90A54">
        <w:rPr>
          <w:rFonts w:ascii="Garamond" w:hAnsi="Garamond"/>
        </w:rPr>
        <w:tab/>
      </w:r>
    </w:p>
    <w:p w14:paraId="541041E1" w14:textId="0A389A0E" w:rsidR="00DF6063" w:rsidRPr="00F90A54" w:rsidRDefault="0084251B" w:rsidP="00D9403B">
      <w:pPr>
        <w:pStyle w:val="Heading3"/>
        <w:keepNext/>
      </w:pPr>
      <w:bookmarkStart w:id="22" w:name="_Toc143336564"/>
      <w:r w:rsidRPr="00F90A54">
        <w:t xml:space="preserve">Intervention </w:t>
      </w:r>
      <w:r w:rsidR="00DF6063" w:rsidRPr="00F90A54">
        <w:t xml:space="preserve">Expands Judicial Involvement </w:t>
      </w:r>
      <w:r w:rsidR="00132794" w:rsidRPr="00F90A54">
        <w:t>in Political Cases</w:t>
      </w:r>
      <w:bookmarkEnd w:id="22"/>
    </w:p>
    <w:p w14:paraId="0EBC4A27" w14:textId="77777777" w:rsidR="00DF6063" w:rsidRPr="00F90A54" w:rsidRDefault="00DF6063" w:rsidP="00D9403B">
      <w:pPr>
        <w:keepNext/>
        <w:ind w:left="360" w:hanging="360"/>
        <w:rPr>
          <w:rFonts w:ascii="Garamond" w:hAnsi="Garamond"/>
        </w:rPr>
      </w:pPr>
    </w:p>
    <w:p w14:paraId="501D029D" w14:textId="35B61F3A" w:rsidR="00151ADD" w:rsidRPr="00F90A54" w:rsidRDefault="00312B2A" w:rsidP="001F4A3F">
      <w:pPr>
        <w:ind w:firstLine="360"/>
        <w:jc w:val="both"/>
        <w:rPr>
          <w:rFonts w:ascii="Garamond" w:hAnsi="Garamond"/>
        </w:rPr>
      </w:pPr>
      <w:r w:rsidRPr="00F90A54">
        <w:rPr>
          <w:rFonts w:ascii="Garamond" w:hAnsi="Garamond"/>
        </w:rPr>
        <w:t>A second concern raised by widespread intervention in cases seeking nationwide injunctions is the further entanglement of courts in political cases. Broad intervention in such suits ensures that high-stakes ideological issues are resolved by the judiciary rather than the parties or the democratic branches</w:t>
      </w:r>
      <w:r w:rsidR="00151ADD" w:rsidRPr="00F90A54">
        <w:rPr>
          <w:rFonts w:ascii="Garamond" w:hAnsi="Garamond"/>
        </w:rPr>
        <w:t xml:space="preserve"> because i</w:t>
      </w:r>
      <w:r w:rsidR="006A1D85" w:rsidRPr="00F90A54">
        <w:rPr>
          <w:rFonts w:ascii="Garamond" w:hAnsi="Garamond"/>
        </w:rPr>
        <w:t>ntransigent intervenors can keep the case alive long after the original parties have agreed to resolve the dispute.</w:t>
      </w:r>
      <w:r w:rsidR="006A1D85" w:rsidRPr="00F90A54">
        <w:rPr>
          <w:rStyle w:val="FootnoteReference"/>
          <w:rFonts w:ascii="Garamond" w:hAnsi="Garamond"/>
        </w:rPr>
        <w:footnoteReference w:id="311"/>
      </w:r>
      <w:r w:rsidR="006A1D85" w:rsidRPr="00F90A54">
        <w:rPr>
          <w:rFonts w:ascii="Garamond" w:hAnsi="Garamond"/>
        </w:rPr>
        <w:t xml:space="preserve"> </w:t>
      </w:r>
    </w:p>
    <w:p w14:paraId="56F45D77" w14:textId="228A54EA" w:rsidR="00213738" w:rsidRPr="00F90A54" w:rsidRDefault="006A1D85" w:rsidP="00D92A29">
      <w:pPr>
        <w:ind w:firstLine="360"/>
        <w:jc w:val="both"/>
        <w:rPr>
          <w:rFonts w:ascii="Garamond" w:hAnsi="Garamond"/>
        </w:rPr>
      </w:pPr>
      <w:r w:rsidRPr="00F90A54">
        <w:rPr>
          <w:rFonts w:ascii="Garamond" w:hAnsi="Garamond"/>
        </w:rPr>
        <w:t xml:space="preserve">This closes off the prudential </w:t>
      </w:r>
      <w:r w:rsidR="007D3554" w:rsidRPr="00F90A54">
        <w:rPr>
          <w:rFonts w:ascii="Garamond" w:hAnsi="Garamond"/>
        </w:rPr>
        <w:t>escape hatches</w:t>
      </w:r>
      <w:r w:rsidRPr="00F90A54">
        <w:rPr>
          <w:rFonts w:ascii="Garamond" w:hAnsi="Garamond"/>
        </w:rPr>
        <w:t xml:space="preserve"> often available in public-law </w:t>
      </w:r>
      <w:r w:rsidR="00CE2175" w:rsidRPr="00F90A54">
        <w:rPr>
          <w:rFonts w:ascii="Garamond" w:hAnsi="Garamond"/>
        </w:rPr>
        <w:t>cases, leaving</w:t>
      </w:r>
      <w:r w:rsidRPr="00F90A54">
        <w:rPr>
          <w:rFonts w:ascii="Garamond" w:hAnsi="Garamond"/>
        </w:rPr>
        <w:t xml:space="preserve"> the judiciary squarely at the center of political disputes. </w:t>
      </w:r>
      <w:r w:rsidR="00213738" w:rsidRPr="00F90A54">
        <w:rPr>
          <w:rFonts w:ascii="Garamond" w:hAnsi="Garamond"/>
        </w:rPr>
        <w:t xml:space="preserve">These </w:t>
      </w:r>
      <w:r w:rsidR="007D3554" w:rsidRPr="00F90A54">
        <w:rPr>
          <w:rFonts w:ascii="Garamond" w:hAnsi="Garamond"/>
        </w:rPr>
        <w:t>strategies</w:t>
      </w:r>
      <w:r w:rsidR="00213738" w:rsidRPr="00F90A54">
        <w:rPr>
          <w:rFonts w:ascii="Garamond" w:hAnsi="Garamond"/>
        </w:rPr>
        <w:t xml:space="preserve">—also known as “judicial minimalism” or “passive virtues”—include the numerous doctrines and practices developed </w:t>
      </w:r>
      <w:r w:rsidR="00CE2175" w:rsidRPr="00F90A54">
        <w:rPr>
          <w:rFonts w:ascii="Garamond" w:hAnsi="Garamond"/>
        </w:rPr>
        <w:t xml:space="preserve">by courts </w:t>
      </w:r>
      <w:r w:rsidR="00213738" w:rsidRPr="00F90A54">
        <w:rPr>
          <w:rFonts w:ascii="Garamond" w:hAnsi="Garamond"/>
        </w:rPr>
        <w:t xml:space="preserve">to avoid ruling on the merits, </w:t>
      </w:r>
      <w:r w:rsidR="00CE2175" w:rsidRPr="00F90A54">
        <w:rPr>
          <w:rFonts w:ascii="Garamond" w:hAnsi="Garamond"/>
        </w:rPr>
        <w:t>like dismissing a case for lack of standing or encouraging settlements between the parties.</w:t>
      </w:r>
      <w:r w:rsidR="007A2D32" w:rsidRPr="00F90A54">
        <w:rPr>
          <w:rStyle w:val="FootnoteReference"/>
          <w:rFonts w:ascii="Garamond" w:hAnsi="Garamond"/>
        </w:rPr>
        <w:footnoteReference w:id="312"/>
      </w:r>
      <w:r w:rsidR="00213738" w:rsidRPr="00F90A54">
        <w:rPr>
          <w:rFonts w:ascii="Garamond" w:hAnsi="Garamond"/>
        </w:rPr>
        <w:t xml:space="preserve"> </w:t>
      </w:r>
      <w:r w:rsidR="006C281B" w:rsidRPr="00F90A54">
        <w:rPr>
          <w:rFonts w:ascii="Garamond" w:hAnsi="Garamond"/>
        </w:rPr>
        <w:t xml:space="preserve">Intervenors who seek to add </w:t>
      </w:r>
      <w:r w:rsidR="007D3554" w:rsidRPr="00F90A54">
        <w:rPr>
          <w:rFonts w:ascii="Garamond" w:hAnsi="Garamond"/>
        </w:rPr>
        <w:t>a</w:t>
      </w:r>
      <w:r w:rsidR="006C281B" w:rsidRPr="00F90A54">
        <w:rPr>
          <w:rFonts w:ascii="Garamond" w:hAnsi="Garamond"/>
        </w:rPr>
        <w:t xml:space="preserve"> plaintiff for standing or </w:t>
      </w:r>
      <w:r w:rsidR="004477D8">
        <w:rPr>
          <w:rFonts w:ascii="Garamond" w:hAnsi="Garamond"/>
        </w:rPr>
        <w:t xml:space="preserve">to </w:t>
      </w:r>
      <w:r w:rsidR="006C281B" w:rsidRPr="00F90A54">
        <w:rPr>
          <w:rFonts w:ascii="Garamond" w:hAnsi="Garamond"/>
        </w:rPr>
        <w:t xml:space="preserve">appeal an adverse decision preclude the court from exercising many of those </w:t>
      </w:r>
      <w:r w:rsidR="007D3554" w:rsidRPr="00F90A54">
        <w:rPr>
          <w:rFonts w:ascii="Garamond" w:hAnsi="Garamond"/>
        </w:rPr>
        <w:t>options</w:t>
      </w:r>
      <w:r w:rsidR="006C281B" w:rsidRPr="00F90A54">
        <w:rPr>
          <w:rFonts w:ascii="Garamond" w:hAnsi="Garamond"/>
        </w:rPr>
        <w:t xml:space="preserve">. </w:t>
      </w:r>
    </w:p>
    <w:p w14:paraId="6D37252A" w14:textId="5A3E9117" w:rsidR="00AC6174" w:rsidRPr="00F90A54" w:rsidRDefault="006C281B" w:rsidP="001F4A3F">
      <w:pPr>
        <w:ind w:firstLine="360"/>
        <w:jc w:val="both"/>
        <w:rPr>
          <w:rFonts w:ascii="Garamond" w:eastAsia="Times New Roman" w:hAnsi="Garamond"/>
        </w:rPr>
      </w:pPr>
      <w:r w:rsidRPr="00F90A54">
        <w:rPr>
          <w:rFonts w:ascii="Garamond" w:eastAsia="Times New Roman" w:hAnsi="Garamond"/>
        </w:rPr>
        <w:t xml:space="preserve">Broad intervention in nationwide-injunction cases also allows courts to undermine the democratic nature of government litigation. </w:t>
      </w:r>
      <w:r w:rsidR="00AC6174" w:rsidRPr="00F90A54">
        <w:rPr>
          <w:rFonts w:ascii="Garamond" w:eastAsia="Times New Roman" w:hAnsi="Garamond"/>
        </w:rPr>
        <w:t xml:space="preserve">When representatives of an elected branch of the government are involved in </w:t>
      </w:r>
      <w:r w:rsidRPr="00F90A54">
        <w:rPr>
          <w:rFonts w:ascii="Garamond" w:eastAsia="Times New Roman" w:hAnsi="Garamond"/>
        </w:rPr>
        <w:t>a case</w:t>
      </w:r>
      <w:r w:rsidR="00AC6174" w:rsidRPr="00F90A54">
        <w:rPr>
          <w:rFonts w:ascii="Garamond" w:eastAsia="Times New Roman" w:hAnsi="Garamond"/>
        </w:rPr>
        <w:t>, their strategy is often dictated by political considerations.</w:t>
      </w:r>
      <w:r w:rsidR="00AC6174" w:rsidRPr="00F90A54">
        <w:rPr>
          <w:rFonts w:ascii="Garamond" w:eastAsia="Times New Roman" w:hAnsi="Garamond"/>
          <w:vertAlign w:val="superscript"/>
        </w:rPr>
        <w:footnoteReference w:id="313"/>
      </w:r>
      <w:r w:rsidR="00AC6174" w:rsidRPr="00F90A54">
        <w:rPr>
          <w:rFonts w:ascii="Garamond" w:eastAsia="Times New Roman" w:hAnsi="Garamond"/>
        </w:rPr>
        <w:t xml:space="preserve"> The government may choose to settle the case rather than </w:t>
      </w:r>
      <w:r w:rsidR="00AC6174" w:rsidRPr="00F90A54">
        <w:rPr>
          <w:rFonts w:ascii="Garamond" w:eastAsia="Times New Roman" w:hAnsi="Garamond"/>
        </w:rPr>
        <w:lastRenderedPageBreak/>
        <w:t xml:space="preserve">create adverse precedent on an issue of ongoing concern. It may also choose to address the litigation through political channels by amending or withdrawing the challenged law. For instance, in </w:t>
      </w:r>
      <w:r w:rsidR="00AC6174" w:rsidRPr="00F90A54">
        <w:rPr>
          <w:rFonts w:ascii="Garamond" w:eastAsia="Times New Roman" w:hAnsi="Garamond"/>
          <w:i/>
          <w:iCs/>
        </w:rPr>
        <w:t>Diamond v. Charles</w:t>
      </w:r>
      <w:r w:rsidR="00AC6174" w:rsidRPr="00F90A54">
        <w:rPr>
          <w:rFonts w:ascii="Garamond" w:eastAsia="Times New Roman" w:hAnsi="Garamond"/>
        </w:rPr>
        <w:t xml:space="preserve">, the Supreme Court noted that the Illinois Attorney General had declined to seek the Court’s review of an adverse appellate decision striking down an Illinois abortion statute, likely because the Illinois legislature </w:t>
      </w:r>
      <w:r w:rsidR="004477D8">
        <w:rPr>
          <w:rFonts w:ascii="Garamond" w:eastAsia="Times New Roman" w:hAnsi="Garamond"/>
        </w:rPr>
        <w:t xml:space="preserve">had </w:t>
      </w:r>
      <w:r w:rsidR="00AC6174" w:rsidRPr="00F90A54">
        <w:rPr>
          <w:rFonts w:ascii="Garamond" w:eastAsia="Times New Roman" w:hAnsi="Garamond"/>
        </w:rPr>
        <w:t xml:space="preserve">amended the law </w:t>
      </w:r>
      <w:r w:rsidR="00121CF1" w:rsidRPr="00F90A54">
        <w:rPr>
          <w:rFonts w:ascii="Garamond" w:eastAsia="Times New Roman" w:hAnsi="Garamond"/>
        </w:rPr>
        <w:t xml:space="preserve">and </w:t>
      </w:r>
      <w:r w:rsidR="00AC6174" w:rsidRPr="00F90A54">
        <w:rPr>
          <w:rFonts w:ascii="Garamond" w:eastAsia="Times New Roman" w:hAnsi="Garamond"/>
        </w:rPr>
        <w:t xml:space="preserve">the state no longer </w:t>
      </w:r>
      <w:r w:rsidR="00121CF1" w:rsidRPr="00F90A54">
        <w:rPr>
          <w:rFonts w:ascii="Garamond" w:eastAsia="Times New Roman" w:hAnsi="Garamond"/>
        </w:rPr>
        <w:t xml:space="preserve">needed to </w:t>
      </w:r>
      <w:r w:rsidR="008728ED" w:rsidRPr="00F90A54">
        <w:rPr>
          <w:rFonts w:ascii="Garamond" w:eastAsia="Times New Roman" w:hAnsi="Garamond"/>
        </w:rPr>
        <w:t>s</w:t>
      </w:r>
      <w:r w:rsidR="00AC6174" w:rsidRPr="00F90A54">
        <w:rPr>
          <w:rFonts w:ascii="Garamond" w:eastAsia="Times New Roman" w:hAnsi="Garamond"/>
        </w:rPr>
        <w:t xml:space="preserve">pend resources defending </w:t>
      </w:r>
      <w:r w:rsidR="005C3653" w:rsidRPr="00F90A54">
        <w:rPr>
          <w:rFonts w:ascii="Garamond" w:eastAsia="Times New Roman" w:hAnsi="Garamond"/>
        </w:rPr>
        <w:t>the</w:t>
      </w:r>
      <w:r w:rsidR="00AC6174" w:rsidRPr="00F90A54">
        <w:rPr>
          <w:rFonts w:ascii="Garamond" w:eastAsia="Times New Roman" w:hAnsi="Garamond"/>
        </w:rPr>
        <w:t xml:space="preserve"> old statute.</w:t>
      </w:r>
      <w:r w:rsidR="00AC6174" w:rsidRPr="00F90A54">
        <w:rPr>
          <w:rFonts w:ascii="Garamond" w:eastAsia="Times New Roman" w:hAnsi="Garamond"/>
          <w:vertAlign w:val="superscript"/>
        </w:rPr>
        <w:footnoteReference w:id="314"/>
      </w:r>
    </w:p>
    <w:p w14:paraId="7799A05C" w14:textId="236A8495" w:rsidR="00AC6174" w:rsidRDefault="00AC6174" w:rsidP="001F4A3F">
      <w:pPr>
        <w:ind w:firstLine="360"/>
        <w:jc w:val="both"/>
        <w:rPr>
          <w:rFonts w:ascii="Garamond" w:eastAsia="Times New Roman" w:hAnsi="Garamond"/>
        </w:rPr>
      </w:pPr>
      <w:r w:rsidRPr="00F90A54">
        <w:rPr>
          <w:rFonts w:ascii="Garamond" w:eastAsia="Times New Roman" w:hAnsi="Garamond"/>
        </w:rPr>
        <w:t xml:space="preserve">It is also normal for newly elected officials to withdraw from ongoing litigation, drop an appeal, or settle a case—especially when the new official represents a different party </w:t>
      </w:r>
      <w:r w:rsidR="00D6075E">
        <w:rPr>
          <w:rFonts w:ascii="Garamond" w:eastAsia="Times New Roman" w:hAnsi="Garamond"/>
        </w:rPr>
        <w:t xml:space="preserve">or platform </w:t>
      </w:r>
      <w:r w:rsidRPr="00F90A54">
        <w:rPr>
          <w:rFonts w:ascii="Garamond" w:eastAsia="Times New Roman" w:hAnsi="Garamond"/>
        </w:rPr>
        <w:t>from the outgoing representative.</w:t>
      </w:r>
      <w:r w:rsidRPr="00F90A54">
        <w:rPr>
          <w:rFonts w:ascii="Garamond" w:eastAsia="Times New Roman" w:hAnsi="Garamond"/>
          <w:vertAlign w:val="superscript"/>
        </w:rPr>
        <w:footnoteReference w:id="315"/>
      </w:r>
      <w:r w:rsidRPr="00F90A54">
        <w:rPr>
          <w:rFonts w:ascii="Garamond" w:eastAsia="Times New Roman" w:hAnsi="Garamond"/>
        </w:rPr>
        <w:t xml:space="preserve"> This was at issue both in </w:t>
      </w:r>
      <w:r w:rsidRPr="00F90A54">
        <w:rPr>
          <w:rFonts w:ascii="Garamond" w:eastAsia="Times New Roman" w:hAnsi="Garamond"/>
          <w:i/>
          <w:iCs/>
        </w:rPr>
        <w:t>United States v. Windsor</w:t>
      </w:r>
      <w:r w:rsidR="006D23FC" w:rsidRPr="00F90A54">
        <w:rPr>
          <w:rFonts w:ascii="Garamond" w:eastAsia="Times New Roman" w:hAnsi="Garamond"/>
        </w:rPr>
        <w:t>,</w:t>
      </w:r>
      <w:r w:rsidRPr="00F90A54">
        <w:rPr>
          <w:rFonts w:ascii="Garamond" w:eastAsia="Times New Roman" w:hAnsi="Garamond"/>
          <w:i/>
          <w:iCs/>
        </w:rPr>
        <w:t xml:space="preserve"> </w:t>
      </w:r>
      <w:r w:rsidRPr="00F90A54">
        <w:rPr>
          <w:rFonts w:ascii="Garamond" w:eastAsia="Times New Roman" w:hAnsi="Garamond"/>
        </w:rPr>
        <w:t>after the Department of Justice under President Obama declined to defend the constitutionality of the Defense of Marriage Act</w:t>
      </w:r>
      <w:r w:rsidR="008807BF" w:rsidRPr="00F90A54">
        <w:rPr>
          <w:rFonts w:ascii="Garamond" w:eastAsia="Times New Roman" w:hAnsi="Garamond"/>
        </w:rPr>
        <w:t>,</w:t>
      </w:r>
      <w:r w:rsidRPr="00F90A54">
        <w:rPr>
          <w:rFonts w:ascii="Garamond" w:eastAsia="Times New Roman" w:hAnsi="Garamond"/>
          <w:vertAlign w:val="superscript"/>
        </w:rPr>
        <w:footnoteReference w:id="316"/>
      </w:r>
      <w:r w:rsidR="008807BF" w:rsidRPr="00F90A54">
        <w:rPr>
          <w:rFonts w:ascii="Garamond" w:eastAsia="Times New Roman" w:hAnsi="Garamond"/>
        </w:rPr>
        <w:t xml:space="preserve"> and in </w:t>
      </w:r>
      <w:r w:rsidR="008807BF" w:rsidRPr="00F90A54">
        <w:rPr>
          <w:rFonts w:ascii="Garamond" w:eastAsia="Times New Roman" w:hAnsi="Garamond"/>
          <w:i/>
          <w:iCs/>
        </w:rPr>
        <w:t xml:space="preserve">California v. Texas </w:t>
      </w:r>
      <w:r w:rsidR="006D23FC" w:rsidRPr="00F90A54">
        <w:rPr>
          <w:rFonts w:ascii="Garamond" w:eastAsia="Times New Roman" w:hAnsi="Garamond"/>
        </w:rPr>
        <w:t xml:space="preserve">after President Trump declined to defend </w:t>
      </w:r>
      <w:r w:rsidR="008807BF" w:rsidRPr="00F90A54">
        <w:rPr>
          <w:rFonts w:ascii="Garamond" w:eastAsia="Times New Roman" w:hAnsi="Garamond"/>
        </w:rPr>
        <w:t xml:space="preserve">the </w:t>
      </w:r>
      <w:r w:rsidR="006D23FC" w:rsidRPr="00F90A54">
        <w:rPr>
          <w:rFonts w:ascii="Garamond" w:eastAsia="Times New Roman" w:hAnsi="Garamond"/>
        </w:rPr>
        <w:t xml:space="preserve">constitutionality of the </w:t>
      </w:r>
      <w:r w:rsidR="008807BF" w:rsidRPr="00F90A54">
        <w:rPr>
          <w:rFonts w:ascii="Garamond" w:eastAsia="Times New Roman" w:hAnsi="Garamond"/>
        </w:rPr>
        <w:t>Affordable Care Act.</w:t>
      </w:r>
      <w:r w:rsidR="00D6075E" w:rsidRPr="00D6075E">
        <w:rPr>
          <w:rFonts w:ascii="Garamond" w:eastAsia="Times New Roman" w:hAnsi="Garamond"/>
        </w:rPr>
        <w:t xml:space="preserve"> </w:t>
      </w:r>
    </w:p>
    <w:p w14:paraId="0BB19530" w14:textId="7F7A2076" w:rsidR="00395DB4" w:rsidRPr="00F90A54" w:rsidRDefault="00AC6174" w:rsidP="001F4A3F">
      <w:pPr>
        <w:ind w:firstLine="360"/>
        <w:jc w:val="both"/>
        <w:rPr>
          <w:rFonts w:ascii="Garamond" w:eastAsia="Times New Roman" w:hAnsi="Garamond"/>
        </w:rPr>
      </w:pPr>
      <w:r w:rsidRPr="00F90A54">
        <w:rPr>
          <w:rFonts w:ascii="Garamond" w:eastAsia="Times New Roman" w:hAnsi="Garamond"/>
        </w:rPr>
        <w:t xml:space="preserve">As these examples demonstrate, third parties can continue litigating a public-law issue long after the government officials responsible for representing the case have bowed out. The Supreme Court in </w:t>
      </w:r>
      <w:r w:rsidRPr="00F90A54">
        <w:rPr>
          <w:rFonts w:ascii="Garamond" w:eastAsia="Times New Roman" w:hAnsi="Garamond"/>
          <w:i/>
          <w:iCs/>
        </w:rPr>
        <w:t xml:space="preserve">Diamond </w:t>
      </w:r>
      <w:r w:rsidRPr="00F90A54">
        <w:rPr>
          <w:rFonts w:ascii="Garamond" w:eastAsia="Times New Roman" w:hAnsi="Garamond"/>
        </w:rPr>
        <w:t>expressed “</w:t>
      </w:r>
      <w:proofErr w:type="gramStart"/>
      <w:r w:rsidRPr="00F90A54">
        <w:rPr>
          <w:rFonts w:ascii="Garamond" w:eastAsia="Times New Roman" w:hAnsi="Garamond"/>
        </w:rPr>
        <w:t>concern[</w:t>
      </w:r>
      <w:proofErr w:type="gramEnd"/>
      <w:r w:rsidRPr="00F90A54">
        <w:rPr>
          <w:rFonts w:ascii="Garamond" w:eastAsia="Times New Roman" w:hAnsi="Garamond"/>
        </w:rPr>
        <w:t>] for state autonomy” when intervenors “attempt to maintain the litigation” in “an effort to compel the State to enact a code in accordance with [their] wishes.”</w:t>
      </w:r>
      <w:r w:rsidRPr="00F90A54">
        <w:rPr>
          <w:rFonts w:ascii="Garamond" w:eastAsia="Times New Roman" w:hAnsi="Garamond"/>
          <w:vertAlign w:val="superscript"/>
        </w:rPr>
        <w:footnoteReference w:id="317"/>
      </w:r>
      <w:r w:rsidRPr="00F90A54">
        <w:rPr>
          <w:rFonts w:ascii="Garamond" w:eastAsia="Times New Roman" w:hAnsi="Garamond"/>
        </w:rPr>
        <w:t xml:space="preserve"> </w:t>
      </w:r>
      <w:r w:rsidR="00F140E2" w:rsidRPr="00F90A54">
        <w:rPr>
          <w:rFonts w:ascii="Garamond" w:eastAsia="Times New Roman" w:hAnsi="Garamond"/>
        </w:rPr>
        <w:t>But</w:t>
      </w:r>
      <w:r w:rsidR="00DF3AB0" w:rsidRPr="00F90A54">
        <w:rPr>
          <w:rFonts w:ascii="Garamond" w:eastAsia="Times New Roman" w:hAnsi="Garamond"/>
        </w:rPr>
        <w:t xml:space="preserve"> </w:t>
      </w:r>
      <w:r w:rsidR="00F140E2" w:rsidRPr="00F90A54">
        <w:rPr>
          <w:rFonts w:ascii="Garamond" w:eastAsia="Times New Roman" w:hAnsi="Garamond"/>
        </w:rPr>
        <w:t>the Court has yet to express the same concern in nationwide</w:t>
      </w:r>
      <w:r w:rsidR="00BC63C3" w:rsidRPr="00F90A54">
        <w:rPr>
          <w:rFonts w:ascii="Garamond" w:eastAsia="Times New Roman" w:hAnsi="Garamond"/>
        </w:rPr>
        <w:t>-</w:t>
      </w:r>
      <w:r w:rsidR="00F140E2" w:rsidRPr="00F90A54">
        <w:rPr>
          <w:rFonts w:ascii="Garamond" w:eastAsia="Times New Roman" w:hAnsi="Garamond"/>
        </w:rPr>
        <w:t xml:space="preserve">injunction cases where intervenors impinge on the federal government’s </w:t>
      </w:r>
      <w:r w:rsidR="00E72E6E" w:rsidRPr="00F90A54">
        <w:rPr>
          <w:rFonts w:ascii="Garamond" w:eastAsia="Times New Roman" w:hAnsi="Garamond"/>
        </w:rPr>
        <w:t xml:space="preserve">litigation </w:t>
      </w:r>
      <w:r w:rsidR="00F140E2" w:rsidRPr="00F90A54">
        <w:rPr>
          <w:rFonts w:ascii="Garamond" w:eastAsia="Times New Roman" w:hAnsi="Garamond"/>
        </w:rPr>
        <w:t xml:space="preserve">autonomy. </w:t>
      </w:r>
      <w:r w:rsidR="00DF3AB0" w:rsidRPr="00F90A54">
        <w:rPr>
          <w:rFonts w:ascii="Garamond" w:eastAsia="Times New Roman" w:hAnsi="Garamond"/>
        </w:rPr>
        <w:t xml:space="preserve">Indeed, </w:t>
      </w:r>
      <w:r w:rsidR="00F140E2" w:rsidRPr="00F90A54">
        <w:rPr>
          <w:rFonts w:ascii="Garamond" w:eastAsia="Times New Roman" w:hAnsi="Garamond"/>
        </w:rPr>
        <w:t xml:space="preserve">several Justices have </w:t>
      </w:r>
      <w:r w:rsidR="00DF3AB0" w:rsidRPr="00F90A54">
        <w:rPr>
          <w:rFonts w:ascii="Garamond" w:eastAsia="Times New Roman" w:hAnsi="Garamond"/>
        </w:rPr>
        <w:t xml:space="preserve">instead </w:t>
      </w:r>
      <w:r w:rsidR="00F140E2" w:rsidRPr="00F90A54">
        <w:rPr>
          <w:rFonts w:ascii="Garamond" w:eastAsia="Times New Roman" w:hAnsi="Garamond"/>
        </w:rPr>
        <w:t>suggested that intervention might be the fix for policing federal government decisions to decline an appeal of a nationwide injunction.</w:t>
      </w:r>
      <w:r w:rsidR="00F140E2" w:rsidRPr="00F90A54">
        <w:rPr>
          <w:rStyle w:val="FootnoteReference"/>
          <w:rFonts w:ascii="Garamond" w:eastAsia="Times New Roman" w:hAnsi="Garamond"/>
        </w:rPr>
        <w:footnoteReference w:id="318"/>
      </w:r>
      <w:r w:rsidR="001B3617" w:rsidRPr="00F90A54">
        <w:rPr>
          <w:rFonts w:ascii="Garamond" w:eastAsia="Times New Roman" w:hAnsi="Garamond"/>
        </w:rPr>
        <w:t xml:space="preserve"> </w:t>
      </w:r>
    </w:p>
    <w:p w14:paraId="4AA9D503" w14:textId="59F918FE" w:rsidR="00213738" w:rsidRPr="00F90A54" w:rsidRDefault="001B3617" w:rsidP="001F4A3F">
      <w:pPr>
        <w:ind w:firstLine="360"/>
        <w:jc w:val="both"/>
        <w:rPr>
          <w:rFonts w:ascii="Garamond" w:eastAsia="Times New Roman" w:hAnsi="Garamond"/>
        </w:rPr>
      </w:pPr>
      <w:r w:rsidRPr="00F90A54">
        <w:rPr>
          <w:rFonts w:ascii="Garamond" w:eastAsia="Times New Roman" w:hAnsi="Garamond"/>
        </w:rPr>
        <w:t xml:space="preserve">This practice </w:t>
      </w:r>
      <w:r w:rsidR="002475CF">
        <w:rPr>
          <w:rFonts w:ascii="Garamond" w:eastAsia="Times New Roman" w:hAnsi="Garamond"/>
        </w:rPr>
        <w:t>promotes</w:t>
      </w:r>
      <w:r w:rsidRPr="00F90A54">
        <w:rPr>
          <w:rFonts w:ascii="Garamond" w:eastAsia="Times New Roman" w:hAnsi="Garamond"/>
        </w:rPr>
        <w:t xml:space="preserve"> government</w:t>
      </w:r>
      <w:r w:rsidR="002475CF">
        <w:rPr>
          <w:rFonts w:ascii="Garamond" w:eastAsia="Times New Roman" w:hAnsi="Garamond"/>
        </w:rPr>
        <w:t xml:space="preserve"> </w:t>
      </w:r>
      <w:r w:rsidRPr="00F90A54">
        <w:rPr>
          <w:rFonts w:ascii="Garamond" w:eastAsia="Times New Roman" w:hAnsi="Garamond"/>
        </w:rPr>
        <w:t>by litigation</w:t>
      </w:r>
      <w:r w:rsidR="001341C0" w:rsidRPr="00F90A54">
        <w:rPr>
          <w:rFonts w:ascii="Garamond" w:eastAsia="Times New Roman" w:hAnsi="Garamond"/>
        </w:rPr>
        <w:t>. C</w:t>
      </w:r>
      <w:r w:rsidRPr="00F90A54">
        <w:rPr>
          <w:rFonts w:ascii="Garamond" w:eastAsia="Times New Roman" w:hAnsi="Garamond"/>
        </w:rPr>
        <w:t xml:space="preserve">ourts are asked to determine the legality of high-profile public programs and the public has little electoral control over the defense of state and federal laws. </w:t>
      </w:r>
    </w:p>
    <w:p w14:paraId="2EA22F7F" w14:textId="77777777" w:rsidR="00DF6063" w:rsidRPr="00F90A54" w:rsidRDefault="00DF6063" w:rsidP="00DF6063">
      <w:pPr>
        <w:rPr>
          <w:rFonts w:ascii="Garamond" w:hAnsi="Garamond"/>
        </w:rPr>
      </w:pPr>
    </w:p>
    <w:p w14:paraId="510A458D" w14:textId="0A323245" w:rsidR="00342D42" w:rsidRPr="00F90A54" w:rsidRDefault="00D5562A" w:rsidP="00D9403B">
      <w:pPr>
        <w:pStyle w:val="Heading1"/>
        <w:keepNext/>
      </w:pPr>
      <w:bookmarkStart w:id="23" w:name="_Toc143336565"/>
      <w:r w:rsidRPr="00F90A54">
        <w:lastRenderedPageBreak/>
        <w:t>Toward Promoting Procedural Values</w:t>
      </w:r>
      <w:bookmarkEnd w:id="23"/>
    </w:p>
    <w:p w14:paraId="60F28124" w14:textId="77777777" w:rsidR="00293B93" w:rsidRPr="00F90A54" w:rsidRDefault="00293B93" w:rsidP="00D9403B">
      <w:pPr>
        <w:keepNext/>
        <w:ind w:left="360"/>
        <w:rPr>
          <w:rFonts w:ascii="Garamond" w:hAnsi="Garamond"/>
        </w:rPr>
      </w:pPr>
    </w:p>
    <w:p w14:paraId="592BC19F" w14:textId="2A111057" w:rsidR="00B32702" w:rsidRPr="00F90A54" w:rsidRDefault="00D91F69" w:rsidP="001F4A3F">
      <w:pPr>
        <w:ind w:firstLine="360"/>
        <w:jc w:val="both"/>
        <w:rPr>
          <w:rFonts w:ascii="Garamond" w:hAnsi="Garamond"/>
        </w:rPr>
      </w:pPr>
      <w:r w:rsidRPr="00F90A54">
        <w:rPr>
          <w:rFonts w:ascii="Garamond" w:hAnsi="Garamond"/>
        </w:rPr>
        <w:t>As this paper has shown, n</w:t>
      </w:r>
      <w:r w:rsidR="00B32702" w:rsidRPr="00F90A54">
        <w:rPr>
          <w:rFonts w:ascii="Garamond" w:hAnsi="Garamond"/>
        </w:rPr>
        <w:t xml:space="preserve">ationwide-injunctions </w:t>
      </w:r>
      <w:r w:rsidRPr="00F90A54">
        <w:rPr>
          <w:rFonts w:ascii="Garamond" w:hAnsi="Garamond"/>
        </w:rPr>
        <w:t>can</w:t>
      </w:r>
      <w:r w:rsidR="00B32702" w:rsidRPr="00F90A54">
        <w:rPr>
          <w:rFonts w:ascii="Garamond" w:hAnsi="Garamond"/>
        </w:rPr>
        <w:t xml:space="preserve"> </w:t>
      </w:r>
      <w:r w:rsidRPr="00F90A54">
        <w:rPr>
          <w:rFonts w:ascii="Garamond" w:hAnsi="Garamond"/>
        </w:rPr>
        <w:t>distort</w:t>
      </w:r>
      <w:r w:rsidR="00B32702" w:rsidRPr="00F90A54">
        <w:rPr>
          <w:rFonts w:ascii="Garamond" w:hAnsi="Garamond"/>
        </w:rPr>
        <w:t xml:space="preserve"> how the rules of civil procedure </w:t>
      </w:r>
      <w:r w:rsidRPr="00F90A54">
        <w:rPr>
          <w:rFonts w:ascii="Garamond" w:hAnsi="Garamond"/>
        </w:rPr>
        <w:t>operate</w:t>
      </w:r>
      <w:r w:rsidR="00B32702" w:rsidRPr="00F90A54">
        <w:rPr>
          <w:rFonts w:ascii="Garamond" w:hAnsi="Garamond"/>
        </w:rPr>
        <w:t xml:space="preserve"> in</w:t>
      </w:r>
      <w:r w:rsidRPr="00F90A54">
        <w:rPr>
          <w:rFonts w:ascii="Garamond" w:hAnsi="Garamond"/>
        </w:rPr>
        <w:t xml:space="preserve"> </w:t>
      </w:r>
      <w:r w:rsidR="00B32702" w:rsidRPr="00F90A54">
        <w:rPr>
          <w:rFonts w:ascii="Garamond" w:hAnsi="Garamond"/>
        </w:rPr>
        <w:t>litigation.</w:t>
      </w:r>
      <w:r w:rsidRPr="00F90A54">
        <w:rPr>
          <w:rFonts w:ascii="Garamond" w:hAnsi="Garamond"/>
        </w:rPr>
        <w:t xml:space="preserve"> This is driven in part by the nature of the nationwide</w:t>
      </w:r>
      <w:r w:rsidR="00FD4389" w:rsidRPr="00F90A54">
        <w:rPr>
          <w:rFonts w:ascii="Garamond" w:hAnsi="Garamond"/>
        </w:rPr>
        <w:t xml:space="preserve"> </w:t>
      </w:r>
      <w:r w:rsidRPr="00F90A54">
        <w:rPr>
          <w:rFonts w:ascii="Garamond" w:hAnsi="Garamond"/>
        </w:rPr>
        <w:t xml:space="preserve">injunction; each case </w:t>
      </w:r>
      <w:r w:rsidR="006B2351" w:rsidRPr="00F90A54">
        <w:rPr>
          <w:rFonts w:ascii="Garamond" w:hAnsi="Garamond"/>
        </w:rPr>
        <w:t>may</w:t>
      </w:r>
      <w:r w:rsidRPr="00F90A54">
        <w:rPr>
          <w:rFonts w:ascii="Garamond" w:hAnsi="Garamond"/>
        </w:rPr>
        <w:t xml:space="preserve"> definitively resolve the legality of a high-profile political controversy, so each </w:t>
      </w:r>
      <w:r w:rsidR="00004511" w:rsidRPr="00F90A54">
        <w:rPr>
          <w:rFonts w:ascii="Garamond" w:hAnsi="Garamond"/>
        </w:rPr>
        <w:t xml:space="preserve">case </w:t>
      </w:r>
      <w:r w:rsidRPr="00F90A54">
        <w:rPr>
          <w:rFonts w:ascii="Garamond" w:hAnsi="Garamond"/>
        </w:rPr>
        <w:t xml:space="preserve">draws the attention of numerous affected nonparties. </w:t>
      </w:r>
      <w:r w:rsidR="00F0403E" w:rsidRPr="00F90A54">
        <w:rPr>
          <w:rFonts w:ascii="Garamond" w:hAnsi="Garamond"/>
        </w:rPr>
        <w:t xml:space="preserve">Rule 24, as written, is ill-equipped to </w:t>
      </w:r>
      <w:r w:rsidR="00350567" w:rsidRPr="00F90A54">
        <w:rPr>
          <w:rFonts w:ascii="Garamond" w:hAnsi="Garamond"/>
        </w:rPr>
        <w:t xml:space="preserve">constrain how judges address </w:t>
      </w:r>
      <w:r w:rsidR="00F0403E" w:rsidRPr="00F90A54">
        <w:rPr>
          <w:rFonts w:ascii="Garamond" w:hAnsi="Garamond"/>
        </w:rPr>
        <w:t xml:space="preserve">this influx of interested outsiders. </w:t>
      </w:r>
      <w:r w:rsidR="000C5021" w:rsidRPr="00F90A54">
        <w:rPr>
          <w:rFonts w:ascii="Garamond" w:hAnsi="Garamond"/>
        </w:rPr>
        <w:t>C</w:t>
      </w:r>
      <w:r w:rsidR="00F0403E" w:rsidRPr="00F90A54">
        <w:rPr>
          <w:rFonts w:ascii="Garamond" w:hAnsi="Garamond"/>
        </w:rPr>
        <w:t xml:space="preserve">ourts have tugged </w:t>
      </w:r>
      <w:r w:rsidR="000D3B8C" w:rsidRPr="00F90A54">
        <w:rPr>
          <w:rFonts w:ascii="Garamond" w:hAnsi="Garamond"/>
        </w:rPr>
        <w:t xml:space="preserve">at </w:t>
      </w:r>
      <w:r w:rsidR="00F0403E" w:rsidRPr="00F90A54">
        <w:rPr>
          <w:rFonts w:ascii="Garamond" w:hAnsi="Garamond"/>
        </w:rPr>
        <w:t>and</w:t>
      </w:r>
      <w:r w:rsidR="000D3B8C" w:rsidRPr="00F90A54">
        <w:rPr>
          <w:rFonts w:ascii="Garamond" w:hAnsi="Garamond"/>
        </w:rPr>
        <w:t xml:space="preserve"> molded </w:t>
      </w:r>
      <w:r w:rsidR="00C7563E" w:rsidRPr="00F90A54">
        <w:rPr>
          <w:rFonts w:ascii="Garamond" w:hAnsi="Garamond"/>
        </w:rPr>
        <w:t>the rule’s</w:t>
      </w:r>
      <w:r w:rsidR="00F0403E" w:rsidRPr="00F90A54">
        <w:rPr>
          <w:rFonts w:ascii="Garamond" w:hAnsi="Garamond"/>
        </w:rPr>
        <w:t xml:space="preserve"> vague language </w:t>
      </w:r>
      <w:r w:rsidR="000C5021" w:rsidRPr="00F90A54">
        <w:rPr>
          <w:rFonts w:ascii="Garamond" w:hAnsi="Garamond"/>
        </w:rPr>
        <w:t xml:space="preserve">to accommodate a conflicting assortment of interests and parties, </w:t>
      </w:r>
      <w:r w:rsidR="00350567" w:rsidRPr="00F90A54">
        <w:rPr>
          <w:rFonts w:ascii="Garamond" w:hAnsi="Garamond"/>
        </w:rPr>
        <w:t>resulting in</w:t>
      </w:r>
      <w:r w:rsidR="000C5021" w:rsidRPr="00F90A54">
        <w:rPr>
          <w:rFonts w:ascii="Garamond" w:hAnsi="Garamond"/>
        </w:rPr>
        <w:t xml:space="preserve"> </w:t>
      </w:r>
      <w:r w:rsidR="00350567" w:rsidRPr="00F90A54">
        <w:rPr>
          <w:rFonts w:ascii="Garamond" w:hAnsi="Garamond"/>
        </w:rPr>
        <w:t xml:space="preserve">broad judicial discretion over </w:t>
      </w:r>
      <w:r w:rsidR="00BE43E1" w:rsidRPr="00F90A54">
        <w:rPr>
          <w:rFonts w:ascii="Garamond" w:hAnsi="Garamond"/>
        </w:rPr>
        <w:t>who can intervene</w:t>
      </w:r>
      <w:r w:rsidR="00350567" w:rsidRPr="00F90A54">
        <w:rPr>
          <w:rFonts w:ascii="Garamond" w:hAnsi="Garamond"/>
        </w:rPr>
        <w:t>.</w:t>
      </w:r>
      <w:r w:rsidR="000C5021" w:rsidRPr="00F90A54">
        <w:rPr>
          <w:rFonts w:ascii="Garamond" w:hAnsi="Garamond"/>
        </w:rPr>
        <w:t xml:space="preserve"> </w:t>
      </w:r>
      <w:r w:rsidR="00350567" w:rsidRPr="00F90A54">
        <w:rPr>
          <w:rFonts w:ascii="Garamond" w:hAnsi="Garamond"/>
        </w:rPr>
        <w:t>In nationwide-injunction suits, that discretion has frustrated the point of intervention—</w:t>
      </w:r>
      <w:r w:rsidR="00AF50EF" w:rsidRPr="00F90A54">
        <w:rPr>
          <w:rFonts w:ascii="Garamond" w:hAnsi="Garamond"/>
        </w:rPr>
        <w:t xml:space="preserve">for courts to </w:t>
      </w:r>
      <w:r w:rsidR="00350567" w:rsidRPr="00F90A54">
        <w:rPr>
          <w:rFonts w:ascii="Garamond" w:hAnsi="Garamond"/>
        </w:rPr>
        <w:t xml:space="preserve">provide a meaningful opportunity for outsiders </w:t>
      </w:r>
      <w:r w:rsidR="00AF50EF" w:rsidRPr="00F90A54">
        <w:rPr>
          <w:rFonts w:ascii="Garamond" w:hAnsi="Garamond"/>
        </w:rPr>
        <w:t xml:space="preserve">to participate and </w:t>
      </w:r>
      <w:r w:rsidR="00F34AED">
        <w:rPr>
          <w:rFonts w:ascii="Garamond" w:hAnsi="Garamond"/>
        </w:rPr>
        <w:t xml:space="preserve">to </w:t>
      </w:r>
      <w:r w:rsidR="00AF50EF" w:rsidRPr="00F90A54">
        <w:rPr>
          <w:rFonts w:ascii="Garamond" w:hAnsi="Garamond"/>
        </w:rPr>
        <w:t xml:space="preserve">reduce duplicative litigation </w:t>
      </w:r>
      <w:r w:rsidR="00350567" w:rsidRPr="00F90A54">
        <w:rPr>
          <w:rFonts w:ascii="Garamond" w:hAnsi="Garamond"/>
        </w:rPr>
        <w:t xml:space="preserve">without impairing party control—and ensnared the courts in </w:t>
      </w:r>
      <w:r w:rsidR="00AF50EF" w:rsidRPr="00F90A54">
        <w:rPr>
          <w:rFonts w:ascii="Garamond" w:hAnsi="Garamond"/>
        </w:rPr>
        <w:t>decision</w:t>
      </w:r>
      <w:r w:rsidR="00F34AED">
        <w:rPr>
          <w:rFonts w:ascii="Garamond" w:hAnsi="Garamond"/>
        </w:rPr>
        <w:t xml:space="preserve"> </w:t>
      </w:r>
      <w:r w:rsidR="00AF50EF" w:rsidRPr="00F90A54">
        <w:rPr>
          <w:rFonts w:ascii="Garamond" w:hAnsi="Garamond"/>
        </w:rPr>
        <w:t xml:space="preserve">making that undermines its legitimacy. </w:t>
      </w:r>
    </w:p>
    <w:p w14:paraId="36176A59" w14:textId="248C0BED" w:rsidR="000D3B8C" w:rsidRPr="00F90A54" w:rsidRDefault="000D3B8C" w:rsidP="001F4A3F">
      <w:pPr>
        <w:ind w:firstLine="360"/>
        <w:jc w:val="both"/>
        <w:rPr>
          <w:rFonts w:ascii="Garamond" w:hAnsi="Garamond"/>
        </w:rPr>
      </w:pPr>
      <w:r w:rsidRPr="00F90A54">
        <w:rPr>
          <w:rFonts w:ascii="Garamond" w:hAnsi="Garamond"/>
        </w:rPr>
        <w:t xml:space="preserve">This might lead one to question whether the real problem with Rule 24’s dysfunction </w:t>
      </w:r>
      <w:r w:rsidR="00EE3E4D" w:rsidRPr="00F90A54">
        <w:rPr>
          <w:rFonts w:ascii="Garamond" w:hAnsi="Garamond"/>
        </w:rPr>
        <w:t>lie</w:t>
      </w:r>
      <w:r w:rsidRPr="00F90A54">
        <w:rPr>
          <w:rFonts w:ascii="Garamond" w:hAnsi="Garamond"/>
        </w:rPr>
        <w:t xml:space="preserve">s with the nationwide injunction itself. </w:t>
      </w:r>
      <w:r w:rsidR="00E0218E" w:rsidRPr="00F90A54">
        <w:rPr>
          <w:rFonts w:ascii="Garamond" w:hAnsi="Garamond"/>
        </w:rPr>
        <w:t>I</w:t>
      </w:r>
      <w:r w:rsidRPr="00F90A54">
        <w:rPr>
          <w:rFonts w:ascii="Garamond" w:hAnsi="Garamond"/>
        </w:rPr>
        <w:t xml:space="preserve">f nationwide injunctions </w:t>
      </w:r>
      <w:r w:rsidR="00194935" w:rsidRPr="00F90A54">
        <w:rPr>
          <w:rFonts w:ascii="Garamond" w:hAnsi="Garamond"/>
        </w:rPr>
        <w:t xml:space="preserve">disrupt how </w:t>
      </w:r>
      <w:r w:rsidRPr="00F90A54">
        <w:rPr>
          <w:rFonts w:ascii="Garamond" w:hAnsi="Garamond"/>
        </w:rPr>
        <w:t xml:space="preserve">the federal rules </w:t>
      </w:r>
      <w:r w:rsidR="00194935" w:rsidRPr="00F90A54">
        <w:rPr>
          <w:rFonts w:ascii="Garamond" w:hAnsi="Garamond"/>
        </w:rPr>
        <w:t>operate</w:t>
      </w:r>
      <w:r w:rsidR="00BE43E1" w:rsidRPr="00F90A54">
        <w:rPr>
          <w:rFonts w:ascii="Garamond" w:hAnsi="Garamond"/>
        </w:rPr>
        <w:t xml:space="preserve">—rules intended to </w:t>
      </w:r>
      <w:r w:rsidR="00890E5D" w:rsidRPr="00F90A54">
        <w:rPr>
          <w:rFonts w:ascii="Garamond" w:hAnsi="Garamond"/>
        </w:rPr>
        <w:t xml:space="preserve">be </w:t>
      </w:r>
      <w:r w:rsidR="00BE43E1" w:rsidRPr="00F90A54">
        <w:rPr>
          <w:rFonts w:ascii="Garamond" w:hAnsi="Garamond"/>
        </w:rPr>
        <w:t>trans</w:t>
      </w:r>
      <w:r w:rsidR="00890E5D" w:rsidRPr="00F90A54">
        <w:rPr>
          <w:rFonts w:ascii="Garamond" w:hAnsi="Garamond"/>
        </w:rPr>
        <w:t>s</w:t>
      </w:r>
      <w:r w:rsidR="00BE43E1" w:rsidRPr="00F90A54">
        <w:rPr>
          <w:rFonts w:ascii="Garamond" w:hAnsi="Garamond"/>
        </w:rPr>
        <w:t>ubstantive regardless of the remedy sought—</w:t>
      </w:r>
      <w:r w:rsidRPr="00F90A54">
        <w:rPr>
          <w:rFonts w:ascii="Garamond" w:hAnsi="Garamond"/>
        </w:rPr>
        <w:t xml:space="preserve">perhaps </w:t>
      </w:r>
      <w:r w:rsidR="00E0218E" w:rsidRPr="00F90A54">
        <w:rPr>
          <w:rFonts w:ascii="Garamond" w:hAnsi="Garamond"/>
        </w:rPr>
        <w:t xml:space="preserve">we should focus </w:t>
      </w:r>
      <w:r w:rsidR="00194935" w:rsidRPr="00F90A54">
        <w:rPr>
          <w:rFonts w:ascii="Garamond" w:hAnsi="Garamond"/>
        </w:rPr>
        <w:t xml:space="preserve">our concern </w:t>
      </w:r>
      <w:r w:rsidR="00E0218E" w:rsidRPr="00F90A54">
        <w:rPr>
          <w:rFonts w:ascii="Garamond" w:hAnsi="Garamond"/>
        </w:rPr>
        <w:t xml:space="preserve">on </w:t>
      </w:r>
      <w:r w:rsidRPr="00F90A54">
        <w:rPr>
          <w:rFonts w:ascii="Garamond" w:hAnsi="Garamond"/>
        </w:rPr>
        <w:t xml:space="preserve">the propriety </w:t>
      </w:r>
      <w:r w:rsidR="009D1BDC" w:rsidRPr="00F90A54">
        <w:rPr>
          <w:rFonts w:ascii="Garamond" w:hAnsi="Garamond"/>
        </w:rPr>
        <w:t xml:space="preserve">or legality </w:t>
      </w:r>
      <w:r w:rsidRPr="00F90A54">
        <w:rPr>
          <w:rFonts w:ascii="Garamond" w:hAnsi="Garamond"/>
        </w:rPr>
        <w:t xml:space="preserve">of nationwide injunctions rather than </w:t>
      </w:r>
      <w:r w:rsidR="00F34AED">
        <w:rPr>
          <w:rFonts w:ascii="Garamond" w:hAnsi="Garamond"/>
        </w:rPr>
        <w:t xml:space="preserve">on </w:t>
      </w:r>
      <w:r w:rsidR="009875F6" w:rsidRPr="00F90A54">
        <w:rPr>
          <w:rFonts w:ascii="Garamond" w:hAnsi="Garamond"/>
        </w:rPr>
        <w:t xml:space="preserve">reforming the </w:t>
      </w:r>
      <w:r w:rsidR="00E0218E" w:rsidRPr="00F90A54">
        <w:rPr>
          <w:rFonts w:ascii="Garamond" w:hAnsi="Garamond"/>
        </w:rPr>
        <w:t xml:space="preserve">federal </w:t>
      </w:r>
      <w:r w:rsidR="009875F6" w:rsidRPr="00F90A54">
        <w:rPr>
          <w:rFonts w:ascii="Garamond" w:hAnsi="Garamond"/>
        </w:rPr>
        <w:t>rules</w:t>
      </w:r>
      <w:r w:rsidRPr="00F90A54">
        <w:rPr>
          <w:rFonts w:ascii="Garamond" w:hAnsi="Garamond"/>
        </w:rPr>
        <w:t>.</w:t>
      </w:r>
      <w:r w:rsidR="005240C1" w:rsidRPr="00F90A54">
        <w:rPr>
          <w:rStyle w:val="FootnoteReference"/>
          <w:rFonts w:ascii="Garamond" w:hAnsi="Garamond"/>
        </w:rPr>
        <w:footnoteReference w:id="319"/>
      </w:r>
      <w:r w:rsidRPr="00F90A54">
        <w:rPr>
          <w:rFonts w:ascii="Garamond" w:hAnsi="Garamond"/>
        </w:rPr>
        <w:t xml:space="preserve"> </w:t>
      </w:r>
    </w:p>
    <w:p w14:paraId="7A2B353A" w14:textId="3933994D" w:rsidR="00573321" w:rsidRPr="00F90A54" w:rsidRDefault="007A792C" w:rsidP="001F4A3F">
      <w:pPr>
        <w:ind w:firstLine="360"/>
        <w:jc w:val="both"/>
        <w:rPr>
          <w:rFonts w:ascii="Garamond" w:hAnsi="Garamond"/>
        </w:rPr>
      </w:pPr>
      <w:r w:rsidRPr="00F90A54">
        <w:rPr>
          <w:rFonts w:ascii="Garamond" w:hAnsi="Garamond"/>
        </w:rPr>
        <w:t xml:space="preserve">But that response </w:t>
      </w:r>
      <w:r w:rsidR="00F34AED">
        <w:rPr>
          <w:rFonts w:ascii="Garamond" w:hAnsi="Garamond"/>
        </w:rPr>
        <w:t xml:space="preserve">risks </w:t>
      </w:r>
      <w:r w:rsidRPr="00F90A54">
        <w:rPr>
          <w:rFonts w:ascii="Garamond" w:hAnsi="Garamond"/>
        </w:rPr>
        <w:t>treat</w:t>
      </w:r>
      <w:r w:rsidR="00F34AED">
        <w:rPr>
          <w:rFonts w:ascii="Garamond" w:hAnsi="Garamond"/>
        </w:rPr>
        <w:t>ing</w:t>
      </w:r>
      <w:r w:rsidRPr="00F90A54">
        <w:rPr>
          <w:rFonts w:ascii="Garamond" w:hAnsi="Garamond"/>
        </w:rPr>
        <w:t xml:space="preserve"> the federal rules as a fixed point </w:t>
      </w:r>
      <w:r w:rsidR="00AB6769" w:rsidRPr="00F90A54">
        <w:rPr>
          <w:rFonts w:ascii="Garamond" w:hAnsi="Garamond"/>
        </w:rPr>
        <w:t xml:space="preserve">for measuring the </w:t>
      </w:r>
      <w:r w:rsidR="00B63D0B" w:rsidRPr="00F90A54">
        <w:rPr>
          <w:rFonts w:ascii="Garamond" w:hAnsi="Garamond"/>
        </w:rPr>
        <w:t>scope of the judiciary’s</w:t>
      </w:r>
      <w:r w:rsidRPr="00F90A54">
        <w:rPr>
          <w:rFonts w:ascii="Garamond" w:hAnsi="Garamond"/>
        </w:rPr>
        <w:t xml:space="preserve"> powers. </w:t>
      </w:r>
      <w:r w:rsidR="00FF0CBB" w:rsidRPr="00F90A54">
        <w:rPr>
          <w:rFonts w:ascii="Garamond" w:hAnsi="Garamond"/>
        </w:rPr>
        <w:t>Instead, t</w:t>
      </w:r>
      <w:r w:rsidR="00EA5067" w:rsidRPr="00F90A54">
        <w:rPr>
          <w:rFonts w:ascii="Garamond" w:hAnsi="Garamond"/>
        </w:rPr>
        <w:t>he federal rules are a protean feature of the law that adapt to shifting societal conditions.</w:t>
      </w:r>
      <w:r w:rsidR="009130CE" w:rsidRPr="00F90A54">
        <w:rPr>
          <w:rStyle w:val="FootnoteReference"/>
          <w:rFonts w:ascii="Garamond" w:hAnsi="Garamond"/>
        </w:rPr>
        <w:footnoteReference w:id="320"/>
      </w:r>
      <w:r w:rsidR="00DC35DB" w:rsidRPr="00F90A54">
        <w:rPr>
          <w:rFonts w:ascii="Garamond" w:hAnsi="Garamond"/>
        </w:rPr>
        <w:t xml:space="preserve"> </w:t>
      </w:r>
      <w:r w:rsidR="00573321" w:rsidRPr="00F90A54">
        <w:rPr>
          <w:rFonts w:ascii="Garamond" w:hAnsi="Garamond"/>
        </w:rPr>
        <w:t xml:space="preserve">This is one </w:t>
      </w:r>
      <w:r w:rsidR="0000173F" w:rsidRPr="00F90A54">
        <w:rPr>
          <w:rFonts w:ascii="Garamond" w:hAnsi="Garamond"/>
        </w:rPr>
        <w:t>reason</w:t>
      </w:r>
      <w:r w:rsidR="00573321" w:rsidRPr="00F90A54">
        <w:rPr>
          <w:rFonts w:ascii="Garamond" w:hAnsi="Garamond"/>
        </w:rPr>
        <w:t xml:space="preserve"> for the rich literature on whether the federal rules are transsubstantive in fact as well as theory.</w:t>
      </w:r>
      <w:r w:rsidR="00E70A15" w:rsidRPr="00F90A54">
        <w:rPr>
          <w:rStyle w:val="FootnoteReference"/>
          <w:rFonts w:ascii="Garamond" w:hAnsi="Garamond"/>
        </w:rPr>
        <w:footnoteReference w:id="321"/>
      </w:r>
      <w:r w:rsidR="00573321" w:rsidRPr="00F90A54">
        <w:rPr>
          <w:rFonts w:ascii="Garamond" w:hAnsi="Garamond"/>
        </w:rPr>
        <w:t xml:space="preserve"> </w:t>
      </w:r>
      <w:r w:rsidR="0000173F" w:rsidRPr="00F90A54">
        <w:rPr>
          <w:rFonts w:ascii="Garamond" w:hAnsi="Garamond"/>
        </w:rPr>
        <w:t>And this is why the federal rules have been amended over time, sometimes dramatically, to account for how the litigation landscape has evolved.</w:t>
      </w:r>
      <w:r w:rsidR="0044273D" w:rsidRPr="00F90A54">
        <w:rPr>
          <w:rStyle w:val="FootnoteReference"/>
          <w:rFonts w:ascii="Garamond" w:hAnsi="Garamond"/>
        </w:rPr>
        <w:footnoteReference w:id="322"/>
      </w:r>
      <w:r w:rsidR="0000173F" w:rsidRPr="00F90A54">
        <w:rPr>
          <w:rFonts w:ascii="Garamond" w:hAnsi="Garamond"/>
        </w:rPr>
        <w:t xml:space="preserve"> </w:t>
      </w:r>
    </w:p>
    <w:p w14:paraId="6167A11D" w14:textId="4F230923" w:rsidR="001206B1" w:rsidRPr="00F90A54" w:rsidRDefault="00743FB5" w:rsidP="001F4A3F">
      <w:pPr>
        <w:ind w:firstLine="360"/>
        <w:jc w:val="both"/>
        <w:rPr>
          <w:rFonts w:ascii="Garamond" w:hAnsi="Garamond"/>
        </w:rPr>
      </w:pPr>
      <w:r w:rsidRPr="00F90A54">
        <w:rPr>
          <w:rFonts w:ascii="Garamond" w:hAnsi="Garamond"/>
        </w:rPr>
        <w:t>T</w:t>
      </w:r>
      <w:r w:rsidR="001206B1" w:rsidRPr="00F90A54">
        <w:rPr>
          <w:rFonts w:ascii="Garamond" w:hAnsi="Garamond"/>
        </w:rPr>
        <w:t xml:space="preserve">he harms examined in this article are likely the result of more </w:t>
      </w:r>
      <w:r w:rsidR="00F700DE" w:rsidRPr="00F90A54">
        <w:rPr>
          <w:rFonts w:ascii="Garamond" w:hAnsi="Garamond"/>
        </w:rPr>
        <w:t xml:space="preserve">societal and legal shifts </w:t>
      </w:r>
      <w:r w:rsidR="001206B1" w:rsidRPr="00F90A54">
        <w:rPr>
          <w:rFonts w:ascii="Garamond" w:hAnsi="Garamond"/>
        </w:rPr>
        <w:t xml:space="preserve">than </w:t>
      </w:r>
      <w:r w:rsidR="002A35E0" w:rsidRPr="00F90A54">
        <w:rPr>
          <w:rFonts w:ascii="Garamond" w:hAnsi="Garamond"/>
        </w:rPr>
        <w:t xml:space="preserve">just </w:t>
      </w:r>
      <w:r w:rsidR="001206B1" w:rsidRPr="00F90A54">
        <w:rPr>
          <w:rFonts w:ascii="Garamond" w:hAnsi="Garamond"/>
        </w:rPr>
        <w:t xml:space="preserve">the expanded use of nationwide injunctions. </w:t>
      </w:r>
      <w:r w:rsidR="00F52B66" w:rsidRPr="00F90A54">
        <w:rPr>
          <w:rFonts w:ascii="Garamond" w:hAnsi="Garamond"/>
        </w:rPr>
        <w:t xml:space="preserve">States have been </w:t>
      </w:r>
      <w:r w:rsidR="00994406" w:rsidRPr="00F90A54">
        <w:rPr>
          <w:rFonts w:ascii="Garamond" w:hAnsi="Garamond"/>
        </w:rPr>
        <w:t>recognized to represent</w:t>
      </w:r>
      <w:r w:rsidR="00F52B66" w:rsidRPr="00F90A54">
        <w:rPr>
          <w:rFonts w:ascii="Garamond" w:hAnsi="Garamond"/>
        </w:rPr>
        <w:t xml:space="preserve"> capacious interest</w:t>
      </w:r>
      <w:r w:rsidR="00994406" w:rsidRPr="00F90A54">
        <w:rPr>
          <w:rFonts w:ascii="Garamond" w:hAnsi="Garamond"/>
        </w:rPr>
        <w:t>s</w:t>
      </w:r>
      <w:r w:rsidR="00F52B66" w:rsidRPr="00F90A54">
        <w:rPr>
          <w:rFonts w:ascii="Garamond" w:hAnsi="Garamond"/>
        </w:rPr>
        <w:t xml:space="preserve"> </w:t>
      </w:r>
      <w:r w:rsidR="00994406" w:rsidRPr="00F90A54">
        <w:rPr>
          <w:rFonts w:ascii="Garamond" w:hAnsi="Garamond"/>
        </w:rPr>
        <w:t xml:space="preserve">that </w:t>
      </w:r>
      <w:r w:rsidR="00F52B66" w:rsidRPr="00F90A54">
        <w:rPr>
          <w:rFonts w:ascii="Garamond" w:hAnsi="Garamond"/>
        </w:rPr>
        <w:t>support standing to bring and intervene in federal court challenges</w:t>
      </w:r>
      <w:r w:rsidR="00994406" w:rsidRPr="00F90A54">
        <w:rPr>
          <w:rFonts w:ascii="Garamond" w:hAnsi="Garamond"/>
        </w:rPr>
        <w:t xml:space="preserve"> to federal legislation, agency regulations, and executive orders</w:t>
      </w:r>
      <w:r w:rsidR="00F52B66" w:rsidRPr="00F90A54">
        <w:rPr>
          <w:rFonts w:ascii="Garamond" w:hAnsi="Garamond"/>
        </w:rPr>
        <w:t>.</w:t>
      </w:r>
      <w:r w:rsidR="00994406" w:rsidRPr="00F90A54">
        <w:rPr>
          <w:rStyle w:val="FootnoteReference"/>
          <w:rFonts w:ascii="Garamond" w:hAnsi="Garamond"/>
        </w:rPr>
        <w:footnoteReference w:id="323"/>
      </w:r>
      <w:r w:rsidR="00F52B66" w:rsidRPr="00F90A54">
        <w:rPr>
          <w:rFonts w:ascii="Garamond" w:hAnsi="Garamond"/>
        </w:rPr>
        <w:t xml:space="preserve"> </w:t>
      </w:r>
      <w:r w:rsidR="00BD342E" w:rsidRPr="00F90A54">
        <w:rPr>
          <w:rFonts w:ascii="Garamond" w:hAnsi="Garamond"/>
        </w:rPr>
        <w:t xml:space="preserve">Rules limiting the venue in which the federal government can be </w:t>
      </w:r>
      <w:r w:rsidR="00BD342E" w:rsidRPr="00F90A54">
        <w:rPr>
          <w:rFonts w:ascii="Garamond" w:hAnsi="Garamond"/>
        </w:rPr>
        <w:lastRenderedPageBreak/>
        <w:t>sued have been broadened.</w:t>
      </w:r>
      <w:r w:rsidR="00BD342E" w:rsidRPr="00F90A54">
        <w:rPr>
          <w:rStyle w:val="FootnoteReference"/>
          <w:rFonts w:ascii="Garamond" w:hAnsi="Garamond"/>
        </w:rPr>
        <w:footnoteReference w:id="324"/>
      </w:r>
      <w:r w:rsidR="00BD342E" w:rsidRPr="00F90A54">
        <w:rPr>
          <w:rFonts w:ascii="Garamond" w:hAnsi="Garamond"/>
        </w:rPr>
        <w:t xml:space="preserve"> The executive branch has engaged in increased form</w:t>
      </w:r>
      <w:r w:rsidR="006454AD" w:rsidRPr="00F90A54">
        <w:rPr>
          <w:rFonts w:ascii="Garamond" w:hAnsi="Garamond"/>
        </w:rPr>
        <w:t>s</w:t>
      </w:r>
      <w:r w:rsidR="00BD342E" w:rsidRPr="00F90A54">
        <w:rPr>
          <w:rFonts w:ascii="Garamond" w:hAnsi="Garamond"/>
        </w:rPr>
        <w:t xml:space="preserve"> of lawmaking that courts have subject</w:t>
      </w:r>
      <w:r w:rsidR="006454AD" w:rsidRPr="00F90A54">
        <w:rPr>
          <w:rFonts w:ascii="Garamond" w:hAnsi="Garamond"/>
        </w:rPr>
        <w:t>ed</w:t>
      </w:r>
      <w:r w:rsidR="00BD342E" w:rsidRPr="00F90A54">
        <w:rPr>
          <w:rFonts w:ascii="Garamond" w:hAnsi="Garamond"/>
        </w:rPr>
        <w:t xml:space="preserve"> to judicial review.</w:t>
      </w:r>
      <w:r w:rsidR="00BD342E" w:rsidRPr="00F90A54">
        <w:rPr>
          <w:rStyle w:val="FootnoteReference"/>
          <w:rFonts w:ascii="Garamond" w:hAnsi="Garamond"/>
        </w:rPr>
        <w:footnoteReference w:id="325"/>
      </w:r>
      <w:r w:rsidR="00BD342E" w:rsidRPr="00F90A54">
        <w:rPr>
          <w:rFonts w:ascii="Garamond" w:hAnsi="Garamond"/>
        </w:rPr>
        <w:t xml:space="preserve"> </w:t>
      </w:r>
      <w:r w:rsidR="00F700DE" w:rsidRPr="00F90A54">
        <w:rPr>
          <w:rFonts w:ascii="Garamond" w:hAnsi="Garamond"/>
        </w:rPr>
        <w:t xml:space="preserve">And </w:t>
      </w:r>
      <w:r w:rsidR="0065081D" w:rsidRPr="00F90A54">
        <w:rPr>
          <w:rFonts w:ascii="Garamond" w:hAnsi="Garamond"/>
        </w:rPr>
        <w:t>there has been a</w:t>
      </w:r>
      <w:r w:rsidR="00F854EB" w:rsidRPr="00F90A54">
        <w:rPr>
          <w:rFonts w:ascii="Garamond" w:hAnsi="Garamond"/>
        </w:rPr>
        <w:t>n increase</w:t>
      </w:r>
      <w:r w:rsidR="0065081D" w:rsidRPr="00F90A54">
        <w:rPr>
          <w:rFonts w:ascii="Garamond" w:hAnsi="Garamond"/>
        </w:rPr>
        <w:t xml:space="preserve"> in the </w:t>
      </w:r>
      <w:r w:rsidR="00F854EB" w:rsidRPr="00F90A54">
        <w:rPr>
          <w:rFonts w:ascii="Garamond" w:hAnsi="Garamond"/>
        </w:rPr>
        <w:t>o</w:t>
      </w:r>
      <w:r w:rsidR="00533C25" w:rsidRPr="00F90A54">
        <w:rPr>
          <w:rFonts w:ascii="Garamond" w:hAnsi="Garamond"/>
        </w:rPr>
        <w:t xml:space="preserve">rganizations </w:t>
      </w:r>
      <w:r w:rsidR="004947EB" w:rsidRPr="00F90A54">
        <w:rPr>
          <w:rFonts w:ascii="Garamond" w:hAnsi="Garamond"/>
        </w:rPr>
        <w:t xml:space="preserve">who focus on </w:t>
      </w:r>
      <w:r w:rsidR="00533C25" w:rsidRPr="00F90A54">
        <w:rPr>
          <w:rFonts w:ascii="Garamond" w:hAnsi="Garamond"/>
        </w:rPr>
        <w:t>challeng</w:t>
      </w:r>
      <w:r w:rsidR="004947EB" w:rsidRPr="00F90A54">
        <w:rPr>
          <w:rFonts w:ascii="Garamond" w:hAnsi="Garamond"/>
        </w:rPr>
        <w:t>ing</w:t>
      </w:r>
      <w:r w:rsidR="00533C25" w:rsidRPr="00F90A54">
        <w:rPr>
          <w:rFonts w:ascii="Garamond" w:hAnsi="Garamond"/>
        </w:rPr>
        <w:t xml:space="preserve"> federal policy.</w:t>
      </w:r>
      <w:r w:rsidR="00533C25" w:rsidRPr="00F90A54">
        <w:rPr>
          <w:rStyle w:val="FootnoteReference"/>
          <w:rFonts w:ascii="Garamond" w:hAnsi="Garamond"/>
        </w:rPr>
        <w:footnoteReference w:id="326"/>
      </w:r>
    </w:p>
    <w:p w14:paraId="10BC60A2" w14:textId="3365F907" w:rsidR="00B25BFE" w:rsidRPr="00F90A54" w:rsidRDefault="009A3249" w:rsidP="001F4A3F">
      <w:pPr>
        <w:ind w:firstLine="360"/>
        <w:jc w:val="both"/>
        <w:rPr>
          <w:rFonts w:ascii="Garamond" w:hAnsi="Garamond"/>
        </w:rPr>
      </w:pPr>
      <w:r w:rsidRPr="00F90A54">
        <w:rPr>
          <w:rFonts w:ascii="Garamond" w:hAnsi="Garamond"/>
        </w:rPr>
        <w:t xml:space="preserve">Instead of raising alarm about the </w:t>
      </w:r>
      <w:r w:rsidR="004654F8" w:rsidRPr="00F90A54">
        <w:rPr>
          <w:rFonts w:ascii="Garamond" w:hAnsi="Garamond"/>
        </w:rPr>
        <w:t>propriety</w:t>
      </w:r>
      <w:r w:rsidRPr="00F90A54">
        <w:rPr>
          <w:rFonts w:ascii="Garamond" w:hAnsi="Garamond"/>
        </w:rPr>
        <w:t xml:space="preserve"> (or constitutionality) of those changes, </w:t>
      </w:r>
      <w:r w:rsidR="00B25BFE" w:rsidRPr="00F90A54">
        <w:rPr>
          <w:rFonts w:ascii="Garamond" w:hAnsi="Garamond"/>
        </w:rPr>
        <w:t xml:space="preserve">I suggest that the normative concerns in Part III show that the federal rules </w:t>
      </w:r>
      <w:r w:rsidR="00D55A86">
        <w:rPr>
          <w:rFonts w:ascii="Garamond" w:hAnsi="Garamond"/>
        </w:rPr>
        <w:t>may need to</w:t>
      </w:r>
      <w:r w:rsidR="00B25BFE" w:rsidRPr="00F90A54">
        <w:rPr>
          <w:rFonts w:ascii="Garamond" w:hAnsi="Garamond"/>
        </w:rPr>
        <w:t xml:space="preserve"> be amended to account for these significant shifts in the litigation landscape. </w:t>
      </w:r>
      <w:r w:rsidR="000E0DC1" w:rsidRPr="00F90A54">
        <w:rPr>
          <w:rFonts w:ascii="Garamond" w:hAnsi="Garamond"/>
        </w:rPr>
        <w:t>To that end, this</w:t>
      </w:r>
      <w:r w:rsidR="00402F07" w:rsidRPr="00F90A54">
        <w:rPr>
          <w:rFonts w:ascii="Garamond" w:hAnsi="Garamond"/>
        </w:rPr>
        <w:t xml:space="preserve"> section </w:t>
      </w:r>
      <w:r w:rsidR="00312408" w:rsidRPr="00F90A54">
        <w:rPr>
          <w:rFonts w:ascii="Garamond" w:hAnsi="Garamond"/>
        </w:rPr>
        <w:t>analyzes</w:t>
      </w:r>
      <w:r w:rsidR="00402F07" w:rsidRPr="00F90A54">
        <w:rPr>
          <w:rFonts w:ascii="Garamond" w:hAnsi="Garamond"/>
        </w:rPr>
        <w:t xml:space="preserve"> two </w:t>
      </w:r>
      <w:r w:rsidR="00312408" w:rsidRPr="00F90A54">
        <w:rPr>
          <w:rFonts w:ascii="Garamond" w:hAnsi="Garamond"/>
        </w:rPr>
        <w:t>proposals</w:t>
      </w:r>
      <w:r w:rsidR="00402F07" w:rsidRPr="00F90A54">
        <w:rPr>
          <w:rFonts w:ascii="Garamond" w:hAnsi="Garamond"/>
        </w:rPr>
        <w:t xml:space="preserve"> to prevent or minimize the harms caused by intervention in nationwide-injunction cases</w:t>
      </w:r>
      <w:r w:rsidR="004947EB" w:rsidRPr="00F90A54">
        <w:rPr>
          <w:rFonts w:ascii="Garamond" w:hAnsi="Garamond"/>
        </w:rPr>
        <w:t>:</w:t>
      </w:r>
      <w:r w:rsidR="00DE177D" w:rsidRPr="00F90A54">
        <w:rPr>
          <w:rFonts w:ascii="Garamond" w:hAnsi="Garamond"/>
        </w:rPr>
        <w:t xml:space="preserve"> (1) </w:t>
      </w:r>
      <w:r w:rsidR="00F34AED">
        <w:rPr>
          <w:rFonts w:ascii="Garamond" w:hAnsi="Garamond"/>
        </w:rPr>
        <w:t xml:space="preserve">modifying </w:t>
      </w:r>
      <w:r w:rsidR="00DE177D" w:rsidRPr="00F90A54">
        <w:rPr>
          <w:rFonts w:ascii="Garamond" w:hAnsi="Garamond"/>
        </w:rPr>
        <w:t xml:space="preserve">the “adequate representation” requirement </w:t>
      </w:r>
      <w:r w:rsidR="00F34AED">
        <w:rPr>
          <w:rFonts w:ascii="Garamond" w:hAnsi="Garamond"/>
        </w:rPr>
        <w:t>to exclude those intervenors who sole motive is to intervene to defend a federal policy after the government has decided to settle or forego an appeal</w:t>
      </w:r>
      <w:r w:rsidR="006F6A7F" w:rsidRPr="00F90A54">
        <w:rPr>
          <w:rFonts w:ascii="Garamond" w:hAnsi="Garamond"/>
        </w:rPr>
        <w:t>, and (2) provid</w:t>
      </w:r>
      <w:r w:rsidR="00A3393A" w:rsidRPr="00F90A54">
        <w:rPr>
          <w:rFonts w:ascii="Garamond" w:hAnsi="Garamond"/>
        </w:rPr>
        <w:t>ing</w:t>
      </w:r>
      <w:r w:rsidR="006F6A7F" w:rsidRPr="00F90A54">
        <w:rPr>
          <w:rFonts w:ascii="Garamond" w:hAnsi="Garamond"/>
        </w:rPr>
        <w:t xml:space="preserve"> an opportunity for outsiders to intervene at the remedial stage of nationwide-injunction cases </w:t>
      </w:r>
      <w:r w:rsidR="00F34AED">
        <w:rPr>
          <w:rFonts w:ascii="Garamond" w:hAnsi="Garamond"/>
        </w:rPr>
        <w:t xml:space="preserve">to argue over the scope of the court’s relief. </w:t>
      </w:r>
    </w:p>
    <w:p w14:paraId="23624266" w14:textId="77777777" w:rsidR="00DF6063" w:rsidRPr="00F90A54" w:rsidRDefault="00DF6063" w:rsidP="00DF6063">
      <w:pPr>
        <w:ind w:firstLine="360"/>
        <w:rPr>
          <w:rFonts w:ascii="Garamond" w:hAnsi="Garamond"/>
        </w:rPr>
      </w:pPr>
    </w:p>
    <w:p w14:paraId="7D47AAE1" w14:textId="16C5D01B" w:rsidR="00DE177D" w:rsidRPr="00F90A54" w:rsidRDefault="00D34DAB" w:rsidP="00D9403B">
      <w:pPr>
        <w:pStyle w:val="Heading2"/>
        <w:keepNext/>
      </w:pPr>
      <w:bookmarkStart w:id="24" w:name="_Toc143336566"/>
      <w:r w:rsidRPr="00F90A54">
        <w:t>Modify</w:t>
      </w:r>
      <w:r w:rsidR="00DE177D" w:rsidRPr="00F90A54">
        <w:t xml:space="preserve"> </w:t>
      </w:r>
      <w:r w:rsidR="00B40D70" w:rsidRPr="00F90A54">
        <w:t xml:space="preserve">the Presumption of </w:t>
      </w:r>
      <w:r w:rsidR="00DE177D" w:rsidRPr="00F90A54">
        <w:t>“</w:t>
      </w:r>
      <w:r w:rsidR="00B96438" w:rsidRPr="00F90A54">
        <w:t>A</w:t>
      </w:r>
      <w:r w:rsidR="00DE177D" w:rsidRPr="00F90A54">
        <w:t xml:space="preserve">dequate </w:t>
      </w:r>
      <w:r w:rsidR="00B96438" w:rsidRPr="00F90A54">
        <w:t>R</w:t>
      </w:r>
      <w:r w:rsidR="00DE177D" w:rsidRPr="00F90A54">
        <w:t>epresentation”</w:t>
      </w:r>
      <w:bookmarkEnd w:id="24"/>
      <w:r w:rsidR="00DE177D" w:rsidRPr="00F90A54">
        <w:t xml:space="preserve"> </w:t>
      </w:r>
    </w:p>
    <w:p w14:paraId="2A11E0AA" w14:textId="77777777" w:rsidR="00293B93" w:rsidRPr="00F90A54" w:rsidRDefault="00293B93" w:rsidP="00D9403B">
      <w:pPr>
        <w:keepNext/>
        <w:ind w:firstLine="360"/>
        <w:rPr>
          <w:rFonts w:ascii="Garamond" w:hAnsi="Garamond"/>
        </w:rPr>
      </w:pPr>
    </w:p>
    <w:p w14:paraId="57F44B65" w14:textId="6D2BBDFC" w:rsidR="003163DD" w:rsidRDefault="002E24D2" w:rsidP="001F4A3F">
      <w:pPr>
        <w:ind w:firstLine="360"/>
        <w:jc w:val="both"/>
        <w:rPr>
          <w:rFonts w:ascii="Garamond" w:hAnsi="Garamond"/>
        </w:rPr>
      </w:pPr>
      <w:r w:rsidRPr="00F90A54">
        <w:rPr>
          <w:rFonts w:ascii="Garamond" w:hAnsi="Garamond"/>
        </w:rPr>
        <w:t xml:space="preserve">1. </w:t>
      </w:r>
      <w:r w:rsidR="002623D1" w:rsidRPr="00F90A54">
        <w:rPr>
          <w:rFonts w:ascii="Garamond" w:hAnsi="Garamond"/>
          <w:i/>
          <w:iCs/>
        </w:rPr>
        <w:t>Defining t</w:t>
      </w:r>
      <w:r w:rsidRPr="00F90A54">
        <w:rPr>
          <w:rFonts w:ascii="Garamond" w:hAnsi="Garamond"/>
          <w:i/>
          <w:iCs/>
        </w:rPr>
        <w:t xml:space="preserve">he Proposal. </w:t>
      </w:r>
      <w:r w:rsidR="00485A19" w:rsidRPr="00F90A54">
        <w:rPr>
          <w:rFonts w:ascii="Garamond" w:hAnsi="Garamond"/>
        </w:rPr>
        <w:t xml:space="preserve">One </w:t>
      </w:r>
      <w:r w:rsidRPr="00F90A54">
        <w:rPr>
          <w:rFonts w:ascii="Garamond" w:hAnsi="Garamond"/>
        </w:rPr>
        <w:t>solution</w:t>
      </w:r>
      <w:r w:rsidR="003B31BD" w:rsidRPr="00F90A54">
        <w:rPr>
          <w:rFonts w:ascii="Garamond" w:hAnsi="Garamond"/>
        </w:rPr>
        <w:t xml:space="preserve"> is for </w:t>
      </w:r>
      <w:r w:rsidR="00485A19" w:rsidRPr="00F90A54">
        <w:rPr>
          <w:rFonts w:ascii="Garamond" w:hAnsi="Garamond"/>
        </w:rPr>
        <w:t xml:space="preserve">courts to reject intervention by non-government outsiders </w:t>
      </w:r>
      <w:r w:rsidR="003163DD">
        <w:rPr>
          <w:rFonts w:ascii="Garamond" w:hAnsi="Garamond"/>
        </w:rPr>
        <w:t xml:space="preserve">who assert that their sole interest in the case is to defend a federal policy after the government has declined to continue litigating </w:t>
      </w:r>
      <w:r w:rsidR="002475CF">
        <w:rPr>
          <w:rFonts w:ascii="Garamond" w:hAnsi="Garamond"/>
        </w:rPr>
        <w:t>the</w:t>
      </w:r>
      <w:r w:rsidR="003163DD">
        <w:rPr>
          <w:rFonts w:ascii="Garamond" w:hAnsi="Garamond"/>
        </w:rPr>
        <w:t xml:space="preserve"> challenge. </w:t>
      </w:r>
    </w:p>
    <w:p w14:paraId="21CD52BF" w14:textId="4AA0E8AA" w:rsidR="003B31BD" w:rsidRPr="00F90A54" w:rsidRDefault="00500110" w:rsidP="001F4A3F">
      <w:pPr>
        <w:ind w:firstLine="360"/>
        <w:jc w:val="both"/>
        <w:rPr>
          <w:rFonts w:ascii="Garamond" w:hAnsi="Garamond"/>
        </w:rPr>
      </w:pPr>
      <w:r w:rsidRPr="00F90A54">
        <w:rPr>
          <w:rFonts w:ascii="Garamond" w:hAnsi="Garamond"/>
        </w:rPr>
        <w:t xml:space="preserve">These nonparties are the </w:t>
      </w:r>
      <w:r w:rsidR="00161A05" w:rsidRPr="00F90A54">
        <w:rPr>
          <w:rFonts w:ascii="Garamond" w:hAnsi="Garamond"/>
        </w:rPr>
        <w:t>mainsprings</w:t>
      </w:r>
      <w:r w:rsidR="00CA75B3" w:rsidRPr="00F90A54">
        <w:rPr>
          <w:rFonts w:ascii="Garamond" w:hAnsi="Garamond"/>
        </w:rPr>
        <w:t xml:space="preserve"> of the normative concerns raised in Part III. </w:t>
      </w:r>
      <w:r w:rsidR="003163DD">
        <w:rPr>
          <w:rFonts w:ascii="Garamond" w:hAnsi="Garamond"/>
        </w:rPr>
        <w:t>T</w:t>
      </w:r>
      <w:r w:rsidR="002A5D7C" w:rsidRPr="00F90A54">
        <w:rPr>
          <w:rFonts w:ascii="Garamond" w:hAnsi="Garamond"/>
        </w:rPr>
        <w:t>hese proposed intervenors impose</w:t>
      </w:r>
      <w:r w:rsidR="00AF0BDC" w:rsidRPr="00F90A54">
        <w:rPr>
          <w:rFonts w:ascii="Garamond" w:hAnsi="Garamond"/>
        </w:rPr>
        <w:t xml:space="preserve"> steep costs on the parties</w:t>
      </w:r>
      <w:r w:rsidR="003163DD">
        <w:rPr>
          <w:rFonts w:ascii="Garamond" w:hAnsi="Garamond"/>
        </w:rPr>
        <w:t xml:space="preserve"> by </w:t>
      </w:r>
      <w:r w:rsidR="002A5D7C" w:rsidRPr="00F90A54">
        <w:rPr>
          <w:rFonts w:ascii="Garamond" w:hAnsi="Garamond"/>
        </w:rPr>
        <w:t>undermin</w:t>
      </w:r>
      <w:r w:rsidR="003163DD">
        <w:rPr>
          <w:rFonts w:ascii="Garamond" w:hAnsi="Garamond"/>
        </w:rPr>
        <w:t>ing</w:t>
      </w:r>
      <w:r w:rsidR="002A5D7C" w:rsidRPr="00F90A54">
        <w:rPr>
          <w:rFonts w:ascii="Garamond" w:hAnsi="Garamond"/>
        </w:rPr>
        <w:t xml:space="preserve"> one of the fundamental powers granted to parties to control their lawsuit</w:t>
      </w:r>
      <w:r w:rsidR="00E367A5" w:rsidRPr="00F90A54">
        <w:rPr>
          <w:rFonts w:ascii="Garamond" w:hAnsi="Garamond"/>
        </w:rPr>
        <w:t xml:space="preserve">: </w:t>
      </w:r>
      <w:r w:rsidR="002A5D7C" w:rsidRPr="00F90A54">
        <w:rPr>
          <w:rFonts w:ascii="Garamond" w:hAnsi="Garamond"/>
        </w:rPr>
        <w:t xml:space="preserve">whether to litigate the merits of </w:t>
      </w:r>
      <w:r w:rsidR="003163DD">
        <w:rPr>
          <w:rFonts w:ascii="Garamond" w:hAnsi="Garamond"/>
        </w:rPr>
        <w:t xml:space="preserve">a claim </w:t>
      </w:r>
      <w:r w:rsidR="002A5D7C" w:rsidRPr="00F90A54">
        <w:rPr>
          <w:rFonts w:ascii="Garamond" w:hAnsi="Garamond"/>
        </w:rPr>
        <w:t>to final judgment</w:t>
      </w:r>
      <w:r w:rsidR="00E367A5" w:rsidRPr="00F90A54">
        <w:rPr>
          <w:rFonts w:ascii="Garamond" w:hAnsi="Garamond"/>
        </w:rPr>
        <w:t xml:space="preserve">. And </w:t>
      </w:r>
      <w:r w:rsidR="00187E32" w:rsidRPr="00F90A54">
        <w:rPr>
          <w:rFonts w:ascii="Garamond" w:hAnsi="Garamond"/>
        </w:rPr>
        <w:t>they</w:t>
      </w:r>
      <w:r w:rsidR="00E367A5" w:rsidRPr="00F90A54">
        <w:rPr>
          <w:rFonts w:ascii="Garamond" w:hAnsi="Garamond"/>
        </w:rPr>
        <w:t xml:space="preserve"> </w:t>
      </w:r>
      <w:r w:rsidR="0090113C" w:rsidRPr="00F90A54">
        <w:rPr>
          <w:rFonts w:ascii="Garamond" w:hAnsi="Garamond"/>
        </w:rPr>
        <w:t xml:space="preserve">conscript the original parties’ time and resources to continue litigating the claim after </w:t>
      </w:r>
      <w:r w:rsidR="00187E32" w:rsidRPr="00F90A54">
        <w:rPr>
          <w:rFonts w:ascii="Garamond" w:hAnsi="Garamond"/>
        </w:rPr>
        <w:t>those parties</w:t>
      </w:r>
      <w:r w:rsidR="0090113C" w:rsidRPr="00F90A54">
        <w:rPr>
          <w:rFonts w:ascii="Garamond" w:hAnsi="Garamond"/>
        </w:rPr>
        <w:t xml:space="preserve"> </w:t>
      </w:r>
      <w:r w:rsidR="003163DD">
        <w:rPr>
          <w:rFonts w:ascii="Garamond" w:hAnsi="Garamond"/>
        </w:rPr>
        <w:t>resolved their dispute</w:t>
      </w:r>
      <w:r w:rsidR="0090113C" w:rsidRPr="00F90A54">
        <w:rPr>
          <w:rFonts w:ascii="Garamond" w:hAnsi="Garamond"/>
        </w:rPr>
        <w:t xml:space="preserve">. </w:t>
      </w:r>
    </w:p>
    <w:p w14:paraId="60BE2F1D" w14:textId="2B8BF1A0" w:rsidR="005255E0" w:rsidRPr="00F90A54" w:rsidRDefault="002B56B9" w:rsidP="001F4A3F">
      <w:pPr>
        <w:ind w:firstLine="360"/>
        <w:jc w:val="both"/>
        <w:rPr>
          <w:rFonts w:ascii="Garamond" w:hAnsi="Garamond"/>
        </w:rPr>
      </w:pPr>
      <w:r>
        <w:rPr>
          <w:rFonts w:ascii="Garamond" w:hAnsi="Garamond"/>
        </w:rPr>
        <w:t xml:space="preserve">There are additional </w:t>
      </w:r>
      <w:r w:rsidR="00E84E66">
        <w:rPr>
          <w:rFonts w:ascii="Garamond" w:hAnsi="Garamond"/>
        </w:rPr>
        <w:t>democratic</w:t>
      </w:r>
      <w:r>
        <w:rPr>
          <w:rFonts w:ascii="Garamond" w:hAnsi="Garamond"/>
        </w:rPr>
        <w:t xml:space="preserve"> concerns at stake </w:t>
      </w:r>
      <w:r w:rsidR="00187E32" w:rsidRPr="00F90A54">
        <w:rPr>
          <w:rFonts w:ascii="Garamond" w:hAnsi="Garamond"/>
        </w:rPr>
        <w:t>when the government is the party encumbered by the intervenor’s participation.</w:t>
      </w:r>
      <w:r w:rsidR="003B31BD" w:rsidRPr="00F90A54">
        <w:rPr>
          <w:rFonts w:ascii="Garamond" w:hAnsi="Garamond"/>
        </w:rPr>
        <w:t xml:space="preserve"> </w:t>
      </w:r>
      <w:r w:rsidR="005D33F2" w:rsidRPr="00F90A54">
        <w:rPr>
          <w:rFonts w:ascii="Garamond" w:hAnsi="Garamond"/>
        </w:rPr>
        <w:t xml:space="preserve">The </w:t>
      </w:r>
      <w:r w:rsidR="003B31BD" w:rsidRPr="00F90A54">
        <w:rPr>
          <w:rFonts w:ascii="Garamond" w:hAnsi="Garamond"/>
        </w:rPr>
        <w:t>government</w:t>
      </w:r>
      <w:r w:rsidR="005D33F2" w:rsidRPr="00F90A54">
        <w:rPr>
          <w:rFonts w:ascii="Garamond" w:hAnsi="Garamond"/>
        </w:rPr>
        <w:t xml:space="preserve"> acts </w:t>
      </w:r>
      <w:r>
        <w:rPr>
          <w:rFonts w:ascii="Garamond" w:hAnsi="Garamond"/>
        </w:rPr>
        <w:t>as</w:t>
      </w:r>
      <w:r w:rsidR="005D33F2" w:rsidRPr="00F90A54">
        <w:rPr>
          <w:rFonts w:ascii="Garamond" w:hAnsi="Garamond"/>
        </w:rPr>
        <w:t xml:space="preserve"> a representative of its people when defending its policies in court.</w:t>
      </w:r>
      <w:r w:rsidR="00FE6CD6" w:rsidRPr="00F90A54">
        <w:rPr>
          <w:rStyle w:val="FootnoteReference"/>
          <w:rFonts w:ascii="Garamond" w:hAnsi="Garamond"/>
        </w:rPr>
        <w:footnoteReference w:id="327"/>
      </w:r>
      <w:r w:rsidR="005D33F2" w:rsidRPr="00F90A54">
        <w:rPr>
          <w:rFonts w:ascii="Garamond" w:hAnsi="Garamond"/>
        </w:rPr>
        <w:t xml:space="preserve"> Changes in </w:t>
      </w:r>
      <w:r w:rsidR="003B31BD" w:rsidRPr="00F90A54">
        <w:rPr>
          <w:rFonts w:ascii="Garamond" w:hAnsi="Garamond"/>
        </w:rPr>
        <w:t xml:space="preserve">the political makeup of the government </w:t>
      </w:r>
      <w:r w:rsidR="005D33F2" w:rsidRPr="00F90A54">
        <w:rPr>
          <w:rFonts w:ascii="Garamond" w:hAnsi="Garamond"/>
        </w:rPr>
        <w:t>can</w:t>
      </w:r>
      <w:r w:rsidR="00757292">
        <w:rPr>
          <w:rFonts w:ascii="Garamond" w:hAnsi="Garamond"/>
        </w:rPr>
        <w:t>—</w:t>
      </w:r>
      <w:r w:rsidR="005D33F2" w:rsidRPr="00F90A54">
        <w:rPr>
          <w:rFonts w:ascii="Garamond" w:hAnsi="Garamond"/>
        </w:rPr>
        <w:t xml:space="preserve">and </w:t>
      </w:r>
      <w:r w:rsidR="003B31BD" w:rsidRPr="00F90A54">
        <w:rPr>
          <w:rFonts w:ascii="Garamond" w:hAnsi="Garamond"/>
        </w:rPr>
        <w:t xml:space="preserve">arguably </w:t>
      </w:r>
      <w:r w:rsidR="005D33F2" w:rsidRPr="00F90A54">
        <w:rPr>
          <w:rFonts w:ascii="Garamond" w:hAnsi="Garamond"/>
        </w:rPr>
        <w:t>should</w:t>
      </w:r>
      <w:r w:rsidR="00757292">
        <w:rPr>
          <w:rFonts w:ascii="Garamond" w:hAnsi="Garamond"/>
        </w:rPr>
        <w:t>—</w:t>
      </w:r>
      <w:r w:rsidR="005D33F2" w:rsidRPr="00F90A54">
        <w:rPr>
          <w:rFonts w:ascii="Garamond" w:hAnsi="Garamond"/>
        </w:rPr>
        <w:t>affect that defense</w:t>
      </w:r>
      <w:r w:rsidR="003B31BD" w:rsidRPr="00F90A54">
        <w:rPr>
          <w:rFonts w:ascii="Garamond" w:hAnsi="Garamond"/>
        </w:rPr>
        <w:t xml:space="preserve">. That means that government defendants may </w:t>
      </w:r>
      <w:r w:rsidR="00FE6CD6" w:rsidRPr="00F90A54">
        <w:rPr>
          <w:rFonts w:ascii="Garamond" w:hAnsi="Garamond"/>
        </w:rPr>
        <w:t>abandon appeals or settl</w:t>
      </w:r>
      <w:r w:rsidR="003B31BD" w:rsidRPr="00F90A54">
        <w:rPr>
          <w:rFonts w:ascii="Garamond" w:hAnsi="Garamond"/>
        </w:rPr>
        <w:t>e</w:t>
      </w:r>
      <w:r w:rsidR="00FE6CD6" w:rsidRPr="00F90A54">
        <w:rPr>
          <w:rFonts w:ascii="Garamond" w:hAnsi="Garamond"/>
        </w:rPr>
        <w:t xml:space="preserve"> cases when the </w:t>
      </w:r>
      <w:r w:rsidR="003B31BD" w:rsidRPr="00F90A54">
        <w:rPr>
          <w:rFonts w:ascii="Garamond" w:hAnsi="Garamond"/>
        </w:rPr>
        <w:t xml:space="preserve">administration </w:t>
      </w:r>
      <w:r w:rsidR="00FE6CD6" w:rsidRPr="00F90A54">
        <w:rPr>
          <w:rFonts w:ascii="Garamond" w:hAnsi="Garamond"/>
        </w:rPr>
        <w:t xml:space="preserve">has chosen to change </w:t>
      </w:r>
      <w:r w:rsidR="004B6CF8" w:rsidRPr="00F90A54">
        <w:rPr>
          <w:rFonts w:ascii="Garamond" w:hAnsi="Garamond"/>
        </w:rPr>
        <w:t xml:space="preserve">its enforcement or understanding of </w:t>
      </w:r>
      <w:r w:rsidR="00FE6CD6" w:rsidRPr="00F90A54">
        <w:rPr>
          <w:rFonts w:ascii="Garamond" w:hAnsi="Garamond"/>
        </w:rPr>
        <w:t xml:space="preserve">the </w:t>
      </w:r>
      <w:r>
        <w:rPr>
          <w:rFonts w:ascii="Garamond" w:hAnsi="Garamond"/>
        </w:rPr>
        <w:t xml:space="preserve">challenged </w:t>
      </w:r>
      <w:r w:rsidR="00FE6CD6" w:rsidRPr="00F90A54">
        <w:rPr>
          <w:rFonts w:ascii="Garamond" w:hAnsi="Garamond"/>
        </w:rPr>
        <w:t>policy.</w:t>
      </w:r>
      <w:r w:rsidR="00FE6CD6" w:rsidRPr="00F90A54">
        <w:rPr>
          <w:rStyle w:val="FootnoteReference"/>
          <w:rFonts w:ascii="Garamond" w:hAnsi="Garamond"/>
        </w:rPr>
        <w:footnoteReference w:id="328"/>
      </w:r>
      <w:r w:rsidR="00FE6CD6" w:rsidRPr="00F90A54">
        <w:rPr>
          <w:rFonts w:ascii="Garamond" w:hAnsi="Garamond"/>
        </w:rPr>
        <w:t xml:space="preserve"> </w:t>
      </w:r>
      <w:r w:rsidR="005255E0" w:rsidRPr="00F90A54">
        <w:rPr>
          <w:rFonts w:ascii="Garamond" w:hAnsi="Garamond"/>
        </w:rPr>
        <w:t>Intervenors who prevent the government from effectuating its preferred litigation tactics thus also undermine democratic control of the elected branches.</w:t>
      </w:r>
    </w:p>
    <w:p w14:paraId="4937221A" w14:textId="5B31BBCE" w:rsidR="0046235B" w:rsidRPr="00F90A54" w:rsidRDefault="00E06FE2" w:rsidP="001F4A3F">
      <w:pPr>
        <w:ind w:firstLine="360"/>
        <w:jc w:val="both"/>
        <w:rPr>
          <w:rFonts w:ascii="Garamond" w:hAnsi="Garamond"/>
        </w:rPr>
      </w:pPr>
      <w:r>
        <w:rPr>
          <w:rFonts w:ascii="Garamond" w:hAnsi="Garamond"/>
        </w:rPr>
        <w:lastRenderedPageBreak/>
        <w:t>T</w:t>
      </w:r>
      <w:r w:rsidR="005255E0" w:rsidRPr="00F90A54">
        <w:rPr>
          <w:rFonts w:ascii="Garamond" w:hAnsi="Garamond"/>
        </w:rPr>
        <w:t>hese proposed intervenors force courts to wade into partisan waters to determine whether outsiders (or which outsiders)</w:t>
      </w:r>
      <w:r w:rsidR="001253D4" w:rsidRPr="00F90A54">
        <w:rPr>
          <w:rStyle w:val="FootnoteReference"/>
          <w:rFonts w:ascii="Garamond" w:hAnsi="Garamond"/>
        </w:rPr>
        <w:footnoteReference w:id="329"/>
      </w:r>
      <w:r w:rsidR="005255E0" w:rsidRPr="00F90A54">
        <w:rPr>
          <w:rFonts w:ascii="Garamond" w:hAnsi="Garamond"/>
        </w:rPr>
        <w:t xml:space="preserve"> will be allowed to defend a federal policy and whether the legality of that policy will be adjudicated or left to the political branches. Part</w:t>
      </w:r>
      <w:r w:rsidR="00E61BBD" w:rsidRPr="00F90A54">
        <w:rPr>
          <w:rFonts w:ascii="Garamond" w:hAnsi="Garamond"/>
        </w:rPr>
        <w:t>s</w:t>
      </w:r>
      <w:r w:rsidR="005255E0" w:rsidRPr="00F90A54">
        <w:rPr>
          <w:rFonts w:ascii="Garamond" w:hAnsi="Garamond"/>
        </w:rPr>
        <w:t xml:space="preserve"> II</w:t>
      </w:r>
      <w:r w:rsidR="00E61BBD" w:rsidRPr="00F90A54">
        <w:rPr>
          <w:rFonts w:ascii="Garamond" w:hAnsi="Garamond"/>
        </w:rPr>
        <w:t xml:space="preserve"> and III </w:t>
      </w:r>
      <w:r w:rsidR="005255E0" w:rsidRPr="00F90A54">
        <w:rPr>
          <w:rFonts w:ascii="Garamond" w:hAnsi="Garamond"/>
        </w:rPr>
        <w:t xml:space="preserve">furnish examples of how intervenors can make all the difference in avoiding </w:t>
      </w:r>
      <w:r w:rsidR="00081729" w:rsidRPr="00F90A54">
        <w:rPr>
          <w:rFonts w:ascii="Garamond" w:hAnsi="Garamond"/>
        </w:rPr>
        <w:t>high-profile political</w:t>
      </w:r>
      <w:r w:rsidR="005255E0" w:rsidRPr="00F90A54">
        <w:rPr>
          <w:rFonts w:ascii="Garamond" w:hAnsi="Garamond"/>
        </w:rPr>
        <w:t xml:space="preserve"> confrontations. </w:t>
      </w:r>
      <w:r w:rsidR="002F7885" w:rsidRPr="00F90A54">
        <w:rPr>
          <w:rFonts w:ascii="Garamond" w:hAnsi="Garamond"/>
        </w:rPr>
        <w:t xml:space="preserve">Policies such as the in-person dispensation requirement for mifepristone, the “abortion gag” rule, or the Public Charge rule all would have been subject to Supreme Court review on the merits had the </w:t>
      </w:r>
      <w:r w:rsidR="0014533D" w:rsidRPr="00F90A54">
        <w:rPr>
          <w:rFonts w:ascii="Garamond" w:hAnsi="Garamond"/>
        </w:rPr>
        <w:t>nonparties</w:t>
      </w:r>
      <w:r w:rsidR="002F7885" w:rsidRPr="00F90A54">
        <w:rPr>
          <w:rFonts w:ascii="Garamond" w:hAnsi="Garamond"/>
        </w:rPr>
        <w:t xml:space="preserve"> been allowed to intervene to defend the policies. </w:t>
      </w:r>
      <w:r w:rsidR="00CE6184" w:rsidRPr="00F90A54">
        <w:rPr>
          <w:rFonts w:ascii="Garamond" w:hAnsi="Garamond"/>
        </w:rPr>
        <w:t xml:space="preserve">Because the courts denied intervention, the government </w:t>
      </w:r>
      <w:r w:rsidR="008C0A6E" w:rsidRPr="00F90A54">
        <w:rPr>
          <w:rFonts w:ascii="Garamond" w:hAnsi="Garamond"/>
        </w:rPr>
        <w:t xml:space="preserve">resolved those challenges </w:t>
      </w:r>
      <w:r w:rsidR="00CE6184" w:rsidRPr="00F90A54">
        <w:rPr>
          <w:rFonts w:ascii="Garamond" w:hAnsi="Garamond"/>
        </w:rPr>
        <w:t>and amend</w:t>
      </w:r>
      <w:r w:rsidR="008C0A6E" w:rsidRPr="00F90A54">
        <w:rPr>
          <w:rFonts w:ascii="Garamond" w:hAnsi="Garamond"/>
        </w:rPr>
        <w:t>ed</w:t>
      </w:r>
      <w:r w:rsidR="00CE6184" w:rsidRPr="00F90A54">
        <w:rPr>
          <w:rFonts w:ascii="Garamond" w:hAnsi="Garamond"/>
        </w:rPr>
        <w:t xml:space="preserve"> </w:t>
      </w:r>
      <w:r w:rsidR="0046235B" w:rsidRPr="00F90A54">
        <w:rPr>
          <w:rFonts w:ascii="Garamond" w:hAnsi="Garamond"/>
        </w:rPr>
        <w:t>its rules</w:t>
      </w:r>
      <w:r w:rsidR="008C0A6E" w:rsidRPr="00F90A54">
        <w:rPr>
          <w:rFonts w:ascii="Garamond" w:hAnsi="Garamond"/>
        </w:rPr>
        <w:t xml:space="preserve"> to reflect </w:t>
      </w:r>
      <w:r w:rsidR="00CE6184" w:rsidRPr="00F90A54">
        <w:rPr>
          <w:rFonts w:ascii="Garamond" w:hAnsi="Garamond"/>
        </w:rPr>
        <w:t xml:space="preserve">the administration’s </w:t>
      </w:r>
      <w:r>
        <w:rPr>
          <w:rFonts w:ascii="Garamond" w:hAnsi="Garamond"/>
        </w:rPr>
        <w:t>preferred policies</w:t>
      </w:r>
      <w:r w:rsidR="00CE6184" w:rsidRPr="00F90A54">
        <w:rPr>
          <w:rFonts w:ascii="Garamond" w:hAnsi="Garamond"/>
        </w:rPr>
        <w:t xml:space="preserve">. </w:t>
      </w:r>
      <w:r w:rsidR="00B747FD" w:rsidRPr="00F90A54">
        <w:rPr>
          <w:rFonts w:ascii="Garamond" w:hAnsi="Garamond"/>
        </w:rPr>
        <w:t xml:space="preserve">By contrast, </w:t>
      </w:r>
      <w:r w:rsidR="0046235B" w:rsidRPr="00F90A54">
        <w:rPr>
          <w:rFonts w:ascii="Garamond" w:hAnsi="Garamond"/>
        </w:rPr>
        <w:t xml:space="preserve">challenges to DACA, the Affordable Care Act, and the EPA’s water regulations have all </w:t>
      </w:r>
      <w:r w:rsidR="00FE20E4">
        <w:rPr>
          <w:rFonts w:ascii="Garamond" w:hAnsi="Garamond"/>
        </w:rPr>
        <w:t>t</w:t>
      </w:r>
      <w:r>
        <w:rPr>
          <w:rFonts w:ascii="Garamond" w:hAnsi="Garamond"/>
        </w:rPr>
        <w:t xml:space="preserve">eed up the merits for the court’s determination </w:t>
      </w:r>
      <w:r w:rsidR="0046235B" w:rsidRPr="00F90A54">
        <w:rPr>
          <w:rFonts w:ascii="Garamond" w:hAnsi="Garamond"/>
        </w:rPr>
        <w:t>because the intervenor defend</w:t>
      </w:r>
      <w:r w:rsidR="00FE20E4">
        <w:rPr>
          <w:rFonts w:ascii="Garamond" w:hAnsi="Garamond"/>
        </w:rPr>
        <w:t>ed</w:t>
      </w:r>
      <w:r w:rsidR="0046235B" w:rsidRPr="00F90A54">
        <w:rPr>
          <w:rFonts w:ascii="Garamond" w:hAnsi="Garamond"/>
        </w:rPr>
        <w:t xml:space="preserve"> the policies in court. </w:t>
      </w:r>
    </w:p>
    <w:p w14:paraId="1CF73C53" w14:textId="01B15FD9" w:rsidR="00B728B1" w:rsidRPr="00F90A54" w:rsidRDefault="00AA5293" w:rsidP="001F4A3F">
      <w:pPr>
        <w:ind w:firstLine="360"/>
        <w:jc w:val="both"/>
        <w:rPr>
          <w:rFonts w:ascii="Garamond" w:hAnsi="Garamond"/>
        </w:rPr>
      </w:pPr>
      <w:r w:rsidRPr="00F90A54">
        <w:rPr>
          <w:rFonts w:ascii="Garamond" w:hAnsi="Garamond"/>
        </w:rPr>
        <w:t xml:space="preserve">There are a few concerns about this proposal worth considering. First, </w:t>
      </w:r>
      <w:r w:rsidR="00597B0A" w:rsidRPr="00F90A54">
        <w:rPr>
          <w:rFonts w:ascii="Garamond" w:hAnsi="Garamond"/>
        </w:rPr>
        <w:t>this solution</w:t>
      </w:r>
      <w:r w:rsidRPr="00F90A54">
        <w:rPr>
          <w:rFonts w:ascii="Garamond" w:hAnsi="Garamond"/>
        </w:rPr>
        <w:t xml:space="preserve"> might only be effective if courts apply a heightened presumption of adequate representation when the government is a defendant—a presumption that is at least suspect given that it has no hook in the text of the </w:t>
      </w:r>
      <w:r w:rsidR="00D134BC" w:rsidRPr="00F90A54">
        <w:rPr>
          <w:rFonts w:ascii="Garamond" w:hAnsi="Garamond"/>
        </w:rPr>
        <w:t xml:space="preserve">current </w:t>
      </w:r>
      <w:r w:rsidRPr="00F90A54">
        <w:rPr>
          <w:rFonts w:ascii="Garamond" w:hAnsi="Garamond"/>
        </w:rPr>
        <w:t>Rule.</w:t>
      </w:r>
      <w:r w:rsidR="008D357E" w:rsidRPr="00F90A54">
        <w:rPr>
          <w:rStyle w:val="FootnoteReference"/>
          <w:rFonts w:ascii="Garamond" w:hAnsi="Garamond"/>
        </w:rPr>
        <w:footnoteReference w:id="330"/>
      </w:r>
      <w:r w:rsidRPr="00F90A54">
        <w:rPr>
          <w:rFonts w:ascii="Garamond" w:hAnsi="Garamond"/>
        </w:rPr>
        <w:t xml:space="preserve"> </w:t>
      </w:r>
      <w:r w:rsidR="009B2195" w:rsidRPr="00F90A54">
        <w:rPr>
          <w:rFonts w:ascii="Garamond" w:hAnsi="Garamond"/>
        </w:rPr>
        <w:t xml:space="preserve">But without the presumption, </w:t>
      </w:r>
      <w:r w:rsidR="00FB693A" w:rsidRPr="00F90A54">
        <w:rPr>
          <w:rFonts w:ascii="Garamond" w:hAnsi="Garamond"/>
        </w:rPr>
        <w:t xml:space="preserve">it may be too easy for </w:t>
      </w:r>
      <w:r w:rsidR="009B2195" w:rsidRPr="00F90A54">
        <w:rPr>
          <w:rFonts w:ascii="Garamond" w:hAnsi="Garamond"/>
        </w:rPr>
        <w:t xml:space="preserve">litigants </w:t>
      </w:r>
      <w:r w:rsidR="00FB693A" w:rsidRPr="00F90A54">
        <w:rPr>
          <w:rFonts w:ascii="Garamond" w:hAnsi="Garamond"/>
        </w:rPr>
        <w:t xml:space="preserve">to </w:t>
      </w:r>
      <w:r w:rsidR="009B2195" w:rsidRPr="00F90A54">
        <w:rPr>
          <w:rFonts w:ascii="Garamond" w:hAnsi="Garamond"/>
        </w:rPr>
        <w:t>overcome the “minimal” adequate-representation requirement that would otherwise apply</w:t>
      </w:r>
      <w:r w:rsidR="001419E4" w:rsidRPr="00F90A54">
        <w:rPr>
          <w:rFonts w:ascii="Garamond" w:hAnsi="Garamond"/>
        </w:rPr>
        <w:t>.</w:t>
      </w:r>
      <w:r w:rsidR="00D921B1" w:rsidRPr="00F90A54">
        <w:rPr>
          <w:rFonts w:ascii="Garamond" w:hAnsi="Garamond"/>
        </w:rPr>
        <w:t xml:space="preserve"> Once in the case, those intervenors could defend the policy</w:t>
      </w:r>
      <w:r w:rsidR="00473630" w:rsidRPr="00F90A54">
        <w:rPr>
          <w:rFonts w:ascii="Garamond" w:hAnsi="Garamond"/>
        </w:rPr>
        <w:t xml:space="preserve">, including </w:t>
      </w:r>
      <w:r w:rsidR="0058382B">
        <w:rPr>
          <w:rFonts w:ascii="Garamond" w:hAnsi="Garamond"/>
        </w:rPr>
        <w:t xml:space="preserve">on </w:t>
      </w:r>
      <w:r w:rsidR="00473630" w:rsidRPr="00F90A54">
        <w:rPr>
          <w:rFonts w:ascii="Garamond" w:hAnsi="Garamond"/>
        </w:rPr>
        <w:t>appeal.</w:t>
      </w:r>
    </w:p>
    <w:p w14:paraId="59362E47" w14:textId="7FD924E4" w:rsidR="00F17D0B" w:rsidRPr="00F90A54" w:rsidRDefault="00B728B1" w:rsidP="001F4A3F">
      <w:pPr>
        <w:ind w:firstLine="360"/>
        <w:jc w:val="both"/>
        <w:rPr>
          <w:rFonts w:ascii="Garamond" w:hAnsi="Garamond"/>
        </w:rPr>
      </w:pPr>
      <w:r w:rsidRPr="00F90A54">
        <w:rPr>
          <w:rFonts w:ascii="Garamond" w:hAnsi="Garamond"/>
        </w:rPr>
        <w:t xml:space="preserve">Second, proposals that </w:t>
      </w:r>
      <w:r w:rsidR="00911564" w:rsidRPr="00F90A54">
        <w:rPr>
          <w:rFonts w:ascii="Garamond" w:hAnsi="Garamond"/>
        </w:rPr>
        <w:t>expand</w:t>
      </w:r>
      <w:r w:rsidRPr="00F90A54">
        <w:rPr>
          <w:rFonts w:ascii="Garamond" w:hAnsi="Garamond"/>
        </w:rPr>
        <w:t xml:space="preserve"> the court’s ability to exercise passive virtues necessarily also allow it to avoid its law-making or information-forcing roles. </w:t>
      </w:r>
      <w:r w:rsidR="00C530BF" w:rsidRPr="00F90A54">
        <w:rPr>
          <w:rFonts w:ascii="Garamond" w:hAnsi="Garamond"/>
        </w:rPr>
        <w:t xml:space="preserve">Those functions serve important public interests, and it’s not clear that wholesale preclusion is an unalloyed good. </w:t>
      </w:r>
      <w:r w:rsidR="00731255" w:rsidRPr="00F90A54">
        <w:rPr>
          <w:rFonts w:ascii="Garamond" w:hAnsi="Garamond"/>
        </w:rPr>
        <w:t xml:space="preserve">As to law-making, </w:t>
      </w:r>
      <w:r w:rsidR="003267FD" w:rsidRPr="00F90A54">
        <w:rPr>
          <w:rFonts w:ascii="Garamond" w:hAnsi="Garamond"/>
        </w:rPr>
        <w:t>preventing intervenors from interfering with settlement</w:t>
      </w:r>
      <w:r w:rsidR="007D4FD3" w:rsidRPr="00F90A54">
        <w:rPr>
          <w:rFonts w:ascii="Garamond" w:hAnsi="Garamond"/>
        </w:rPr>
        <w:t>s</w:t>
      </w:r>
      <w:r w:rsidR="003267FD" w:rsidRPr="00F90A54">
        <w:rPr>
          <w:rFonts w:ascii="Garamond" w:hAnsi="Garamond"/>
        </w:rPr>
        <w:t xml:space="preserve"> or forcing appeal</w:t>
      </w:r>
      <w:r w:rsidR="007D4FD3" w:rsidRPr="00F90A54">
        <w:rPr>
          <w:rFonts w:ascii="Garamond" w:hAnsi="Garamond"/>
        </w:rPr>
        <w:t>s</w:t>
      </w:r>
      <w:r w:rsidR="003267FD" w:rsidRPr="00F90A54">
        <w:rPr>
          <w:rFonts w:ascii="Garamond" w:hAnsi="Garamond"/>
        </w:rPr>
        <w:t xml:space="preserve"> allows the government to avoid binding precedent that declares a particular type of policy unlawful—thereby maximizing its future policymaking authority. It also prevents the courts of appeals or the Supreme Court </w:t>
      </w:r>
      <w:r w:rsidR="003267FD" w:rsidRPr="00F90A54">
        <w:rPr>
          <w:rFonts w:ascii="Garamond" w:hAnsi="Garamond"/>
        </w:rPr>
        <w:lastRenderedPageBreak/>
        <w:t xml:space="preserve">from reversing a legally erroneous order </w:t>
      </w:r>
      <w:r w:rsidR="007D4FD3" w:rsidRPr="00F90A54">
        <w:rPr>
          <w:rFonts w:ascii="Garamond" w:hAnsi="Garamond"/>
        </w:rPr>
        <w:t xml:space="preserve">enjoining a policy </w:t>
      </w:r>
      <w:r w:rsidR="003267FD" w:rsidRPr="00F90A54">
        <w:rPr>
          <w:rFonts w:ascii="Garamond" w:hAnsi="Garamond"/>
        </w:rPr>
        <w:t xml:space="preserve">and validating </w:t>
      </w:r>
      <w:r w:rsidR="007D4FD3" w:rsidRPr="00F90A54">
        <w:rPr>
          <w:rFonts w:ascii="Garamond" w:hAnsi="Garamond"/>
        </w:rPr>
        <w:t xml:space="preserve">its </w:t>
      </w:r>
      <w:r w:rsidR="003267FD" w:rsidRPr="00F90A54">
        <w:rPr>
          <w:rFonts w:ascii="Garamond" w:hAnsi="Garamond"/>
        </w:rPr>
        <w:t>legality.</w:t>
      </w:r>
      <w:r w:rsidR="00E74A20" w:rsidRPr="00F90A54">
        <w:rPr>
          <w:rFonts w:ascii="Garamond" w:hAnsi="Garamond"/>
        </w:rPr>
        <w:t xml:space="preserve"> </w:t>
      </w:r>
      <w:r w:rsidR="00AE1021" w:rsidRPr="00F90A54">
        <w:rPr>
          <w:rFonts w:ascii="Garamond" w:hAnsi="Garamond"/>
        </w:rPr>
        <w:t xml:space="preserve">Even if </w:t>
      </w:r>
      <w:r w:rsidR="004A77B0">
        <w:rPr>
          <w:rFonts w:ascii="Garamond" w:hAnsi="Garamond"/>
        </w:rPr>
        <w:t xml:space="preserve">the outsiders who would have intervened are able to bring their </w:t>
      </w:r>
      <w:r w:rsidR="00A43D1D">
        <w:rPr>
          <w:rFonts w:ascii="Garamond" w:hAnsi="Garamond"/>
        </w:rPr>
        <w:t>own</w:t>
      </w:r>
      <w:r w:rsidR="00AE1021" w:rsidRPr="00F90A54">
        <w:rPr>
          <w:rFonts w:ascii="Garamond" w:hAnsi="Garamond"/>
        </w:rPr>
        <w:t xml:space="preserve"> future challenges against the same or similar policy, enabling the court to </w:t>
      </w:r>
      <w:r w:rsidR="00F17D0B" w:rsidRPr="00F90A54">
        <w:rPr>
          <w:rFonts w:ascii="Garamond" w:hAnsi="Garamond"/>
        </w:rPr>
        <w:t xml:space="preserve">eventually perform its law-making role, it may </w:t>
      </w:r>
      <w:r w:rsidR="00A43D1D">
        <w:rPr>
          <w:rFonts w:ascii="Garamond" w:hAnsi="Garamond"/>
        </w:rPr>
        <w:t xml:space="preserve">matter </w:t>
      </w:r>
      <w:r w:rsidR="00F17D0B" w:rsidRPr="00F90A54">
        <w:rPr>
          <w:rFonts w:ascii="Garamond" w:hAnsi="Garamond"/>
        </w:rPr>
        <w:t xml:space="preserve">when that function is fulfilled. For instance, a court order declaring a politically salient law unconstitutional may have different societal ramifications before or after </w:t>
      </w:r>
      <w:r w:rsidR="00867499" w:rsidRPr="00F90A54">
        <w:rPr>
          <w:rFonts w:ascii="Garamond" w:hAnsi="Garamond"/>
        </w:rPr>
        <w:t>an</w:t>
      </w:r>
      <w:r w:rsidR="00F17D0B" w:rsidRPr="00F90A54">
        <w:rPr>
          <w:rFonts w:ascii="Garamond" w:hAnsi="Garamond"/>
        </w:rPr>
        <w:t xml:space="preserve"> election. </w:t>
      </w:r>
    </w:p>
    <w:p w14:paraId="3A129CA2" w14:textId="49DFE5B8" w:rsidR="00731255" w:rsidRPr="00F90A54" w:rsidRDefault="00F17D0B" w:rsidP="001F4A3F">
      <w:pPr>
        <w:ind w:firstLine="360"/>
        <w:jc w:val="both"/>
        <w:rPr>
          <w:rFonts w:ascii="Garamond" w:hAnsi="Garamond"/>
        </w:rPr>
      </w:pPr>
      <w:r w:rsidRPr="00F90A54">
        <w:rPr>
          <w:rFonts w:ascii="Garamond" w:hAnsi="Garamond"/>
        </w:rPr>
        <w:t xml:space="preserve"> </w:t>
      </w:r>
      <w:r w:rsidR="00882B25" w:rsidRPr="00F90A54">
        <w:rPr>
          <w:rFonts w:ascii="Garamond" w:hAnsi="Garamond"/>
        </w:rPr>
        <w:t xml:space="preserve">As to information-forcing, this proposal may enable the government to choose to end </w:t>
      </w:r>
      <w:r w:rsidR="00237945" w:rsidRPr="00F90A54">
        <w:rPr>
          <w:rFonts w:ascii="Garamond" w:hAnsi="Garamond"/>
        </w:rPr>
        <w:t>a case</w:t>
      </w:r>
      <w:r w:rsidR="00882B25" w:rsidRPr="00F90A54">
        <w:rPr>
          <w:rFonts w:ascii="Garamond" w:hAnsi="Garamond"/>
        </w:rPr>
        <w:t xml:space="preserve"> by settlement or acquiescence to avoid disclosing information that would otherwise remain unpublished. That litigation the</w:t>
      </w:r>
      <w:r w:rsidR="00A55A2D" w:rsidRPr="00F90A54">
        <w:rPr>
          <w:rFonts w:ascii="Garamond" w:hAnsi="Garamond"/>
        </w:rPr>
        <w:t xml:space="preserve">n </w:t>
      </w:r>
      <w:r w:rsidR="00882B25" w:rsidRPr="00F90A54">
        <w:rPr>
          <w:rFonts w:ascii="Garamond" w:hAnsi="Garamond"/>
        </w:rPr>
        <w:t>fails to serve its democratic function to reveal politically salient information.</w:t>
      </w:r>
      <w:r w:rsidR="00882B25" w:rsidRPr="00F90A54">
        <w:rPr>
          <w:rStyle w:val="FootnoteReference"/>
          <w:rFonts w:ascii="Garamond" w:hAnsi="Garamond"/>
        </w:rPr>
        <w:footnoteReference w:id="331"/>
      </w:r>
      <w:r w:rsidR="00882B25" w:rsidRPr="00F90A54">
        <w:rPr>
          <w:rFonts w:ascii="Garamond" w:hAnsi="Garamond"/>
        </w:rPr>
        <w:t xml:space="preserve"> </w:t>
      </w:r>
      <w:r w:rsidR="00831FC5" w:rsidRPr="00F90A54">
        <w:rPr>
          <w:rFonts w:ascii="Garamond" w:hAnsi="Garamond"/>
        </w:rPr>
        <w:t xml:space="preserve">This could be enormously consequential, depending on the content of the information lost or the other avenues </w:t>
      </w:r>
      <w:r w:rsidR="00FD3D53" w:rsidRPr="00F90A54">
        <w:rPr>
          <w:rFonts w:ascii="Garamond" w:hAnsi="Garamond"/>
        </w:rPr>
        <w:t>available to</w:t>
      </w:r>
      <w:r w:rsidR="00831FC5" w:rsidRPr="00F90A54">
        <w:rPr>
          <w:rFonts w:ascii="Garamond" w:hAnsi="Garamond"/>
        </w:rPr>
        <w:t xml:space="preserve"> obtain </w:t>
      </w:r>
      <w:r w:rsidR="007F431D" w:rsidRPr="00F90A54">
        <w:rPr>
          <w:rFonts w:ascii="Garamond" w:hAnsi="Garamond"/>
        </w:rPr>
        <w:t>it</w:t>
      </w:r>
      <w:r w:rsidR="00831FC5" w:rsidRPr="00F90A54">
        <w:rPr>
          <w:rFonts w:ascii="Garamond" w:hAnsi="Garamond"/>
        </w:rPr>
        <w:t xml:space="preserve">. </w:t>
      </w:r>
    </w:p>
    <w:p w14:paraId="6DEA5A0F" w14:textId="1BB7D831" w:rsidR="00AF5701" w:rsidRPr="00F90A54" w:rsidRDefault="00AF5701" w:rsidP="001F4A3F">
      <w:pPr>
        <w:ind w:firstLine="360"/>
        <w:jc w:val="both"/>
        <w:rPr>
          <w:rFonts w:ascii="Garamond" w:hAnsi="Garamond"/>
        </w:rPr>
      </w:pPr>
      <w:r w:rsidRPr="00F90A54">
        <w:rPr>
          <w:rFonts w:ascii="Garamond" w:hAnsi="Garamond"/>
        </w:rPr>
        <w:t>These concerns can perhaps be allayed by courts exercising other managerial powers,</w:t>
      </w:r>
      <w:r w:rsidR="002475CF">
        <w:rPr>
          <w:rFonts w:ascii="Garamond" w:hAnsi="Garamond"/>
        </w:rPr>
        <w:t xml:space="preserve"> like </w:t>
      </w:r>
      <w:r w:rsidRPr="00F90A54">
        <w:rPr>
          <w:rFonts w:ascii="Garamond" w:hAnsi="Garamond"/>
        </w:rPr>
        <w:t>scrutiniz</w:t>
      </w:r>
      <w:r w:rsidR="002475CF">
        <w:rPr>
          <w:rFonts w:ascii="Garamond" w:hAnsi="Garamond"/>
        </w:rPr>
        <w:t>ing</w:t>
      </w:r>
      <w:r w:rsidRPr="00F90A54">
        <w:rPr>
          <w:rFonts w:ascii="Garamond" w:hAnsi="Garamond"/>
        </w:rPr>
        <w:t xml:space="preserve"> settlements. </w:t>
      </w:r>
      <w:r w:rsidR="001874D1" w:rsidRPr="00F90A54">
        <w:rPr>
          <w:rFonts w:ascii="Garamond" w:hAnsi="Garamond"/>
        </w:rPr>
        <w:t xml:space="preserve">In other words, it’s not clear that intervention is the proper mechanism for ensuring that courts exercise these important functions. </w:t>
      </w:r>
      <w:r w:rsidR="00E732EB" w:rsidRPr="00F90A54">
        <w:rPr>
          <w:rFonts w:ascii="Garamond" w:hAnsi="Garamond"/>
        </w:rPr>
        <w:t>It is also unclear that these potential costs outweigh the benefits of avoiding the normative issues analyzed above. The court’s exercise of its law-making function over politically salient policies during an election cycle may exacerbate the institution</w:t>
      </w:r>
      <w:r w:rsidR="000D210B" w:rsidRPr="00F90A54">
        <w:rPr>
          <w:rFonts w:ascii="Garamond" w:hAnsi="Garamond"/>
        </w:rPr>
        <w:t>al</w:t>
      </w:r>
      <w:r w:rsidR="00E732EB" w:rsidRPr="00F90A54">
        <w:rPr>
          <w:rFonts w:ascii="Garamond" w:hAnsi="Garamond"/>
        </w:rPr>
        <w:t xml:space="preserve"> costs to the judiciary, even if they further democratic gains elsewhere. </w:t>
      </w:r>
    </w:p>
    <w:p w14:paraId="486EFA3A" w14:textId="527F7F2B" w:rsidR="0011786F" w:rsidRPr="00F90A54" w:rsidRDefault="00E732EB" w:rsidP="001F4A3F">
      <w:pPr>
        <w:ind w:firstLine="360"/>
        <w:jc w:val="both"/>
        <w:rPr>
          <w:rFonts w:ascii="Garamond" w:hAnsi="Garamond"/>
        </w:rPr>
      </w:pPr>
      <w:r w:rsidRPr="00F90A54">
        <w:rPr>
          <w:rFonts w:ascii="Garamond" w:hAnsi="Garamond"/>
        </w:rPr>
        <w:t xml:space="preserve">Finally, one might also </w:t>
      </w:r>
      <w:r w:rsidR="00760F81" w:rsidRPr="00F90A54">
        <w:rPr>
          <w:rFonts w:ascii="Garamond" w:hAnsi="Garamond"/>
        </w:rPr>
        <w:t xml:space="preserve">fairly </w:t>
      </w:r>
      <w:r w:rsidRPr="00F90A54">
        <w:rPr>
          <w:rFonts w:ascii="Garamond" w:hAnsi="Garamond"/>
        </w:rPr>
        <w:t xml:space="preserve">question whether this proposal risks granting the executive an effective veto over laws adopted by Congress. </w:t>
      </w:r>
      <w:r w:rsidR="000B62FA" w:rsidRPr="00F90A54">
        <w:rPr>
          <w:rFonts w:ascii="Garamond" w:hAnsi="Garamond"/>
        </w:rPr>
        <w:t>If intervenors are excluded from defending government policies, then district courts are free to issue nationwide injunctions barring the enforcement of those policies without hearing a vigorous defense</w:t>
      </w:r>
      <w:r w:rsidR="00B43F89" w:rsidRPr="00F90A54">
        <w:rPr>
          <w:rFonts w:ascii="Garamond" w:hAnsi="Garamond"/>
        </w:rPr>
        <w:t xml:space="preserve"> or being subjected to appellate scrutiny. </w:t>
      </w:r>
      <w:r w:rsidR="003D6FE0" w:rsidRPr="00F90A54">
        <w:rPr>
          <w:rFonts w:ascii="Garamond" w:hAnsi="Garamond"/>
        </w:rPr>
        <w:t xml:space="preserve">An executive that is politically hostile to the policy therefore only </w:t>
      </w:r>
      <w:proofErr w:type="gramStart"/>
      <w:r w:rsidR="003D6FE0" w:rsidRPr="00F90A54">
        <w:rPr>
          <w:rFonts w:ascii="Garamond" w:hAnsi="Garamond"/>
        </w:rPr>
        <w:t>has to</w:t>
      </w:r>
      <w:proofErr w:type="gramEnd"/>
      <w:r w:rsidR="003D6FE0" w:rsidRPr="00F90A54">
        <w:rPr>
          <w:rFonts w:ascii="Garamond" w:hAnsi="Garamond"/>
        </w:rPr>
        <w:t xml:space="preserve"> </w:t>
      </w:r>
      <w:r w:rsidR="00EC12A8" w:rsidRPr="00F90A54">
        <w:rPr>
          <w:rFonts w:ascii="Garamond" w:hAnsi="Garamond"/>
        </w:rPr>
        <w:t>sit back and wait for a challenge</w:t>
      </w:r>
      <w:r w:rsidR="00D43D61" w:rsidRPr="00F90A54">
        <w:rPr>
          <w:rFonts w:ascii="Garamond" w:hAnsi="Garamond"/>
        </w:rPr>
        <w:t xml:space="preserve">, rather than articulate </w:t>
      </w:r>
      <w:r w:rsidR="00330FCD" w:rsidRPr="00F90A54">
        <w:rPr>
          <w:rFonts w:ascii="Garamond" w:hAnsi="Garamond"/>
        </w:rPr>
        <w:t xml:space="preserve">the reasons for </w:t>
      </w:r>
      <w:r w:rsidR="00D41AC5" w:rsidRPr="00F90A54">
        <w:rPr>
          <w:rFonts w:ascii="Garamond" w:hAnsi="Garamond"/>
        </w:rPr>
        <w:t xml:space="preserve">their </w:t>
      </w:r>
      <w:r w:rsidR="00D43D61" w:rsidRPr="00F90A54">
        <w:rPr>
          <w:rFonts w:ascii="Garamond" w:hAnsi="Garamond"/>
        </w:rPr>
        <w:t xml:space="preserve">opposition to the court or the public. </w:t>
      </w:r>
      <w:r w:rsidR="007F673E" w:rsidRPr="00F90A54">
        <w:rPr>
          <w:rFonts w:ascii="Garamond" w:hAnsi="Garamond"/>
        </w:rPr>
        <w:t xml:space="preserve">This charge was raised by commentators after </w:t>
      </w:r>
      <w:r w:rsidR="007F673E" w:rsidRPr="00F90A54">
        <w:rPr>
          <w:rFonts w:ascii="Garamond" w:hAnsi="Garamond"/>
          <w:i/>
          <w:iCs/>
        </w:rPr>
        <w:t>Hollingsworth v. Perry</w:t>
      </w:r>
      <w:r w:rsidR="007F673E" w:rsidRPr="00F90A54">
        <w:rPr>
          <w:rFonts w:ascii="Garamond" w:hAnsi="Garamond"/>
        </w:rPr>
        <w:t>,</w:t>
      </w:r>
      <w:r w:rsidR="006D23FC" w:rsidRPr="00F90A54">
        <w:rPr>
          <w:rFonts w:ascii="Garamond" w:eastAsia="Times New Roman" w:hAnsi="Garamond"/>
          <w:vertAlign w:val="superscript"/>
        </w:rPr>
        <w:footnoteReference w:id="332"/>
      </w:r>
      <w:r w:rsidR="006D23FC" w:rsidRPr="00F90A54">
        <w:rPr>
          <w:rFonts w:ascii="Garamond" w:eastAsia="Times New Roman" w:hAnsi="Garamond"/>
        </w:rPr>
        <w:t xml:space="preserve"> </w:t>
      </w:r>
      <w:r w:rsidR="007F673E" w:rsidRPr="00F90A54">
        <w:rPr>
          <w:rFonts w:ascii="Garamond" w:hAnsi="Garamond"/>
        </w:rPr>
        <w:t>where</w:t>
      </w:r>
      <w:r w:rsidR="007F673E" w:rsidRPr="00F90A54">
        <w:rPr>
          <w:rFonts w:ascii="Garamond" w:hAnsi="Garamond"/>
          <w:i/>
          <w:iCs/>
        </w:rPr>
        <w:t xml:space="preserve"> </w:t>
      </w:r>
      <w:r w:rsidR="007F673E" w:rsidRPr="00F90A54">
        <w:rPr>
          <w:rFonts w:ascii="Garamond" w:hAnsi="Garamond"/>
        </w:rPr>
        <w:t xml:space="preserve">the Supreme Court held that the official sponsors of a state initiative </w:t>
      </w:r>
      <w:r w:rsidR="001D6B33" w:rsidRPr="00F90A54">
        <w:rPr>
          <w:rFonts w:ascii="Garamond" w:hAnsi="Garamond"/>
        </w:rPr>
        <w:t xml:space="preserve">lacked </w:t>
      </w:r>
      <w:r w:rsidR="007F673E" w:rsidRPr="00F90A54">
        <w:rPr>
          <w:rFonts w:ascii="Garamond" w:hAnsi="Garamond"/>
        </w:rPr>
        <w:t>standing to defend th</w:t>
      </w:r>
      <w:r w:rsidR="00981A80" w:rsidRPr="00F90A54">
        <w:rPr>
          <w:rFonts w:ascii="Garamond" w:hAnsi="Garamond"/>
        </w:rPr>
        <w:t>e</w:t>
      </w:r>
      <w:r w:rsidR="007F673E" w:rsidRPr="00F90A54">
        <w:rPr>
          <w:rFonts w:ascii="Garamond" w:hAnsi="Garamond"/>
        </w:rPr>
        <w:t xml:space="preserve"> law in court after state representatives declined to do so.</w:t>
      </w:r>
      <w:r w:rsidR="007F673E" w:rsidRPr="00F90A54">
        <w:rPr>
          <w:rStyle w:val="FootnoteReference"/>
          <w:rFonts w:ascii="Garamond" w:hAnsi="Garamond"/>
        </w:rPr>
        <w:footnoteReference w:id="333"/>
      </w:r>
      <w:r w:rsidR="007F673E" w:rsidRPr="00F90A54">
        <w:rPr>
          <w:rFonts w:ascii="Garamond" w:hAnsi="Garamond"/>
        </w:rPr>
        <w:t xml:space="preserve"> </w:t>
      </w:r>
      <w:r w:rsidR="00365EF5" w:rsidRPr="00F90A54">
        <w:rPr>
          <w:rFonts w:ascii="Garamond" w:hAnsi="Garamond"/>
        </w:rPr>
        <w:t>It has also become a</w:t>
      </w:r>
      <w:r w:rsidR="00A43D1D">
        <w:rPr>
          <w:rFonts w:ascii="Garamond" w:hAnsi="Garamond"/>
        </w:rPr>
        <w:t xml:space="preserve">n increasingly common </w:t>
      </w:r>
      <w:r w:rsidR="00365EF5" w:rsidRPr="00F90A54">
        <w:rPr>
          <w:rFonts w:ascii="Garamond" w:hAnsi="Garamond"/>
        </w:rPr>
        <w:t xml:space="preserve">refrain by </w:t>
      </w:r>
      <w:r w:rsidR="0061138F" w:rsidRPr="00F90A54">
        <w:rPr>
          <w:rFonts w:ascii="Garamond" w:hAnsi="Garamond"/>
        </w:rPr>
        <w:t xml:space="preserve">outsiders </w:t>
      </w:r>
      <w:r w:rsidR="00330FCD" w:rsidRPr="00F90A54">
        <w:rPr>
          <w:rFonts w:ascii="Garamond" w:hAnsi="Garamond"/>
        </w:rPr>
        <w:t>in nationwide</w:t>
      </w:r>
      <w:r w:rsidR="00251C7C" w:rsidRPr="00F90A54">
        <w:rPr>
          <w:rFonts w:ascii="Garamond" w:hAnsi="Garamond"/>
        </w:rPr>
        <w:t>-</w:t>
      </w:r>
      <w:r w:rsidR="00330FCD" w:rsidRPr="00F90A54">
        <w:rPr>
          <w:rFonts w:ascii="Garamond" w:hAnsi="Garamond"/>
        </w:rPr>
        <w:t>injunction suits who assert th</w:t>
      </w:r>
      <w:r w:rsidR="009612AC" w:rsidRPr="00F90A54">
        <w:rPr>
          <w:rFonts w:ascii="Garamond" w:hAnsi="Garamond"/>
        </w:rPr>
        <w:t xml:space="preserve">at </w:t>
      </w:r>
      <w:r w:rsidR="00330FCD" w:rsidRPr="00F90A54">
        <w:rPr>
          <w:rFonts w:ascii="Garamond" w:hAnsi="Garamond"/>
        </w:rPr>
        <w:t>the executive is “surrendering their way to their preferred victory.”</w:t>
      </w:r>
      <w:r w:rsidR="0061138F" w:rsidRPr="00F90A54">
        <w:rPr>
          <w:rStyle w:val="FootnoteReference"/>
          <w:rFonts w:ascii="Garamond" w:hAnsi="Garamond"/>
        </w:rPr>
        <w:footnoteReference w:id="334"/>
      </w:r>
      <w:r w:rsidR="0061138F" w:rsidRPr="00F90A54">
        <w:rPr>
          <w:rFonts w:ascii="Garamond" w:hAnsi="Garamond"/>
        </w:rPr>
        <w:t xml:space="preserve"> </w:t>
      </w:r>
    </w:p>
    <w:p w14:paraId="58A1F705" w14:textId="339E9C0A" w:rsidR="006E6CD7" w:rsidRDefault="004358EC" w:rsidP="001F4A3F">
      <w:pPr>
        <w:ind w:firstLine="360"/>
        <w:jc w:val="both"/>
        <w:rPr>
          <w:rFonts w:ascii="Garamond" w:hAnsi="Garamond"/>
        </w:rPr>
      </w:pPr>
      <w:r w:rsidRPr="00F90A54">
        <w:rPr>
          <w:rFonts w:ascii="Garamond" w:hAnsi="Garamond"/>
        </w:rPr>
        <w:t xml:space="preserve">It is worth emphasizing in response that this proposal is limited to </w:t>
      </w:r>
      <w:r w:rsidR="00B65844" w:rsidRPr="00F90A54">
        <w:rPr>
          <w:rFonts w:ascii="Garamond" w:hAnsi="Garamond"/>
        </w:rPr>
        <w:t xml:space="preserve">diminishing intervention by non-government </w:t>
      </w:r>
      <w:r w:rsidRPr="00F90A54">
        <w:rPr>
          <w:rFonts w:ascii="Garamond" w:hAnsi="Garamond"/>
        </w:rPr>
        <w:t>outsiders</w:t>
      </w:r>
      <w:r w:rsidR="00B65844" w:rsidRPr="00F90A54">
        <w:rPr>
          <w:rFonts w:ascii="Garamond" w:hAnsi="Garamond"/>
        </w:rPr>
        <w:t xml:space="preserve">—those </w:t>
      </w:r>
      <w:r w:rsidRPr="00F90A54">
        <w:rPr>
          <w:rFonts w:ascii="Garamond" w:hAnsi="Garamond"/>
        </w:rPr>
        <w:t xml:space="preserve">who represent interests separate </w:t>
      </w:r>
      <w:r w:rsidRPr="00F90A54">
        <w:rPr>
          <w:rFonts w:ascii="Garamond" w:hAnsi="Garamond"/>
        </w:rPr>
        <w:lastRenderedPageBreak/>
        <w:t xml:space="preserve">from the federal government. </w:t>
      </w:r>
      <w:r w:rsidR="00B65844" w:rsidRPr="00F90A54">
        <w:rPr>
          <w:rFonts w:ascii="Garamond" w:hAnsi="Garamond"/>
        </w:rPr>
        <w:t>As the Supreme Court has noted in challenges to state laws, sovereigns are not limited to one entity representing them in court.</w:t>
      </w:r>
      <w:r w:rsidR="00B65844" w:rsidRPr="00F90A54">
        <w:rPr>
          <w:rStyle w:val="FootnoteReference"/>
          <w:rFonts w:ascii="Garamond" w:hAnsi="Garamond"/>
        </w:rPr>
        <w:footnoteReference w:id="335"/>
      </w:r>
      <w:r w:rsidR="00B65844" w:rsidRPr="00F90A54">
        <w:rPr>
          <w:rFonts w:ascii="Garamond" w:hAnsi="Garamond"/>
        </w:rPr>
        <w:t xml:space="preserve"> </w:t>
      </w:r>
      <w:r w:rsidR="009F6191" w:rsidRPr="00F90A54">
        <w:rPr>
          <w:rFonts w:ascii="Garamond" w:hAnsi="Garamond"/>
        </w:rPr>
        <w:t xml:space="preserve">In </w:t>
      </w:r>
      <w:r w:rsidR="006E6CD7">
        <w:rPr>
          <w:rFonts w:ascii="Garamond" w:hAnsi="Garamond"/>
        </w:rPr>
        <w:t xml:space="preserve">suits against </w:t>
      </w:r>
      <w:r w:rsidR="009F6191" w:rsidRPr="00F90A54">
        <w:rPr>
          <w:rFonts w:ascii="Garamond" w:hAnsi="Garamond"/>
        </w:rPr>
        <w:t xml:space="preserve">federal laws, </w:t>
      </w:r>
      <w:r w:rsidR="00AF5939" w:rsidRPr="00F90A54">
        <w:rPr>
          <w:rFonts w:ascii="Garamond" w:hAnsi="Garamond"/>
        </w:rPr>
        <w:t>one federal defendant may bow out, enabling another to take its place.</w:t>
      </w:r>
      <w:r w:rsidR="0090587D" w:rsidRPr="00F90A54">
        <w:rPr>
          <w:rStyle w:val="FootnoteReference"/>
          <w:rFonts w:ascii="Garamond" w:hAnsi="Garamond"/>
        </w:rPr>
        <w:footnoteReference w:id="336"/>
      </w:r>
      <w:r w:rsidR="00AF5939" w:rsidRPr="00F90A54">
        <w:rPr>
          <w:rFonts w:ascii="Garamond" w:hAnsi="Garamond"/>
        </w:rPr>
        <w:t xml:space="preserve"> That</w:t>
      </w:r>
      <w:r w:rsidR="006C0C59" w:rsidRPr="00F90A54">
        <w:rPr>
          <w:rFonts w:ascii="Garamond" w:hAnsi="Garamond"/>
        </w:rPr>
        <w:t xml:space="preserve"> is </w:t>
      </w:r>
      <w:r w:rsidR="00AF5939" w:rsidRPr="00F90A54">
        <w:rPr>
          <w:rFonts w:ascii="Garamond" w:hAnsi="Garamond"/>
        </w:rPr>
        <w:t xml:space="preserve">exactly what happened in </w:t>
      </w:r>
      <w:r w:rsidR="00AF5939" w:rsidRPr="00F90A54">
        <w:rPr>
          <w:rFonts w:ascii="Garamond" w:hAnsi="Garamond"/>
          <w:i/>
          <w:iCs/>
        </w:rPr>
        <w:t>Windsor</w:t>
      </w:r>
      <w:r w:rsidR="00AF5939" w:rsidRPr="00F90A54">
        <w:rPr>
          <w:rFonts w:ascii="Garamond" w:hAnsi="Garamond"/>
        </w:rPr>
        <w:t xml:space="preserve"> when the executive chose to enforce DOMA but not defend its constitutionality in court. The district court </w:t>
      </w:r>
      <w:r w:rsidR="00847CA4" w:rsidRPr="00F90A54">
        <w:rPr>
          <w:rFonts w:ascii="Garamond" w:hAnsi="Garamond"/>
        </w:rPr>
        <w:t xml:space="preserve">granted intervention to the </w:t>
      </w:r>
      <w:r w:rsidR="00AF5939" w:rsidRPr="00F90A54">
        <w:rPr>
          <w:rFonts w:ascii="Garamond" w:hAnsi="Garamond"/>
        </w:rPr>
        <w:t>Bipartisan Legal Advisory Group of the House of Representatives</w:t>
      </w:r>
      <w:r w:rsidR="00847CA4" w:rsidRPr="00F90A54">
        <w:rPr>
          <w:rFonts w:ascii="Garamond" w:hAnsi="Garamond"/>
        </w:rPr>
        <w:t xml:space="preserve">, recognizing that the group </w:t>
      </w:r>
      <w:r w:rsidR="006E6CD7">
        <w:rPr>
          <w:rFonts w:ascii="Garamond" w:hAnsi="Garamond"/>
        </w:rPr>
        <w:t xml:space="preserve">had </w:t>
      </w:r>
      <w:r w:rsidR="00847CA4" w:rsidRPr="00F90A54">
        <w:rPr>
          <w:rFonts w:ascii="Garamond" w:hAnsi="Garamond"/>
        </w:rPr>
        <w:t>“a cognizable interest in defending the enforceability of statutes the House has passed when the President declines to enforce them.”</w:t>
      </w:r>
      <w:r w:rsidR="00847CA4" w:rsidRPr="00F90A54">
        <w:rPr>
          <w:rStyle w:val="FootnoteReference"/>
          <w:rFonts w:ascii="Garamond" w:hAnsi="Garamond"/>
        </w:rPr>
        <w:footnoteReference w:id="337"/>
      </w:r>
      <w:r w:rsidR="00847CA4" w:rsidRPr="00F90A54">
        <w:rPr>
          <w:rFonts w:ascii="Garamond" w:hAnsi="Garamond"/>
        </w:rPr>
        <w:t xml:space="preserve"> </w:t>
      </w:r>
    </w:p>
    <w:p w14:paraId="5B0F4794" w14:textId="0B64EBD0" w:rsidR="004358EC" w:rsidRPr="00F90A54" w:rsidRDefault="0090587D" w:rsidP="001F4A3F">
      <w:pPr>
        <w:ind w:firstLine="360"/>
        <w:jc w:val="both"/>
        <w:rPr>
          <w:rFonts w:ascii="Garamond" w:hAnsi="Garamond"/>
        </w:rPr>
      </w:pPr>
      <w:r w:rsidRPr="00F90A54">
        <w:rPr>
          <w:rFonts w:ascii="Garamond" w:hAnsi="Garamond"/>
        </w:rPr>
        <w:t xml:space="preserve">This pathway may depend on the viability of congressional </w:t>
      </w:r>
      <w:r w:rsidR="000E570F" w:rsidRPr="00F90A54">
        <w:rPr>
          <w:rFonts w:ascii="Garamond" w:hAnsi="Garamond"/>
        </w:rPr>
        <w:t xml:space="preserve">and legislator </w:t>
      </w:r>
      <w:r w:rsidRPr="00F90A54">
        <w:rPr>
          <w:rFonts w:ascii="Garamond" w:hAnsi="Garamond"/>
        </w:rPr>
        <w:t xml:space="preserve">standing, </w:t>
      </w:r>
      <w:r w:rsidR="009B657A" w:rsidRPr="00F90A54">
        <w:rPr>
          <w:rFonts w:ascii="Garamond" w:hAnsi="Garamond"/>
        </w:rPr>
        <w:t>which has been the subject of recent debate.</w:t>
      </w:r>
      <w:r w:rsidR="009B657A" w:rsidRPr="00F90A54">
        <w:rPr>
          <w:rStyle w:val="FootnoteReference"/>
          <w:rFonts w:ascii="Garamond" w:hAnsi="Garamond"/>
        </w:rPr>
        <w:footnoteReference w:id="338"/>
      </w:r>
      <w:r w:rsidR="009B657A" w:rsidRPr="00F90A54">
        <w:rPr>
          <w:rFonts w:ascii="Garamond" w:hAnsi="Garamond"/>
        </w:rPr>
        <w:t xml:space="preserve"> It also may require courts to take a firm line about who can represent the federal government in </w:t>
      </w:r>
      <w:r w:rsidR="000E570F" w:rsidRPr="00F90A54">
        <w:rPr>
          <w:rFonts w:ascii="Garamond" w:hAnsi="Garamond"/>
        </w:rPr>
        <w:t>court—a question that the Supreme Court has so far avoided.</w:t>
      </w:r>
      <w:r w:rsidR="000E570F" w:rsidRPr="00F90A54">
        <w:rPr>
          <w:rStyle w:val="FootnoteReference"/>
          <w:rFonts w:ascii="Garamond" w:hAnsi="Garamond"/>
        </w:rPr>
        <w:footnoteReference w:id="339"/>
      </w:r>
      <w:r w:rsidR="00AF5939" w:rsidRPr="00F90A54">
        <w:rPr>
          <w:rFonts w:ascii="Garamond" w:hAnsi="Garamond"/>
        </w:rPr>
        <w:t xml:space="preserve"> </w:t>
      </w:r>
      <w:r w:rsidR="006E6CD7">
        <w:rPr>
          <w:rFonts w:ascii="Garamond" w:hAnsi="Garamond"/>
        </w:rPr>
        <w:t xml:space="preserve">But the possibility allows for adversarial argument by entities who retain a democratic check on their representation in the public’s interest. </w:t>
      </w:r>
    </w:p>
    <w:p w14:paraId="5B0E86F7" w14:textId="167527A9" w:rsidR="004358EC" w:rsidRPr="00F90A54" w:rsidRDefault="0039181E" w:rsidP="001F4A3F">
      <w:pPr>
        <w:ind w:firstLine="360"/>
        <w:jc w:val="both"/>
        <w:rPr>
          <w:rFonts w:ascii="Garamond" w:hAnsi="Garamond"/>
        </w:rPr>
      </w:pPr>
      <w:r>
        <w:rPr>
          <w:rFonts w:ascii="Garamond" w:hAnsi="Garamond"/>
        </w:rPr>
        <w:t>Fundamentally</w:t>
      </w:r>
      <w:r w:rsidR="003D3A34" w:rsidRPr="00F90A54">
        <w:rPr>
          <w:rFonts w:ascii="Garamond" w:hAnsi="Garamond"/>
        </w:rPr>
        <w:t xml:space="preserve">, this </w:t>
      </w:r>
      <w:r w:rsidR="00813237" w:rsidRPr="00F90A54">
        <w:rPr>
          <w:rFonts w:ascii="Garamond" w:hAnsi="Garamond"/>
        </w:rPr>
        <w:t xml:space="preserve">proposal </w:t>
      </w:r>
      <w:r w:rsidR="003D3A34" w:rsidRPr="00F90A54">
        <w:rPr>
          <w:rFonts w:ascii="Garamond" w:hAnsi="Garamond"/>
        </w:rPr>
        <w:t xml:space="preserve">is </w:t>
      </w:r>
      <w:r w:rsidR="00813237" w:rsidRPr="00F90A54">
        <w:rPr>
          <w:rFonts w:ascii="Garamond" w:hAnsi="Garamond"/>
        </w:rPr>
        <w:t xml:space="preserve">for </w:t>
      </w:r>
      <w:r w:rsidR="003D3A34" w:rsidRPr="00F90A54">
        <w:rPr>
          <w:rFonts w:ascii="Garamond" w:hAnsi="Garamond"/>
        </w:rPr>
        <w:t xml:space="preserve">a </w:t>
      </w:r>
      <w:r w:rsidR="00813237" w:rsidRPr="00F90A54">
        <w:rPr>
          <w:rFonts w:ascii="Garamond" w:hAnsi="Garamond"/>
        </w:rPr>
        <w:t xml:space="preserve">relatively </w:t>
      </w:r>
      <w:r w:rsidR="003D3A34" w:rsidRPr="00F90A54">
        <w:rPr>
          <w:rFonts w:ascii="Garamond" w:hAnsi="Garamond"/>
        </w:rPr>
        <w:t xml:space="preserve">modest limit on who can intervene. It places no restrictions on outsiders who wish to participate by adding arguments, evidence, </w:t>
      </w:r>
      <w:r w:rsidR="00551C63">
        <w:rPr>
          <w:rFonts w:ascii="Garamond" w:hAnsi="Garamond"/>
        </w:rPr>
        <w:t xml:space="preserve">claims, </w:t>
      </w:r>
      <w:r w:rsidR="003D3A34" w:rsidRPr="00F90A54">
        <w:rPr>
          <w:rFonts w:ascii="Garamond" w:hAnsi="Garamond"/>
        </w:rPr>
        <w:t xml:space="preserve">a new narrative framing, or standing. </w:t>
      </w:r>
      <w:r>
        <w:rPr>
          <w:rFonts w:ascii="Garamond" w:hAnsi="Garamond"/>
        </w:rPr>
        <w:t xml:space="preserve">And it places no restrictions on those who assert that they have a personal interest, distinct from the public interest represented by the federal government, that justifies intervention. </w:t>
      </w:r>
      <w:r w:rsidR="00C9623F" w:rsidRPr="00F90A54">
        <w:rPr>
          <w:rFonts w:ascii="Garamond" w:hAnsi="Garamond"/>
        </w:rPr>
        <w:t xml:space="preserve">Courts who grant </w:t>
      </w:r>
      <w:r w:rsidR="00C9623F" w:rsidRPr="00F90A54">
        <w:rPr>
          <w:rFonts w:ascii="Garamond" w:hAnsi="Garamond"/>
        </w:rPr>
        <w:lastRenderedPageBreak/>
        <w:t>intervention for these purposes, however, should be mindful to</w:t>
      </w:r>
      <w:r w:rsidR="006B3AC1" w:rsidRPr="00F90A54">
        <w:rPr>
          <w:rFonts w:ascii="Garamond" w:hAnsi="Garamond"/>
        </w:rPr>
        <w:t xml:space="preserve"> prevent that participation from imposing on the government’s </w:t>
      </w:r>
      <w:r w:rsidR="006F4F43" w:rsidRPr="00F90A54">
        <w:rPr>
          <w:rFonts w:ascii="Garamond" w:hAnsi="Garamond"/>
        </w:rPr>
        <w:t>control of the suit, including its ability to end the litigation before appeal.</w:t>
      </w:r>
      <w:r w:rsidR="004A7427" w:rsidRPr="00F90A54">
        <w:rPr>
          <w:rStyle w:val="FootnoteReference"/>
          <w:rFonts w:ascii="Garamond" w:hAnsi="Garamond"/>
        </w:rPr>
        <w:footnoteReference w:id="340"/>
      </w:r>
      <w:r w:rsidR="006F4F43" w:rsidRPr="00F90A54">
        <w:rPr>
          <w:rFonts w:ascii="Garamond" w:hAnsi="Garamond"/>
        </w:rPr>
        <w:t xml:space="preserve"> </w:t>
      </w:r>
    </w:p>
    <w:p w14:paraId="5EA91EB0" w14:textId="4D75B0E9" w:rsidR="00C8531B" w:rsidRPr="00F90A54" w:rsidRDefault="002623D1" w:rsidP="001F4A3F">
      <w:pPr>
        <w:ind w:firstLine="360"/>
        <w:jc w:val="both"/>
        <w:rPr>
          <w:rFonts w:ascii="Garamond" w:hAnsi="Garamond"/>
        </w:rPr>
      </w:pPr>
      <w:r w:rsidRPr="00F90A54">
        <w:rPr>
          <w:rFonts w:ascii="Garamond" w:hAnsi="Garamond"/>
        </w:rPr>
        <w:t xml:space="preserve">2. </w:t>
      </w:r>
      <w:r w:rsidRPr="00F90A54">
        <w:rPr>
          <w:rFonts w:ascii="Garamond" w:hAnsi="Garamond"/>
          <w:i/>
          <w:iCs/>
        </w:rPr>
        <w:t>Adopting the Proposal</w:t>
      </w:r>
      <w:r w:rsidRPr="00F90A54">
        <w:rPr>
          <w:rFonts w:ascii="Garamond" w:hAnsi="Garamond"/>
        </w:rPr>
        <w:t xml:space="preserve">. </w:t>
      </w:r>
      <w:r w:rsidR="00F64103" w:rsidRPr="00F90A54">
        <w:rPr>
          <w:rFonts w:ascii="Garamond" w:hAnsi="Garamond"/>
        </w:rPr>
        <w:t>There are two avenues for</w:t>
      </w:r>
      <w:r w:rsidR="003A4465" w:rsidRPr="00F90A54">
        <w:rPr>
          <w:rFonts w:ascii="Garamond" w:hAnsi="Garamond"/>
        </w:rPr>
        <w:t xml:space="preserve"> </w:t>
      </w:r>
      <w:r w:rsidR="00D34DAB" w:rsidRPr="00F90A54">
        <w:rPr>
          <w:rFonts w:ascii="Garamond" w:hAnsi="Garamond"/>
        </w:rPr>
        <w:t>modifying</w:t>
      </w:r>
      <w:r w:rsidR="003A4465" w:rsidRPr="00F90A54">
        <w:rPr>
          <w:rFonts w:ascii="Garamond" w:hAnsi="Garamond"/>
        </w:rPr>
        <w:t xml:space="preserve"> the adequate-representation requirement</w:t>
      </w:r>
      <w:r w:rsidR="00F64103" w:rsidRPr="00F90A54">
        <w:rPr>
          <w:rFonts w:ascii="Garamond" w:hAnsi="Garamond"/>
        </w:rPr>
        <w:t xml:space="preserve">. The first is through doctrine. </w:t>
      </w:r>
      <w:r w:rsidR="0034728E">
        <w:rPr>
          <w:rFonts w:ascii="Garamond" w:hAnsi="Garamond"/>
        </w:rPr>
        <w:t xml:space="preserve">Courts can streamline </w:t>
      </w:r>
      <w:r w:rsidR="00F90B8F" w:rsidRPr="00F90A54">
        <w:rPr>
          <w:rFonts w:ascii="Garamond" w:hAnsi="Garamond"/>
        </w:rPr>
        <w:t xml:space="preserve">this proposal </w:t>
      </w:r>
      <w:r w:rsidR="0034728E">
        <w:rPr>
          <w:rFonts w:ascii="Garamond" w:hAnsi="Garamond"/>
        </w:rPr>
        <w:t>by</w:t>
      </w:r>
      <w:r w:rsidR="00F90B8F" w:rsidRPr="00F90A54">
        <w:rPr>
          <w:rFonts w:ascii="Garamond" w:hAnsi="Garamond"/>
        </w:rPr>
        <w:t xml:space="preserve"> clarify</w:t>
      </w:r>
      <w:r w:rsidR="0034728E">
        <w:rPr>
          <w:rFonts w:ascii="Garamond" w:hAnsi="Garamond"/>
        </w:rPr>
        <w:t>ing</w:t>
      </w:r>
      <w:r w:rsidR="00F90B8F" w:rsidRPr="00F90A54">
        <w:rPr>
          <w:rFonts w:ascii="Garamond" w:hAnsi="Garamond"/>
        </w:rPr>
        <w:t xml:space="preserve"> that nonparties </w:t>
      </w:r>
      <w:r w:rsidR="00257B0E" w:rsidRPr="00F90A54">
        <w:rPr>
          <w:rFonts w:ascii="Garamond" w:hAnsi="Garamond"/>
        </w:rPr>
        <w:t xml:space="preserve">are not inadequately represented </w:t>
      </w:r>
      <w:r w:rsidR="0034728E">
        <w:rPr>
          <w:rFonts w:ascii="Garamond" w:hAnsi="Garamond"/>
        </w:rPr>
        <w:t xml:space="preserve">solely because </w:t>
      </w:r>
      <w:r w:rsidR="00257B0E" w:rsidRPr="00F90A54">
        <w:rPr>
          <w:rFonts w:ascii="Garamond" w:hAnsi="Garamond"/>
        </w:rPr>
        <w:t xml:space="preserve">the government </w:t>
      </w:r>
      <w:r w:rsidR="0034728E">
        <w:rPr>
          <w:rFonts w:ascii="Garamond" w:hAnsi="Garamond"/>
        </w:rPr>
        <w:t xml:space="preserve">has </w:t>
      </w:r>
      <w:r w:rsidR="00C8531B" w:rsidRPr="00F90A54">
        <w:rPr>
          <w:rFonts w:ascii="Garamond" w:hAnsi="Garamond"/>
        </w:rPr>
        <w:t>decline</w:t>
      </w:r>
      <w:r w:rsidR="0034728E">
        <w:rPr>
          <w:rFonts w:ascii="Garamond" w:hAnsi="Garamond"/>
        </w:rPr>
        <w:t>d</w:t>
      </w:r>
      <w:r w:rsidR="00C8531B" w:rsidRPr="00F90A54">
        <w:rPr>
          <w:rFonts w:ascii="Garamond" w:hAnsi="Garamond"/>
        </w:rPr>
        <w:t xml:space="preserve"> opportunities to defend federal policy</w:t>
      </w:r>
      <w:r w:rsidR="0066225D" w:rsidRPr="00F90A54">
        <w:rPr>
          <w:rFonts w:ascii="Garamond" w:hAnsi="Garamond"/>
        </w:rPr>
        <w:t xml:space="preserve">. </w:t>
      </w:r>
      <w:r w:rsidR="0022157C" w:rsidRPr="00F90A54">
        <w:rPr>
          <w:rFonts w:ascii="Garamond" w:hAnsi="Garamond"/>
        </w:rPr>
        <w:t xml:space="preserve">This </w:t>
      </w:r>
      <w:r w:rsidR="002A549B" w:rsidRPr="00F90A54">
        <w:rPr>
          <w:rFonts w:ascii="Garamond" w:hAnsi="Garamond"/>
        </w:rPr>
        <w:t>perpetuates reliance on extra-textual interpretations of the rule</w:t>
      </w:r>
      <w:r w:rsidR="0022157C" w:rsidRPr="00F90A54">
        <w:rPr>
          <w:rFonts w:ascii="Garamond" w:hAnsi="Garamond"/>
        </w:rPr>
        <w:t xml:space="preserve">, but with </w:t>
      </w:r>
      <w:r w:rsidR="002A549B" w:rsidRPr="00F90A54">
        <w:rPr>
          <w:rFonts w:ascii="Garamond" w:hAnsi="Garamond"/>
        </w:rPr>
        <w:t xml:space="preserve">the salutary effect of curbing the normative </w:t>
      </w:r>
      <w:r w:rsidR="0034728E">
        <w:rPr>
          <w:rFonts w:ascii="Garamond" w:hAnsi="Garamond"/>
        </w:rPr>
        <w:t>concerns raised by intervention</w:t>
      </w:r>
      <w:r w:rsidR="002A549B" w:rsidRPr="00F90A54">
        <w:rPr>
          <w:rFonts w:ascii="Garamond" w:hAnsi="Garamond"/>
        </w:rPr>
        <w:t xml:space="preserve"> in nationwide-injunction ca</w:t>
      </w:r>
      <w:r w:rsidR="00903CAD" w:rsidRPr="00F90A54">
        <w:rPr>
          <w:rFonts w:ascii="Garamond" w:hAnsi="Garamond"/>
        </w:rPr>
        <w:t>ses.</w:t>
      </w:r>
      <w:r w:rsidR="00555E4E" w:rsidRPr="00F90A54">
        <w:rPr>
          <w:rStyle w:val="FootnoteReference"/>
          <w:rFonts w:ascii="Garamond" w:hAnsi="Garamond"/>
        </w:rPr>
        <w:t xml:space="preserve"> </w:t>
      </w:r>
    </w:p>
    <w:p w14:paraId="69279C53" w14:textId="28530855" w:rsidR="0016759E" w:rsidRPr="00F90A54" w:rsidRDefault="00C8531B" w:rsidP="001F4A3F">
      <w:pPr>
        <w:ind w:firstLine="360"/>
        <w:jc w:val="both"/>
        <w:rPr>
          <w:rFonts w:ascii="Garamond" w:hAnsi="Garamond"/>
        </w:rPr>
      </w:pPr>
      <w:r w:rsidRPr="00F90A54">
        <w:rPr>
          <w:rFonts w:ascii="Garamond" w:hAnsi="Garamond"/>
        </w:rPr>
        <w:t xml:space="preserve"> </w:t>
      </w:r>
      <w:r w:rsidR="00F0168F" w:rsidRPr="00F90A54">
        <w:rPr>
          <w:rFonts w:ascii="Garamond" w:hAnsi="Garamond"/>
        </w:rPr>
        <w:t xml:space="preserve">The second avenue is </w:t>
      </w:r>
      <w:r w:rsidR="00636BB4" w:rsidRPr="00F90A54">
        <w:rPr>
          <w:rFonts w:ascii="Garamond" w:hAnsi="Garamond"/>
        </w:rPr>
        <w:t xml:space="preserve">through rulemaking by the </w:t>
      </w:r>
      <w:r w:rsidR="00D6443A" w:rsidRPr="00F90A54">
        <w:rPr>
          <w:rFonts w:ascii="Garamond" w:hAnsi="Garamond"/>
        </w:rPr>
        <w:t>Federal Civil Rules Advisory Committee</w:t>
      </w:r>
      <w:r w:rsidR="00636BB4" w:rsidRPr="00F90A54">
        <w:rPr>
          <w:rFonts w:ascii="Garamond" w:hAnsi="Garamond"/>
        </w:rPr>
        <w:t>.</w:t>
      </w:r>
      <w:r w:rsidR="00636BB4" w:rsidRPr="00F90A54">
        <w:rPr>
          <w:rStyle w:val="FootnoteReference"/>
          <w:rFonts w:ascii="Garamond" w:hAnsi="Garamond"/>
        </w:rPr>
        <w:footnoteReference w:id="341"/>
      </w:r>
      <w:r w:rsidR="00636BB4" w:rsidRPr="00F90A54">
        <w:rPr>
          <w:rFonts w:ascii="Garamond" w:hAnsi="Garamond"/>
        </w:rPr>
        <w:t xml:space="preserve"> </w:t>
      </w:r>
      <w:r w:rsidR="00BD048A" w:rsidRPr="00F90A54">
        <w:rPr>
          <w:rFonts w:ascii="Garamond" w:hAnsi="Garamond"/>
        </w:rPr>
        <w:t xml:space="preserve">The Supreme Court has </w:t>
      </w:r>
      <w:r w:rsidR="00DD2339">
        <w:rPr>
          <w:rFonts w:ascii="Garamond" w:hAnsi="Garamond"/>
        </w:rPr>
        <w:t>explained</w:t>
      </w:r>
      <w:r w:rsidR="00642E32">
        <w:rPr>
          <w:rFonts w:ascii="Garamond" w:hAnsi="Garamond"/>
        </w:rPr>
        <w:t xml:space="preserve"> </w:t>
      </w:r>
      <w:r w:rsidR="00BD048A" w:rsidRPr="00F90A54">
        <w:rPr>
          <w:rFonts w:ascii="Garamond" w:hAnsi="Garamond"/>
        </w:rPr>
        <w:t>that “rulemaking, not expansion by court decision” is the “preferred means” for amending how the federal rules operate in practice.</w:t>
      </w:r>
      <w:r w:rsidR="00BD048A" w:rsidRPr="00F90A54">
        <w:rPr>
          <w:rStyle w:val="FootnoteReference"/>
          <w:rFonts w:ascii="Garamond" w:hAnsi="Garamond"/>
        </w:rPr>
        <w:footnoteReference w:id="342"/>
      </w:r>
      <w:r w:rsidR="00BD048A" w:rsidRPr="00F90A54">
        <w:rPr>
          <w:rFonts w:ascii="Garamond" w:hAnsi="Garamond"/>
        </w:rPr>
        <w:t xml:space="preserve"> </w:t>
      </w:r>
      <w:r w:rsidR="00B45184" w:rsidRPr="00F90A54">
        <w:rPr>
          <w:rFonts w:ascii="Garamond" w:hAnsi="Garamond"/>
        </w:rPr>
        <w:t>Ideally, the rulemaking process is better than case-by-case adjudication because it can provide a “full airing” of the “collective experience of bench and bar,” so that the amended rule reflects “measured, practical solutions.”</w:t>
      </w:r>
      <w:r w:rsidR="00B45184" w:rsidRPr="00F90A54">
        <w:rPr>
          <w:rStyle w:val="FootnoteReference"/>
          <w:rFonts w:ascii="Garamond" w:hAnsi="Garamond"/>
        </w:rPr>
        <w:footnoteReference w:id="343"/>
      </w:r>
      <w:r w:rsidR="00B45184" w:rsidRPr="00F90A54">
        <w:rPr>
          <w:rFonts w:ascii="Garamond" w:hAnsi="Garamond"/>
        </w:rPr>
        <w:t xml:space="preserve"> </w:t>
      </w:r>
      <w:r w:rsidR="000343C3" w:rsidRPr="00F90A54">
        <w:rPr>
          <w:rFonts w:ascii="Garamond" w:hAnsi="Garamond"/>
        </w:rPr>
        <w:t>And it can provide a cohesive rule that will simultaneously apply across circuits, rather than individual circuits adopting varying rules over time.</w:t>
      </w:r>
      <w:r w:rsidR="00AA5FE1" w:rsidRPr="00F90A54">
        <w:rPr>
          <w:rStyle w:val="FootnoteReference"/>
          <w:rFonts w:ascii="Garamond" w:hAnsi="Garamond"/>
        </w:rPr>
        <w:footnoteReference w:id="344"/>
      </w:r>
      <w:r w:rsidR="005B06FE" w:rsidRPr="00F90A54">
        <w:rPr>
          <w:rFonts w:ascii="Garamond" w:hAnsi="Garamond"/>
        </w:rPr>
        <w:t xml:space="preserve"> </w:t>
      </w:r>
    </w:p>
    <w:p w14:paraId="102F2264" w14:textId="4C3B4827" w:rsidR="00F0168F" w:rsidRPr="00F90A54" w:rsidRDefault="00642E32" w:rsidP="001F4A3F">
      <w:pPr>
        <w:ind w:firstLine="360"/>
        <w:jc w:val="both"/>
        <w:rPr>
          <w:rFonts w:ascii="Garamond" w:hAnsi="Garamond"/>
        </w:rPr>
      </w:pPr>
      <w:r>
        <w:rPr>
          <w:rFonts w:ascii="Garamond" w:hAnsi="Garamond"/>
        </w:rPr>
        <w:t>But t</w:t>
      </w:r>
      <w:r w:rsidR="00F879E9" w:rsidRPr="00F90A54">
        <w:rPr>
          <w:rFonts w:ascii="Garamond" w:hAnsi="Garamond"/>
        </w:rPr>
        <w:t xml:space="preserve">here are drawbacks to the rulemaking process. </w:t>
      </w:r>
      <w:r w:rsidR="00764CFB" w:rsidRPr="00F90A54">
        <w:rPr>
          <w:rFonts w:ascii="Garamond" w:hAnsi="Garamond"/>
        </w:rPr>
        <w:t xml:space="preserve">Its rules are usually drafted to apply </w:t>
      </w:r>
      <w:r w:rsidR="00617948">
        <w:rPr>
          <w:rFonts w:ascii="Garamond" w:hAnsi="Garamond"/>
        </w:rPr>
        <w:t>transsubstantively</w:t>
      </w:r>
      <w:r w:rsidR="00764CFB" w:rsidRPr="00F90A54">
        <w:rPr>
          <w:rFonts w:ascii="Garamond" w:hAnsi="Garamond"/>
        </w:rPr>
        <w:t>, and it is unclear that a rule specific to nationwide</w:t>
      </w:r>
      <w:r w:rsidR="00941DEC" w:rsidRPr="00F90A54">
        <w:rPr>
          <w:rFonts w:ascii="Garamond" w:hAnsi="Garamond"/>
        </w:rPr>
        <w:t xml:space="preserve"> </w:t>
      </w:r>
      <w:r w:rsidR="00764CFB" w:rsidRPr="00F90A54">
        <w:rPr>
          <w:rFonts w:ascii="Garamond" w:hAnsi="Garamond"/>
        </w:rPr>
        <w:t>injunctions would benefit more common types of litigation.</w:t>
      </w:r>
      <w:r w:rsidR="00604EA3" w:rsidRPr="00F90A54">
        <w:rPr>
          <w:rStyle w:val="FootnoteReference"/>
          <w:rFonts w:ascii="Garamond" w:hAnsi="Garamond"/>
        </w:rPr>
        <w:footnoteReference w:id="345"/>
      </w:r>
      <w:r w:rsidR="009F1DFF" w:rsidRPr="00F90A54">
        <w:rPr>
          <w:rFonts w:ascii="Garamond" w:hAnsi="Garamond"/>
        </w:rPr>
        <w:t xml:space="preserve"> The headline-grabbing nature of nationwide-injunction suits </w:t>
      </w:r>
      <w:r w:rsidR="00E422E4" w:rsidRPr="00F90A54">
        <w:rPr>
          <w:rFonts w:ascii="Garamond" w:hAnsi="Garamond"/>
        </w:rPr>
        <w:t xml:space="preserve">may also complicate </w:t>
      </w:r>
      <w:r w:rsidR="00D26448" w:rsidRPr="00F90A54">
        <w:rPr>
          <w:rFonts w:ascii="Garamond" w:hAnsi="Garamond"/>
        </w:rPr>
        <w:t>a</w:t>
      </w:r>
      <w:r w:rsidR="00E422E4" w:rsidRPr="00F90A54">
        <w:rPr>
          <w:rFonts w:ascii="Garamond" w:hAnsi="Garamond"/>
        </w:rPr>
        <w:t xml:space="preserve"> rulemaking process already </w:t>
      </w:r>
      <w:r w:rsidR="005429D1" w:rsidRPr="00F90A54">
        <w:rPr>
          <w:rFonts w:ascii="Garamond" w:hAnsi="Garamond"/>
        </w:rPr>
        <w:t xml:space="preserve">subject to criticism for being plagued by </w:t>
      </w:r>
      <w:r w:rsidR="00E422E4" w:rsidRPr="00F90A54">
        <w:rPr>
          <w:rFonts w:ascii="Garamond" w:hAnsi="Garamond"/>
        </w:rPr>
        <w:t>political division and gridlock.</w:t>
      </w:r>
      <w:r w:rsidR="00E422E4" w:rsidRPr="00F90A54">
        <w:rPr>
          <w:rStyle w:val="FootnoteReference"/>
          <w:rFonts w:ascii="Garamond" w:hAnsi="Garamond"/>
        </w:rPr>
        <w:footnoteReference w:id="346"/>
      </w:r>
      <w:r w:rsidR="00E422E4" w:rsidRPr="00F90A54">
        <w:rPr>
          <w:rFonts w:ascii="Garamond" w:hAnsi="Garamond"/>
        </w:rPr>
        <w:t xml:space="preserve"> </w:t>
      </w:r>
    </w:p>
    <w:p w14:paraId="3A90134F" w14:textId="1CC27D37" w:rsidR="00867CAD" w:rsidRPr="00F90A54" w:rsidRDefault="00472121" w:rsidP="001F4A3F">
      <w:pPr>
        <w:ind w:firstLine="360"/>
        <w:jc w:val="both"/>
        <w:rPr>
          <w:rFonts w:ascii="Garamond" w:hAnsi="Garamond"/>
        </w:rPr>
      </w:pPr>
      <w:r w:rsidRPr="00F90A54">
        <w:rPr>
          <w:rFonts w:ascii="Garamond" w:hAnsi="Garamond"/>
        </w:rPr>
        <w:lastRenderedPageBreak/>
        <w:t xml:space="preserve">Any amendment to Rule 24’s language to </w:t>
      </w:r>
      <w:r w:rsidR="006608D5" w:rsidRPr="00F90A54">
        <w:rPr>
          <w:rFonts w:ascii="Garamond" w:hAnsi="Garamond"/>
        </w:rPr>
        <w:t xml:space="preserve">address the values compromised in nationwide-injunction cases </w:t>
      </w:r>
      <w:r w:rsidRPr="00F90A54">
        <w:rPr>
          <w:rFonts w:ascii="Garamond" w:hAnsi="Garamond"/>
        </w:rPr>
        <w:t xml:space="preserve">would </w:t>
      </w:r>
      <w:r w:rsidR="00D670BA" w:rsidRPr="00F90A54">
        <w:rPr>
          <w:rFonts w:ascii="Garamond" w:hAnsi="Garamond"/>
        </w:rPr>
        <w:t xml:space="preserve">first need to account for the extra-judicial glosses read into the rule, like the presumption of adequate representation. </w:t>
      </w:r>
      <w:r w:rsidR="00B05CA5" w:rsidRPr="00F90A54">
        <w:rPr>
          <w:rFonts w:ascii="Garamond" w:hAnsi="Garamond"/>
        </w:rPr>
        <w:t xml:space="preserve">The Advisory Committee </w:t>
      </w:r>
      <w:r w:rsidR="00336205" w:rsidRPr="00F90A54">
        <w:rPr>
          <w:rFonts w:ascii="Garamond" w:hAnsi="Garamond"/>
        </w:rPr>
        <w:t>would also need to consider whether to include an exception for collusion or malfeasance, and at what level of particularity to define those exceptions to prevent unintentional loopholes.</w:t>
      </w:r>
      <w:r w:rsidR="00D241D4" w:rsidRPr="00F90A54">
        <w:rPr>
          <w:rFonts w:ascii="Garamond" w:hAnsi="Garamond"/>
        </w:rPr>
        <w:t xml:space="preserve"> </w:t>
      </w:r>
      <w:r w:rsidR="0080746D" w:rsidRPr="00F90A54">
        <w:rPr>
          <w:rFonts w:ascii="Garamond" w:hAnsi="Garamond"/>
        </w:rPr>
        <w:t xml:space="preserve">Another </w:t>
      </w:r>
      <w:r w:rsidR="00A14215" w:rsidRPr="00F90A54">
        <w:rPr>
          <w:rFonts w:ascii="Garamond" w:hAnsi="Garamond"/>
        </w:rPr>
        <w:t>question</w:t>
      </w:r>
      <w:r w:rsidR="0080746D" w:rsidRPr="00F90A54">
        <w:rPr>
          <w:rFonts w:ascii="Garamond" w:hAnsi="Garamond"/>
        </w:rPr>
        <w:t xml:space="preserve"> would be whether to amend </w:t>
      </w:r>
      <w:r w:rsidR="00E20D4A" w:rsidRPr="00F90A54">
        <w:rPr>
          <w:rFonts w:ascii="Garamond" w:hAnsi="Garamond"/>
        </w:rPr>
        <w:t xml:space="preserve">both forms of intervention, as courts often consider the adequate-representation requirement under </w:t>
      </w:r>
      <w:r w:rsidR="0080746D" w:rsidRPr="00F90A54">
        <w:rPr>
          <w:rFonts w:ascii="Garamond" w:hAnsi="Garamond"/>
        </w:rPr>
        <w:t>both Rule 24(a)(2) and Rule 24(b)</w:t>
      </w:r>
      <w:r w:rsidR="00A14215" w:rsidRPr="00F90A54">
        <w:rPr>
          <w:rFonts w:ascii="Garamond" w:hAnsi="Garamond"/>
        </w:rPr>
        <w:t xml:space="preserve">. </w:t>
      </w:r>
    </w:p>
    <w:p w14:paraId="7123FC6D" w14:textId="6530952C" w:rsidR="00AA10D2" w:rsidRPr="00F90A54" w:rsidRDefault="00B73FC3" w:rsidP="001F4A3F">
      <w:pPr>
        <w:ind w:firstLine="360"/>
        <w:jc w:val="both"/>
        <w:rPr>
          <w:rFonts w:ascii="Garamond" w:hAnsi="Garamond"/>
        </w:rPr>
      </w:pPr>
      <w:r w:rsidRPr="00F90A54">
        <w:rPr>
          <w:rFonts w:ascii="Garamond" w:hAnsi="Garamond"/>
        </w:rPr>
        <w:t xml:space="preserve">Finally, any consideration of this proposal should dovetail with amendments to the Federal Rules of Appellate Procedure. The current appellate rules do not include a rule for intervention, </w:t>
      </w:r>
      <w:r w:rsidR="00AF2118" w:rsidRPr="00F90A54">
        <w:rPr>
          <w:rFonts w:ascii="Garamond" w:hAnsi="Garamond"/>
        </w:rPr>
        <w:t xml:space="preserve">though the Advisory Committee on the Appellate Rules has recently noted </w:t>
      </w:r>
      <w:r w:rsidR="00A54D22">
        <w:rPr>
          <w:rFonts w:ascii="Garamond" w:hAnsi="Garamond"/>
        </w:rPr>
        <w:t xml:space="preserve">it may </w:t>
      </w:r>
      <w:r w:rsidR="00AF2118" w:rsidRPr="00F90A54">
        <w:rPr>
          <w:rFonts w:ascii="Garamond" w:hAnsi="Garamond"/>
        </w:rPr>
        <w:t>consider</w:t>
      </w:r>
      <w:r w:rsidR="00A54D22">
        <w:rPr>
          <w:rFonts w:ascii="Garamond" w:hAnsi="Garamond"/>
        </w:rPr>
        <w:t xml:space="preserve"> </w:t>
      </w:r>
      <w:r w:rsidR="0062020A" w:rsidRPr="00F90A54">
        <w:rPr>
          <w:rFonts w:ascii="Garamond" w:hAnsi="Garamond"/>
        </w:rPr>
        <w:t>one</w:t>
      </w:r>
      <w:r w:rsidR="00AF2118" w:rsidRPr="00F90A54">
        <w:rPr>
          <w:rFonts w:ascii="Garamond" w:hAnsi="Garamond"/>
        </w:rPr>
        <w:t>.</w:t>
      </w:r>
      <w:r w:rsidR="00AF2118" w:rsidRPr="00F90A54">
        <w:rPr>
          <w:rStyle w:val="FootnoteReference"/>
          <w:rFonts w:ascii="Garamond" w:hAnsi="Garamond"/>
        </w:rPr>
        <w:footnoteReference w:id="347"/>
      </w:r>
      <w:r w:rsidR="002F0057" w:rsidRPr="00F90A54">
        <w:rPr>
          <w:rFonts w:ascii="Garamond" w:hAnsi="Garamond"/>
        </w:rPr>
        <w:t xml:space="preserve"> </w:t>
      </w:r>
      <w:r w:rsidR="005F6B2F" w:rsidRPr="00F90A54">
        <w:rPr>
          <w:rFonts w:ascii="Garamond" w:hAnsi="Garamond"/>
        </w:rPr>
        <w:t xml:space="preserve">Any textual exclusion </w:t>
      </w:r>
      <w:r w:rsidR="009A72E9" w:rsidRPr="00F90A54">
        <w:rPr>
          <w:rFonts w:ascii="Garamond" w:hAnsi="Garamond"/>
        </w:rPr>
        <w:t xml:space="preserve">for non-government outsiders to intervene in government defenses of federal policies </w:t>
      </w:r>
      <w:r w:rsidR="008017B0" w:rsidRPr="00F90A54">
        <w:rPr>
          <w:rFonts w:ascii="Garamond" w:hAnsi="Garamond"/>
        </w:rPr>
        <w:t xml:space="preserve">before the district court </w:t>
      </w:r>
      <w:r w:rsidR="009A72E9" w:rsidRPr="00F90A54">
        <w:rPr>
          <w:rFonts w:ascii="Garamond" w:hAnsi="Garamond"/>
        </w:rPr>
        <w:t xml:space="preserve">should align with </w:t>
      </w:r>
      <w:r w:rsidR="008017B0" w:rsidRPr="00F90A54">
        <w:rPr>
          <w:rFonts w:ascii="Garamond" w:hAnsi="Garamond"/>
        </w:rPr>
        <w:t xml:space="preserve">rules for intervention on appeal. </w:t>
      </w:r>
    </w:p>
    <w:p w14:paraId="4ED695D4" w14:textId="77777777" w:rsidR="008257F0" w:rsidRPr="00F90A54" w:rsidRDefault="008257F0" w:rsidP="00293B93">
      <w:pPr>
        <w:ind w:firstLine="360"/>
        <w:rPr>
          <w:rFonts w:ascii="Garamond" w:hAnsi="Garamond"/>
        </w:rPr>
      </w:pPr>
    </w:p>
    <w:p w14:paraId="45F58E30" w14:textId="12A4CB3F" w:rsidR="00D5672E" w:rsidRPr="00F90A54" w:rsidRDefault="00DC7005" w:rsidP="00D9403B">
      <w:pPr>
        <w:keepNext/>
        <w:jc w:val="center"/>
        <w:rPr>
          <w:rFonts w:ascii="Garamond" w:hAnsi="Garamond"/>
        </w:rPr>
      </w:pPr>
      <w:r w:rsidRPr="00F90A54">
        <w:rPr>
          <w:rFonts w:ascii="Garamond" w:hAnsi="Garamond"/>
        </w:rPr>
        <w:t>***</w:t>
      </w:r>
    </w:p>
    <w:p w14:paraId="7D6FBC13" w14:textId="77777777" w:rsidR="00DC7005" w:rsidRPr="00F90A54" w:rsidRDefault="00DC7005" w:rsidP="00D9403B">
      <w:pPr>
        <w:keepNext/>
        <w:rPr>
          <w:rFonts w:ascii="Garamond" w:hAnsi="Garamond"/>
        </w:rPr>
      </w:pPr>
    </w:p>
    <w:p w14:paraId="16A0124D" w14:textId="07AFE481" w:rsidR="00434DEF" w:rsidRPr="00F90A54" w:rsidRDefault="00DC7005" w:rsidP="001F4A3F">
      <w:pPr>
        <w:tabs>
          <w:tab w:val="left" w:pos="360"/>
        </w:tabs>
        <w:jc w:val="both"/>
        <w:rPr>
          <w:rFonts w:ascii="Garamond" w:hAnsi="Garamond"/>
        </w:rPr>
      </w:pPr>
      <w:r w:rsidRPr="00F90A54">
        <w:rPr>
          <w:rFonts w:ascii="Garamond" w:hAnsi="Garamond"/>
        </w:rPr>
        <w:tab/>
        <w:t xml:space="preserve">The </w:t>
      </w:r>
      <w:r w:rsidR="008A7C89" w:rsidRPr="00F90A54">
        <w:rPr>
          <w:rFonts w:ascii="Garamond" w:hAnsi="Garamond"/>
        </w:rPr>
        <w:t xml:space="preserve">section outlined one </w:t>
      </w:r>
      <w:r w:rsidRPr="00F90A54">
        <w:rPr>
          <w:rFonts w:ascii="Garamond" w:hAnsi="Garamond"/>
        </w:rPr>
        <w:t xml:space="preserve">proposal </w:t>
      </w:r>
      <w:r w:rsidR="008A7C89" w:rsidRPr="00F90A54">
        <w:rPr>
          <w:rFonts w:ascii="Garamond" w:hAnsi="Garamond"/>
        </w:rPr>
        <w:t xml:space="preserve">for ameliorating the institutional concerns caused by widespread discretionary intervention in nationwide-injunction suits: </w:t>
      </w:r>
      <w:r w:rsidRPr="00F90A54">
        <w:rPr>
          <w:rFonts w:ascii="Garamond" w:hAnsi="Garamond"/>
        </w:rPr>
        <w:t xml:space="preserve">preventing </w:t>
      </w:r>
      <w:r w:rsidR="00645C08" w:rsidRPr="00F90A54">
        <w:rPr>
          <w:rFonts w:ascii="Garamond" w:hAnsi="Garamond"/>
        </w:rPr>
        <w:t xml:space="preserve">non-government </w:t>
      </w:r>
      <w:r w:rsidRPr="00F90A54">
        <w:rPr>
          <w:rFonts w:ascii="Garamond" w:hAnsi="Garamond"/>
        </w:rPr>
        <w:t xml:space="preserve">outsiders from demonstrating that they are inadequately represented by the government </w:t>
      </w:r>
      <w:r w:rsidR="00EE5985">
        <w:rPr>
          <w:rFonts w:ascii="Garamond" w:hAnsi="Garamond"/>
        </w:rPr>
        <w:t xml:space="preserve">solely </w:t>
      </w:r>
      <w:r w:rsidRPr="00F90A54">
        <w:rPr>
          <w:rFonts w:ascii="Garamond" w:hAnsi="Garamond"/>
        </w:rPr>
        <w:t>because it has declined to defend a federal policy</w:t>
      </w:r>
      <w:r w:rsidR="006F30F2" w:rsidRPr="00F90A54">
        <w:rPr>
          <w:rFonts w:ascii="Garamond" w:hAnsi="Garamond"/>
        </w:rPr>
        <w:t xml:space="preserve">. </w:t>
      </w:r>
      <w:r w:rsidR="00EE5985">
        <w:rPr>
          <w:rFonts w:ascii="Garamond" w:hAnsi="Garamond"/>
        </w:rPr>
        <w:t xml:space="preserve">This would </w:t>
      </w:r>
      <w:r w:rsidR="006F30F2" w:rsidRPr="00F90A54">
        <w:rPr>
          <w:rFonts w:ascii="Garamond" w:hAnsi="Garamond"/>
        </w:rPr>
        <w:t>mitigate the institutional costs by reducing the opportunities for the court to choose who</w:t>
      </w:r>
      <w:r w:rsidR="008A7C89" w:rsidRPr="00F90A54">
        <w:rPr>
          <w:rFonts w:ascii="Garamond" w:hAnsi="Garamond"/>
        </w:rPr>
        <w:t xml:space="preserve"> can defend a federal policy</w:t>
      </w:r>
      <w:r w:rsidR="00DB36B9" w:rsidRPr="00F90A54">
        <w:rPr>
          <w:rFonts w:ascii="Garamond" w:hAnsi="Garamond"/>
        </w:rPr>
        <w:t xml:space="preserve"> </w:t>
      </w:r>
      <w:r w:rsidR="008A7C89" w:rsidRPr="00F90A54">
        <w:rPr>
          <w:rFonts w:ascii="Garamond" w:hAnsi="Garamond"/>
        </w:rPr>
        <w:t xml:space="preserve">or which policies will </w:t>
      </w:r>
      <w:r w:rsidR="00930FE4" w:rsidRPr="00F90A54">
        <w:rPr>
          <w:rFonts w:ascii="Garamond" w:hAnsi="Garamond"/>
        </w:rPr>
        <w:t>reach a merits determination</w:t>
      </w:r>
      <w:r w:rsidR="00DB36B9" w:rsidRPr="00F90A54">
        <w:rPr>
          <w:rFonts w:ascii="Garamond" w:hAnsi="Garamond"/>
        </w:rPr>
        <w:t xml:space="preserve">. </w:t>
      </w:r>
      <w:r w:rsidR="007C6C79" w:rsidRPr="00F90A54">
        <w:rPr>
          <w:rFonts w:ascii="Garamond" w:hAnsi="Garamond"/>
        </w:rPr>
        <w:t xml:space="preserve">It also diminishes judicial involvement in politically contentious cases by allowing the government to exercise its own discretion to appeal or settle. </w:t>
      </w:r>
      <w:r w:rsidR="00434DEF" w:rsidRPr="00F90A54">
        <w:rPr>
          <w:rFonts w:ascii="Garamond" w:hAnsi="Garamond"/>
        </w:rPr>
        <w:t xml:space="preserve">But </w:t>
      </w:r>
      <w:r w:rsidR="008D245B" w:rsidRPr="00F90A54">
        <w:rPr>
          <w:rFonts w:ascii="Garamond" w:hAnsi="Garamond"/>
        </w:rPr>
        <w:t xml:space="preserve">this </w:t>
      </w:r>
      <w:r w:rsidR="00B638F9" w:rsidRPr="00F90A54">
        <w:rPr>
          <w:rFonts w:ascii="Garamond" w:hAnsi="Garamond"/>
        </w:rPr>
        <w:t xml:space="preserve">suggestion necessarily limits the participation rights of outsiders </w:t>
      </w:r>
      <w:r w:rsidR="004B4160" w:rsidRPr="00F90A54">
        <w:rPr>
          <w:rFonts w:ascii="Garamond" w:hAnsi="Garamond"/>
        </w:rPr>
        <w:t xml:space="preserve">who </w:t>
      </w:r>
      <w:r w:rsidR="00B638F9" w:rsidRPr="00F90A54">
        <w:rPr>
          <w:rFonts w:ascii="Garamond" w:hAnsi="Garamond"/>
        </w:rPr>
        <w:t>wish to intervene in nationwide-injunction cases</w:t>
      </w:r>
      <w:r w:rsidR="00272AF2" w:rsidRPr="00F90A54">
        <w:rPr>
          <w:rFonts w:ascii="Garamond" w:hAnsi="Garamond"/>
        </w:rPr>
        <w:t xml:space="preserve">, including those who have a strong interest in the outcome of the case. </w:t>
      </w:r>
      <w:r w:rsidR="00FA7B20" w:rsidRPr="00F90A54">
        <w:rPr>
          <w:rFonts w:ascii="Garamond" w:hAnsi="Garamond"/>
        </w:rPr>
        <w:t xml:space="preserve">The next section </w:t>
      </w:r>
      <w:r w:rsidR="005D417A" w:rsidRPr="00F90A54">
        <w:rPr>
          <w:rFonts w:ascii="Garamond" w:hAnsi="Garamond"/>
        </w:rPr>
        <w:t xml:space="preserve">addresses that </w:t>
      </w:r>
      <w:r w:rsidR="001F62D6" w:rsidRPr="00F90A54">
        <w:rPr>
          <w:rFonts w:ascii="Garamond" w:hAnsi="Garamond"/>
        </w:rPr>
        <w:t xml:space="preserve">separate </w:t>
      </w:r>
      <w:r w:rsidR="005D417A" w:rsidRPr="00F90A54">
        <w:rPr>
          <w:rFonts w:ascii="Garamond" w:hAnsi="Garamond"/>
        </w:rPr>
        <w:t xml:space="preserve">problem. </w:t>
      </w:r>
    </w:p>
    <w:p w14:paraId="0687D603" w14:textId="77777777" w:rsidR="006F30F2" w:rsidRPr="00F90A54" w:rsidRDefault="006F30F2" w:rsidP="00DC7005">
      <w:pPr>
        <w:tabs>
          <w:tab w:val="left" w:pos="360"/>
        </w:tabs>
        <w:rPr>
          <w:rFonts w:ascii="Garamond" w:hAnsi="Garamond"/>
        </w:rPr>
      </w:pPr>
    </w:p>
    <w:p w14:paraId="331A3F3C" w14:textId="52DBB353" w:rsidR="00D5366A" w:rsidRPr="00F90A54" w:rsidRDefault="00B96438" w:rsidP="00D9403B">
      <w:pPr>
        <w:pStyle w:val="Heading2"/>
        <w:keepNext/>
      </w:pPr>
      <w:bookmarkStart w:id="25" w:name="_Toc143336567"/>
      <w:r w:rsidRPr="00F90A54">
        <w:t>Remedial Intervention</w:t>
      </w:r>
      <w:bookmarkEnd w:id="25"/>
    </w:p>
    <w:p w14:paraId="28280303" w14:textId="77777777" w:rsidR="00D5366A" w:rsidRPr="00F90A54" w:rsidRDefault="00D5366A" w:rsidP="00D9403B">
      <w:pPr>
        <w:keepNext/>
        <w:ind w:firstLine="360"/>
        <w:rPr>
          <w:rFonts w:ascii="Garamond" w:hAnsi="Garamond"/>
        </w:rPr>
      </w:pPr>
    </w:p>
    <w:p w14:paraId="05651B53" w14:textId="0CF0EB4F" w:rsidR="00B7241B" w:rsidRPr="00F90A54" w:rsidRDefault="002022FB" w:rsidP="001F4A3F">
      <w:pPr>
        <w:ind w:firstLine="360"/>
        <w:jc w:val="both"/>
        <w:rPr>
          <w:rFonts w:ascii="Garamond" w:hAnsi="Garamond"/>
        </w:rPr>
      </w:pPr>
      <w:r w:rsidRPr="00F90A54">
        <w:rPr>
          <w:rFonts w:ascii="Garamond" w:hAnsi="Garamond"/>
        </w:rPr>
        <w:t xml:space="preserve">A key refrain by critics of the nationwide injunction </w:t>
      </w:r>
      <w:r w:rsidR="00504A64" w:rsidRPr="00F90A54">
        <w:rPr>
          <w:rFonts w:ascii="Garamond" w:hAnsi="Garamond"/>
        </w:rPr>
        <w:t xml:space="preserve">is that it enables judges </w:t>
      </w:r>
      <w:r w:rsidR="00BD2CFB" w:rsidRPr="00F90A54">
        <w:rPr>
          <w:rFonts w:ascii="Garamond" w:hAnsi="Garamond"/>
        </w:rPr>
        <w:t>to determine the rights of individuals who are not involved in the case.</w:t>
      </w:r>
      <w:r w:rsidR="00504A64" w:rsidRPr="00F90A54">
        <w:rPr>
          <w:rStyle w:val="FootnoteReference"/>
          <w:rFonts w:ascii="Garamond" w:hAnsi="Garamond"/>
        </w:rPr>
        <w:footnoteReference w:id="348"/>
      </w:r>
      <w:r w:rsidR="00504A64" w:rsidRPr="00F90A54">
        <w:rPr>
          <w:rFonts w:ascii="Garamond" w:hAnsi="Garamond"/>
        </w:rPr>
        <w:t xml:space="preserve"> </w:t>
      </w:r>
      <w:r w:rsidR="00132CD6" w:rsidRPr="00F90A54">
        <w:rPr>
          <w:rFonts w:ascii="Garamond" w:hAnsi="Garamond"/>
        </w:rPr>
        <w:t>This can be critical to th</w:t>
      </w:r>
      <w:r w:rsidR="00955FC4" w:rsidRPr="00F90A54">
        <w:rPr>
          <w:rFonts w:ascii="Garamond" w:hAnsi="Garamond"/>
        </w:rPr>
        <w:t xml:space="preserve">ose nonparties’ interests, as they </w:t>
      </w:r>
      <w:r w:rsidR="00C40B74" w:rsidRPr="00F90A54">
        <w:rPr>
          <w:rFonts w:ascii="Garamond" w:hAnsi="Garamond"/>
        </w:rPr>
        <w:t>“may well have extremely dissimilar</w:t>
      </w:r>
      <w:r w:rsidR="00C40B74" w:rsidRPr="00F90A54">
        <w:rPr>
          <w:rFonts w:ascii="Garamond" w:hAnsi="Garamond"/>
          <w:i/>
          <w:iCs/>
        </w:rPr>
        <w:t xml:space="preserve"> </w:t>
      </w:r>
      <w:r w:rsidR="00C40B74" w:rsidRPr="00F90A54">
        <w:rPr>
          <w:rFonts w:ascii="Garamond" w:hAnsi="Garamond"/>
        </w:rPr>
        <w:t xml:space="preserve">views </w:t>
      </w:r>
      <w:r w:rsidR="00C40B74" w:rsidRPr="00F90A54">
        <w:rPr>
          <w:rFonts w:ascii="Garamond" w:hAnsi="Garamond"/>
        </w:rPr>
        <w:lastRenderedPageBreak/>
        <w:t>on whether they are helped or harmed by a federal policy</w:t>
      </w:r>
      <w:r w:rsidR="00CB28E7" w:rsidRPr="00F90A54">
        <w:rPr>
          <w:rFonts w:ascii="Garamond" w:hAnsi="Garamond"/>
        </w:rPr>
        <w:t>.</w:t>
      </w:r>
      <w:r w:rsidR="00C40B74" w:rsidRPr="00F90A54">
        <w:rPr>
          <w:rFonts w:ascii="Garamond" w:hAnsi="Garamond"/>
        </w:rPr>
        <w:t>”</w:t>
      </w:r>
      <w:r w:rsidR="00C40B74" w:rsidRPr="00F90A54">
        <w:rPr>
          <w:rStyle w:val="FootnoteReference"/>
          <w:rFonts w:ascii="Garamond" w:hAnsi="Garamond"/>
        </w:rPr>
        <w:footnoteReference w:id="349"/>
      </w:r>
      <w:r w:rsidR="00CB28E7" w:rsidRPr="00F90A54">
        <w:rPr>
          <w:rFonts w:ascii="Garamond" w:hAnsi="Garamond"/>
        </w:rPr>
        <w:t xml:space="preserve"> </w:t>
      </w:r>
      <w:r w:rsidR="00C0088D" w:rsidRPr="00F90A54">
        <w:rPr>
          <w:rFonts w:ascii="Garamond" w:hAnsi="Garamond"/>
        </w:rPr>
        <w:t xml:space="preserve">As discussed in Part III, intervention </w:t>
      </w:r>
      <w:r w:rsidR="00C3240E" w:rsidRPr="00F90A54">
        <w:rPr>
          <w:rFonts w:ascii="Garamond" w:hAnsi="Garamond"/>
        </w:rPr>
        <w:t>is an ineffective panacea</w:t>
      </w:r>
      <w:r w:rsidR="008A490B" w:rsidRPr="00F90A54">
        <w:rPr>
          <w:rFonts w:ascii="Garamond" w:hAnsi="Garamond"/>
        </w:rPr>
        <w:t xml:space="preserve"> for that problem</w:t>
      </w:r>
      <w:r w:rsidR="00C3240E" w:rsidRPr="00F90A54">
        <w:rPr>
          <w:rFonts w:ascii="Garamond" w:hAnsi="Garamond"/>
        </w:rPr>
        <w:t xml:space="preserve">: </w:t>
      </w:r>
      <w:r w:rsidR="00B7241B" w:rsidRPr="00F90A54">
        <w:rPr>
          <w:rFonts w:ascii="Garamond" w:hAnsi="Garamond"/>
        </w:rPr>
        <w:t xml:space="preserve">inconsistent and conflicting readings of Rule 24’s requirements afford district courts wide discretion, frustrating the right of outsiders to </w:t>
      </w:r>
      <w:r w:rsidR="00941DEC" w:rsidRPr="00F90A54">
        <w:rPr>
          <w:rFonts w:ascii="Garamond" w:hAnsi="Garamond"/>
        </w:rPr>
        <w:t xml:space="preserve">meaningfully </w:t>
      </w:r>
      <w:r w:rsidR="00B7241B" w:rsidRPr="00F90A54">
        <w:rPr>
          <w:rFonts w:ascii="Garamond" w:hAnsi="Garamond"/>
        </w:rPr>
        <w:t xml:space="preserve">participate in cases that </w:t>
      </w:r>
      <w:r w:rsidR="00941DEC" w:rsidRPr="00F90A54">
        <w:rPr>
          <w:rFonts w:ascii="Garamond" w:hAnsi="Garamond"/>
        </w:rPr>
        <w:t>might</w:t>
      </w:r>
      <w:r w:rsidR="00B7241B" w:rsidRPr="00F90A54">
        <w:rPr>
          <w:rFonts w:ascii="Garamond" w:hAnsi="Garamond"/>
        </w:rPr>
        <w:t xml:space="preserve"> affect their interests. And the solution proposed</w:t>
      </w:r>
      <w:r w:rsidR="00605F5B" w:rsidRPr="00F90A54">
        <w:rPr>
          <w:rFonts w:ascii="Garamond" w:hAnsi="Garamond"/>
        </w:rPr>
        <w:t xml:space="preserve"> above</w:t>
      </w:r>
      <w:r w:rsidR="00B7241B" w:rsidRPr="00F90A54">
        <w:rPr>
          <w:rFonts w:ascii="Garamond" w:hAnsi="Garamond"/>
        </w:rPr>
        <w:t xml:space="preserve"> addresses institutional concerns, but does nothing to </w:t>
      </w:r>
      <w:r w:rsidR="005E2405" w:rsidRPr="00F90A54">
        <w:rPr>
          <w:rFonts w:ascii="Garamond" w:hAnsi="Garamond"/>
        </w:rPr>
        <w:t>alleviate</w:t>
      </w:r>
      <w:r w:rsidR="00B7241B" w:rsidRPr="00F90A54">
        <w:rPr>
          <w:rFonts w:ascii="Garamond" w:hAnsi="Garamond"/>
        </w:rPr>
        <w:t xml:space="preserve"> the participation </w:t>
      </w:r>
      <w:r w:rsidR="0019294D" w:rsidRPr="00F90A54">
        <w:rPr>
          <w:rFonts w:ascii="Garamond" w:hAnsi="Garamond"/>
        </w:rPr>
        <w:t>objections</w:t>
      </w:r>
      <w:r w:rsidR="00B7241B" w:rsidRPr="00F90A54">
        <w:rPr>
          <w:rFonts w:ascii="Garamond" w:hAnsi="Garamond"/>
        </w:rPr>
        <w:t xml:space="preserve">. </w:t>
      </w:r>
    </w:p>
    <w:p w14:paraId="1D833266" w14:textId="6FEFD17B" w:rsidR="009536EA" w:rsidRPr="00F90A54" w:rsidRDefault="008A490B" w:rsidP="001F4A3F">
      <w:pPr>
        <w:ind w:firstLine="360"/>
        <w:jc w:val="both"/>
        <w:rPr>
          <w:rFonts w:ascii="Garamond" w:hAnsi="Garamond"/>
        </w:rPr>
      </w:pPr>
      <w:r w:rsidRPr="00F90A54">
        <w:rPr>
          <w:rFonts w:ascii="Garamond" w:hAnsi="Garamond"/>
        </w:rPr>
        <w:t xml:space="preserve">To address that participatory harm, it is helpful to reflect on two components of the right to participate. </w:t>
      </w:r>
      <w:r w:rsidR="000473BA" w:rsidRPr="00F90A54">
        <w:rPr>
          <w:rFonts w:ascii="Garamond" w:hAnsi="Garamond"/>
        </w:rPr>
        <w:t xml:space="preserve">The first is the right </w:t>
      </w:r>
      <w:r w:rsidR="00451C75" w:rsidRPr="00F90A54">
        <w:rPr>
          <w:rFonts w:ascii="Garamond" w:hAnsi="Garamond"/>
        </w:rPr>
        <w:t xml:space="preserve">of every holder of a legal claim </w:t>
      </w:r>
      <w:r w:rsidR="000473BA" w:rsidRPr="00F90A54">
        <w:rPr>
          <w:rFonts w:ascii="Garamond" w:hAnsi="Garamond"/>
        </w:rPr>
        <w:t xml:space="preserve">to participate </w:t>
      </w:r>
      <w:r w:rsidR="00451C75" w:rsidRPr="00F90A54">
        <w:rPr>
          <w:rFonts w:ascii="Garamond" w:hAnsi="Garamond"/>
        </w:rPr>
        <w:t xml:space="preserve">in the adjudication of that </w:t>
      </w:r>
      <w:r w:rsidR="000473BA" w:rsidRPr="00F90A54">
        <w:rPr>
          <w:rFonts w:ascii="Garamond" w:hAnsi="Garamond"/>
        </w:rPr>
        <w:t>claim</w:t>
      </w:r>
      <w:r w:rsidR="00DE1C24" w:rsidRPr="00F90A54">
        <w:rPr>
          <w:rFonts w:ascii="Garamond" w:hAnsi="Garamond"/>
        </w:rPr>
        <w:t>.</w:t>
      </w:r>
      <w:r w:rsidR="00675935" w:rsidRPr="00F90A54">
        <w:rPr>
          <w:rStyle w:val="FootnoteReference"/>
          <w:rFonts w:ascii="Garamond" w:hAnsi="Garamond"/>
        </w:rPr>
        <w:footnoteReference w:id="350"/>
      </w:r>
      <w:r w:rsidR="003C3659" w:rsidRPr="00F90A54">
        <w:rPr>
          <w:rFonts w:ascii="Garamond" w:hAnsi="Garamond"/>
        </w:rPr>
        <w:t xml:space="preserve"> </w:t>
      </w:r>
      <w:r w:rsidR="00716E7E" w:rsidRPr="00F90A54">
        <w:rPr>
          <w:rFonts w:ascii="Garamond" w:hAnsi="Garamond"/>
        </w:rPr>
        <w:t xml:space="preserve">That participation principle </w:t>
      </w:r>
      <w:r w:rsidR="00EC6CEA" w:rsidRPr="00F90A54">
        <w:rPr>
          <w:rFonts w:ascii="Garamond" w:hAnsi="Garamond"/>
        </w:rPr>
        <w:t xml:space="preserve">helps </w:t>
      </w:r>
      <w:r w:rsidR="00716E7E" w:rsidRPr="00F90A54">
        <w:rPr>
          <w:rFonts w:ascii="Garamond" w:hAnsi="Garamond"/>
        </w:rPr>
        <w:t>justif</w:t>
      </w:r>
      <w:r w:rsidR="00EC6CEA" w:rsidRPr="00F90A54">
        <w:rPr>
          <w:rFonts w:ascii="Garamond" w:hAnsi="Garamond"/>
        </w:rPr>
        <w:t>y</w:t>
      </w:r>
      <w:r w:rsidR="00716E7E" w:rsidRPr="00F90A54">
        <w:rPr>
          <w:rFonts w:ascii="Garamond" w:hAnsi="Garamond"/>
        </w:rPr>
        <w:t xml:space="preserve"> binding the </w:t>
      </w:r>
      <w:r w:rsidR="00E41981" w:rsidRPr="00F90A54">
        <w:rPr>
          <w:rFonts w:ascii="Garamond" w:hAnsi="Garamond"/>
        </w:rPr>
        <w:t xml:space="preserve">individual </w:t>
      </w:r>
      <w:r w:rsidR="00D32E6C" w:rsidRPr="00F90A54">
        <w:rPr>
          <w:rFonts w:ascii="Garamond" w:hAnsi="Garamond"/>
        </w:rPr>
        <w:t>to the court’s decision. When individuals have had an opportunity to present their reasoning and evidence to the court and lost, we expect them to comply with the court’s judgment.</w:t>
      </w:r>
      <w:r w:rsidR="0044165E" w:rsidRPr="00F90A54">
        <w:rPr>
          <w:rStyle w:val="FootnoteReference"/>
          <w:rFonts w:ascii="Garamond" w:hAnsi="Garamond"/>
        </w:rPr>
        <w:footnoteReference w:id="351"/>
      </w:r>
      <w:r w:rsidR="003C3659" w:rsidRPr="00F90A54">
        <w:rPr>
          <w:rFonts w:ascii="Garamond" w:hAnsi="Garamond"/>
        </w:rPr>
        <w:t xml:space="preserve"> </w:t>
      </w:r>
      <w:r w:rsidR="002A28F8" w:rsidRPr="00F90A54">
        <w:rPr>
          <w:rFonts w:ascii="Garamond" w:hAnsi="Garamond"/>
        </w:rPr>
        <w:t xml:space="preserve">That principle </w:t>
      </w:r>
      <w:r w:rsidR="006D6E6D" w:rsidRPr="00F90A54">
        <w:rPr>
          <w:rFonts w:ascii="Garamond" w:hAnsi="Garamond"/>
        </w:rPr>
        <w:t xml:space="preserve">warps as soon as the </w:t>
      </w:r>
      <w:r w:rsidR="00E41981" w:rsidRPr="00F90A54">
        <w:rPr>
          <w:rFonts w:ascii="Garamond" w:hAnsi="Garamond"/>
        </w:rPr>
        <w:t xml:space="preserve">court’s </w:t>
      </w:r>
      <w:r w:rsidR="006D6E6D" w:rsidRPr="00F90A54">
        <w:rPr>
          <w:rFonts w:ascii="Garamond" w:hAnsi="Garamond"/>
        </w:rPr>
        <w:t xml:space="preserve">judgment purports to bind individuals </w:t>
      </w:r>
      <w:r w:rsidR="00822964" w:rsidRPr="00F90A54">
        <w:rPr>
          <w:rFonts w:ascii="Garamond" w:hAnsi="Garamond"/>
        </w:rPr>
        <w:t xml:space="preserve">who were </w:t>
      </w:r>
      <w:r w:rsidR="006D6E6D" w:rsidRPr="00F90A54">
        <w:rPr>
          <w:rFonts w:ascii="Garamond" w:hAnsi="Garamond"/>
        </w:rPr>
        <w:t>not before the court</w:t>
      </w:r>
      <w:r w:rsidR="00E41981" w:rsidRPr="00F90A54">
        <w:rPr>
          <w:rFonts w:ascii="Garamond" w:hAnsi="Garamond"/>
        </w:rPr>
        <w:t xml:space="preserve"> and </w:t>
      </w:r>
      <w:r w:rsidR="00822964" w:rsidRPr="00F90A54">
        <w:rPr>
          <w:rFonts w:ascii="Garamond" w:hAnsi="Garamond"/>
        </w:rPr>
        <w:t xml:space="preserve">who </w:t>
      </w:r>
      <w:r w:rsidR="00E41981" w:rsidRPr="00F90A54">
        <w:rPr>
          <w:rFonts w:ascii="Garamond" w:hAnsi="Garamond"/>
        </w:rPr>
        <w:t>had no opportunity to defend their claim</w:t>
      </w:r>
      <w:r w:rsidR="006D6E6D" w:rsidRPr="00F90A54">
        <w:rPr>
          <w:rFonts w:ascii="Garamond" w:hAnsi="Garamond"/>
        </w:rPr>
        <w:t>.</w:t>
      </w:r>
      <w:r w:rsidR="006D6E6D" w:rsidRPr="00F90A54">
        <w:rPr>
          <w:rStyle w:val="FootnoteReference"/>
          <w:rFonts w:ascii="Garamond" w:hAnsi="Garamond"/>
        </w:rPr>
        <w:footnoteReference w:id="352"/>
      </w:r>
      <w:r w:rsidR="006D6E6D" w:rsidRPr="00F90A54">
        <w:rPr>
          <w:rFonts w:ascii="Garamond" w:hAnsi="Garamond"/>
        </w:rPr>
        <w:t xml:space="preserve"> </w:t>
      </w:r>
      <w:r w:rsidR="00411CA4" w:rsidRPr="00F90A54">
        <w:rPr>
          <w:rFonts w:ascii="Garamond" w:hAnsi="Garamond"/>
        </w:rPr>
        <w:t xml:space="preserve">The core focus, in other words, is on the </w:t>
      </w:r>
      <w:r w:rsidR="00867D64" w:rsidRPr="00F90A54">
        <w:rPr>
          <w:rFonts w:ascii="Garamond" w:hAnsi="Garamond"/>
        </w:rPr>
        <w:t>scope</w:t>
      </w:r>
      <w:r w:rsidR="00411CA4" w:rsidRPr="00F90A54">
        <w:rPr>
          <w:rFonts w:ascii="Garamond" w:hAnsi="Garamond"/>
        </w:rPr>
        <w:t xml:space="preserve"> of the judgment</w:t>
      </w:r>
      <w:r w:rsidR="009B03D9" w:rsidRPr="00F90A54">
        <w:rPr>
          <w:rFonts w:ascii="Garamond" w:hAnsi="Garamond"/>
        </w:rPr>
        <w:t xml:space="preserve">. </w:t>
      </w:r>
      <w:r w:rsidR="005A2F1E" w:rsidRPr="00F90A54">
        <w:rPr>
          <w:rFonts w:ascii="Garamond" w:hAnsi="Garamond"/>
        </w:rPr>
        <w:t xml:space="preserve">A </w:t>
      </w:r>
      <w:r w:rsidR="00867D64" w:rsidRPr="00F90A54">
        <w:rPr>
          <w:rFonts w:ascii="Garamond" w:hAnsi="Garamond"/>
        </w:rPr>
        <w:t xml:space="preserve">judgment </w:t>
      </w:r>
      <w:r w:rsidR="005A2F1E" w:rsidRPr="00F90A54">
        <w:rPr>
          <w:rFonts w:ascii="Garamond" w:hAnsi="Garamond"/>
        </w:rPr>
        <w:t xml:space="preserve">that </w:t>
      </w:r>
      <w:r w:rsidR="00867D64" w:rsidRPr="00F90A54">
        <w:rPr>
          <w:rFonts w:ascii="Garamond" w:hAnsi="Garamond"/>
        </w:rPr>
        <w:t>does not purport to bind nonparties</w:t>
      </w:r>
      <w:r w:rsidR="005A2F1E" w:rsidRPr="00F90A54">
        <w:rPr>
          <w:rFonts w:ascii="Garamond" w:hAnsi="Garamond"/>
        </w:rPr>
        <w:t xml:space="preserve"> </w:t>
      </w:r>
      <w:r w:rsidR="00FA22D7" w:rsidRPr="00F90A54">
        <w:rPr>
          <w:rFonts w:ascii="Garamond" w:hAnsi="Garamond"/>
        </w:rPr>
        <w:t>diminishes the rights of nonparties to participate</w:t>
      </w:r>
      <w:r w:rsidR="008352E9" w:rsidRPr="00F90A54">
        <w:rPr>
          <w:rFonts w:ascii="Garamond" w:hAnsi="Garamond"/>
        </w:rPr>
        <w:t xml:space="preserve"> in the proceedings leading to that judgment</w:t>
      </w:r>
      <w:r w:rsidR="00FA22D7" w:rsidRPr="00F90A54">
        <w:rPr>
          <w:rFonts w:ascii="Garamond" w:hAnsi="Garamond"/>
        </w:rPr>
        <w:t>.</w:t>
      </w:r>
      <w:r w:rsidR="009B03D9" w:rsidRPr="00F90A54">
        <w:rPr>
          <w:rStyle w:val="FootnoteReference"/>
          <w:rFonts w:ascii="Garamond" w:hAnsi="Garamond"/>
        </w:rPr>
        <w:footnoteReference w:id="353"/>
      </w:r>
      <w:r w:rsidR="00CC47D4" w:rsidRPr="00F90A54">
        <w:rPr>
          <w:rFonts w:ascii="Garamond" w:hAnsi="Garamond"/>
        </w:rPr>
        <w:t xml:space="preserve"> </w:t>
      </w:r>
    </w:p>
    <w:p w14:paraId="2F11F408" w14:textId="08EA3E80" w:rsidR="00104474" w:rsidRPr="00F90A54" w:rsidRDefault="00CC47D4" w:rsidP="001F4A3F">
      <w:pPr>
        <w:ind w:firstLine="360"/>
        <w:jc w:val="both"/>
        <w:rPr>
          <w:rFonts w:ascii="Garamond" w:hAnsi="Garamond"/>
        </w:rPr>
      </w:pPr>
      <w:r w:rsidRPr="00F90A54">
        <w:rPr>
          <w:rFonts w:ascii="Garamond" w:hAnsi="Garamond"/>
        </w:rPr>
        <w:t>Th</w:t>
      </w:r>
      <w:r w:rsidR="00A31502" w:rsidRPr="00F90A54">
        <w:rPr>
          <w:rFonts w:ascii="Garamond" w:hAnsi="Garamond"/>
        </w:rPr>
        <w:t>is</w:t>
      </w:r>
      <w:r w:rsidRPr="00F90A54">
        <w:rPr>
          <w:rFonts w:ascii="Garamond" w:hAnsi="Garamond"/>
        </w:rPr>
        <w:t xml:space="preserve"> feature highlights the second component</w:t>
      </w:r>
      <w:r w:rsidR="0005266C" w:rsidRPr="00F90A54">
        <w:rPr>
          <w:rFonts w:ascii="Garamond" w:hAnsi="Garamond"/>
        </w:rPr>
        <w:t xml:space="preserve">: </w:t>
      </w:r>
      <w:r w:rsidR="00A31502" w:rsidRPr="00F90A54">
        <w:rPr>
          <w:rFonts w:ascii="Garamond" w:hAnsi="Garamond"/>
        </w:rPr>
        <w:t xml:space="preserve">nonparties have a </w:t>
      </w:r>
      <w:r w:rsidRPr="00F90A54">
        <w:rPr>
          <w:rFonts w:ascii="Garamond" w:hAnsi="Garamond"/>
        </w:rPr>
        <w:t>right to participate in the court’s determination of the scope of its judgment</w:t>
      </w:r>
      <w:r w:rsidR="00801379" w:rsidRPr="00F90A54">
        <w:rPr>
          <w:rFonts w:ascii="Garamond" w:hAnsi="Garamond"/>
        </w:rPr>
        <w:t>.</w:t>
      </w:r>
      <w:r w:rsidR="009A2512" w:rsidRPr="00F90A54">
        <w:rPr>
          <w:rFonts w:ascii="Garamond" w:hAnsi="Garamond"/>
        </w:rPr>
        <w:t xml:space="preserve"> </w:t>
      </w:r>
      <w:r w:rsidR="00801379" w:rsidRPr="00F90A54">
        <w:rPr>
          <w:rFonts w:ascii="Garamond" w:hAnsi="Garamond"/>
        </w:rPr>
        <w:t>When a court is considering a</w:t>
      </w:r>
      <w:r w:rsidR="00FE0A4D" w:rsidRPr="00F90A54">
        <w:rPr>
          <w:rFonts w:ascii="Garamond" w:hAnsi="Garamond"/>
        </w:rPr>
        <w:t xml:space="preserve"> judgment</w:t>
      </w:r>
      <w:r w:rsidR="00801379" w:rsidRPr="00F90A54">
        <w:rPr>
          <w:rFonts w:ascii="Garamond" w:hAnsi="Garamond"/>
        </w:rPr>
        <w:t xml:space="preserve"> that will affect the legal claims of individuals who did not participate on the merits, then </w:t>
      </w:r>
      <w:r w:rsidR="00FE0A4D" w:rsidRPr="00F90A54">
        <w:rPr>
          <w:rFonts w:ascii="Garamond" w:hAnsi="Garamond"/>
        </w:rPr>
        <w:t>that decision on its own—separate and apart from the merits of the underlying challenge—necessarily implicates the participatory rights of nonparties.</w:t>
      </w:r>
      <w:r w:rsidR="00E31F30" w:rsidRPr="00F90A54">
        <w:rPr>
          <w:rStyle w:val="FootnoteReference"/>
          <w:rFonts w:ascii="Garamond" w:hAnsi="Garamond"/>
        </w:rPr>
        <w:footnoteReference w:id="354"/>
      </w:r>
      <w:r w:rsidR="00FE0A4D" w:rsidRPr="00F90A54">
        <w:rPr>
          <w:rFonts w:ascii="Garamond" w:hAnsi="Garamond"/>
        </w:rPr>
        <w:t xml:space="preserve"> </w:t>
      </w:r>
      <w:r w:rsidR="009C2605" w:rsidRPr="00F90A54">
        <w:rPr>
          <w:rFonts w:ascii="Garamond" w:hAnsi="Garamond"/>
        </w:rPr>
        <w:t xml:space="preserve">This principle is reflected in the real-world actions of individuals </w:t>
      </w:r>
      <w:r w:rsidR="00E31F30" w:rsidRPr="00F90A54">
        <w:rPr>
          <w:rFonts w:ascii="Garamond" w:hAnsi="Garamond"/>
        </w:rPr>
        <w:t xml:space="preserve">and courts. Nonparties often </w:t>
      </w:r>
      <w:r w:rsidR="009C2605" w:rsidRPr="00F90A54">
        <w:rPr>
          <w:rFonts w:ascii="Garamond" w:hAnsi="Garamond"/>
        </w:rPr>
        <w:t xml:space="preserve">seek to intervene to participate </w:t>
      </w:r>
      <w:r w:rsidR="00BE2A73">
        <w:rPr>
          <w:rFonts w:ascii="Garamond" w:hAnsi="Garamond"/>
        </w:rPr>
        <w:t xml:space="preserve">solely </w:t>
      </w:r>
      <w:r w:rsidR="009C2605" w:rsidRPr="00F90A54">
        <w:rPr>
          <w:rFonts w:ascii="Garamond" w:hAnsi="Garamond"/>
        </w:rPr>
        <w:t>in the remedial stage of litigation</w:t>
      </w:r>
      <w:r w:rsidR="00534369" w:rsidRPr="00F90A54">
        <w:rPr>
          <w:rFonts w:ascii="Garamond" w:hAnsi="Garamond"/>
        </w:rPr>
        <w:t>.</w:t>
      </w:r>
      <w:r w:rsidR="009C2605" w:rsidRPr="00F90A54">
        <w:rPr>
          <w:rFonts w:ascii="Garamond" w:hAnsi="Garamond"/>
        </w:rPr>
        <w:t xml:space="preserve"> </w:t>
      </w:r>
      <w:r w:rsidR="00E31F30" w:rsidRPr="00F90A54">
        <w:rPr>
          <w:rFonts w:ascii="Garamond" w:hAnsi="Garamond"/>
        </w:rPr>
        <w:t>And courts recognize that outsiders may have a stake in the remedy they craft, justifying their participation.</w:t>
      </w:r>
    </w:p>
    <w:p w14:paraId="5C9BE75D" w14:textId="3E17A086" w:rsidR="00741DC7" w:rsidRPr="00F90A54" w:rsidRDefault="00E31F30" w:rsidP="001F4A3F">
      <w:pPr>
        <w:ind w:firstLine="360"/>
        <w:jc w:val="both"/>
        <w:rPr>
          <w:rFonts w:ascii="Garamond" w:hAnsi="Garamond"/>
        </w:rPr>
      </w:pPr>
      <w:r w:rsidRPr="00F90A54">
        <w:rPr>
          <w:rFonts w:ascii="Garamond" w:hAnsi="Garamond"/>
        </w:rPr>
        <w:lastRenderedPageBreak/>
        <w:t xml:space="preserve">Indeed, </w:t>
      </w:r>
      <w:r w:rsidR="00046611" w:rsidRPr="00F90A54">
        <w:rPr>
          <w:rFonts w:ascii="Garamond" w:hAnsi="Garamond"/>
        </w:rPr>
        <w:t xml:space="preserve">some </w:t>
      </w:r>
      <w:r w:rsidR="006B56D2" w:rsidRPr="00F90A54">
        <w:rPr>
          <w:rFonts w:ascii="Garamond" w:hAnsi="Garamond"/>
        </w:rPr>
        <w:t xml:space="preserve">nonparties have </w:t>
      </w:r>
      <w:r w:rsidR="00046611" w:rsidRPr="00F90A54">
        <w:rPr>
          <w:rFonts w:ascii="Garamond" w:hAnsi="Garamond"/>
        </w:rPr>
        <w:t xml:space="preserve">begun seeking </w:t>
      </w:r>
      <w:r w:rsidR="006B56D2" w:rsidRPr="00F90A54">
        <w:rPr>
          <w:rFonts w:ascii="Garamond" w:hAnsi="Garamond"/>
        </w:rPr>
        <w:t xml:space="preserve">limited intervention for the purpose of opposing nationwide injunctions that would affect their interests. </w:t>
      </w:r>
      <w:r w:rsidR="000B39A8" w:rsidRPr="00F90A54">
        <w:rPr>
          <w:rFonts w:ascii="Garamond" w:hAnsi="Garamond"/>
        </w:rPr>
        <w:t>But courts have so far been reluctant to grant these motions.</w:t>
      </w:r>
      <w:r w:rsidR="00164EED" w:rsidRPr="00F90A54">
        <w:rPr>
          <w:rStyle w:val="FootnoteReference"/>
          <w:rFonts w:ascii="Garamond" w:hAnsi="Garamond"/>
        </w:rPr>
        <w:footnoteReference w:id="355"/>
      </w:r>
      <w:r w:rsidR="000B39A8" w:rsidRPr="00F90A54">
        <w:rPr>
          <w:rFonts w:ascii="Garamond" w:hAnsi="Garamond"/>
        </w:rPr>
        <w:t xml:space="preserve"> </w:t>
      </w:r>
      <w:r w:rsidR="0022539B" w:rsidRPr="00F90A54">
        <w:rPr>
          <w:rFonts w:ascii="Garamond" w:hAnsi="Garamond"/>
        </w:rPr>
        <w:t>For example, i</w:t>
      </w:r>
      <w:r w:rsidR="006B56D2" w:rsidRPr="00F90A54">
        <w:rPr>
          <w:rFonts w:ascii="Garamond" w:hAnsi="Garamond"/>
        </w:rPr>
        <w:t xml:space="preserve">n </w:t>
      </w:r>
      <w:r w:rsidR="00B06FCA" w:rsidRPr="00F90A54">
        <w:rPr>
          <w:rFonts w:ascii="Garamond" w:hAnsi="Garamond"/>
          <w:i/>
          <w:iCs/>
        </w:rPr>
        <w:t>Louisiana</w:t>
      </w:r>
      <w:r w:rsidR="006B56D2" w:rsidRPr="00F90A54">
        <w:rPr>
          <w:rFonts w:ascii="Garamond" w:hAnsi="Garamond"/>
          <w:i/>
          <w:iCs/>
        </w:rPr>
        <w:t xml:space="preserve"> v. </w:t>
      </w:r>
      <w:r w:rsidR="00B06FCA" w:rsidRPr="00F90A54">
        <w:rPr>
          <w:rFonts w:ascii="Garamond" w:hAnsi="Garamond"/>
          <w:i/>
          <w:iCs/>
        </w:rPr>
        <w:t>CDC</w:t>
      </w:r>
      <w:r w:rsidR="006B56D2" w:rsidRPr="00F90A54">
        <w:rPr>
          <w:rFonts w:ascii="Garamond" w:hAnsi="Garamond"/>
        </w:rPr>
        <w:t xml:space="preserve">, </w:t>
      </w:r>
      <w:r w:rsidR="00171856" w:rsidRPr="00F90A54">
        <w:rPr>
          <w:rFonts w:ascii="Garamond" w:hAnsi="Garamond"/>
        </w:rPr>
        <w:t xml:space="preserve">the federal government did not contest a nationwide injunction, so long as the plaintiff states satisfied </w:t>
      </w:r>
      <w:r w:rsidR="00794E14">
        <w:rPr>
          <w:rFonts w:ascii="Garamond" w:hAnsi="Garamond"/>
        </w:rPr>
        <w:t>certain</w:t>
      </w:r>
      <w:r w:rsidR="00171856" w:rsidRPr="00F90A54">
        <w:rPr>
          <w:rFonts w:ascii="Garamond" w:hAnsi="Garamond"/>
        </w:rPr>
        <w:t xml:space="preserve"> factors.</w:t>
      </w:r>
      <w:r w:rsidR="00171856" w:rsidRPr="00F90A54">
        <w:rPr>
          <w:rStyle w:val="FootnoteReference"/>
          <w:rFonts w:ascii="Garamond" w:hAnsi="Garamond"/>
        </w:rPr>
        <w:footnoteReference w:id="356"/>
      </w:r>
      <w:r w:rsidR="00171856" w:rsidRPr="00F90A54">
        <w:rPr>
          <w:rFonts w:ascii="Garamond" w:hAnsi="Garamond"/>
        </w:rPr>
        <w:t xml:space="preserve"> </w:t>
      </w:r>
      <w:r w:rsidR="00755819" w:rsidRPr="00F90A54">
        <w:rPr>
          <w:rFonts w:ascii="Garamond" w:hAnsi="Garamond"/>
        </w:rPr>
        <w:t>S</w:t>
      </w:r>
      <w:r w:rsidR="006B56D2" w:rsidRPr="00F90A54">
        <w:rPr>
          <w:rFonts w:ascii="Garamond" w:hAnsi="Garamond"/>
        </w:rPr>
        <w:t>everal individuals and an organization in California moved to intervene “to argue that, should the Court enter any injunctive relief, such relief should be geographically limited to run only in the Plaintiff states, rather than nationwide.”</w:t>
      </w:r>
      <w:r w:rsidR="006B56D2" w:rsidRPr="00F90A54">
        <w:rPr>
          <w:rStyle w:val="FootnoteReference"/>
          <w:rFonts w:ascii="Garamond" w:hAnsi="Garamond"/>
        </w:rPr>
        <w:footnoteReference w:id="357"/>
      </w:r>
      <w:r w:rsidR="0022539B" w:rsidRPr="00F90A54">
        <w:rPr>
          <w:rFonts w:ascii="Garamond" w:hAnsi="Garamond"/>
        </w:rPr>
        <w:t xml:space="preserve"> The district court denied the motion</w:t>
      </w:r>
      <w:r w:rsidR="00FB4DD9" w:rsidRPr="00F90A54">
        <w:rPr>
          <w:rFonts w:ascii="Garamond" w:hAnsi="Garamond"/>
        </w:rPr>
        <w:t>.</w:t>
      </w:r>
      <w:r w:rsidR="00FB4DD9" w:rsidRPr="00F90A54">
        <w:rPr>
          <w:rStyle w:val="FootnoteReference"/>
          <w:rFonts w:ascii="Garamond" w:hAnsi="Garamond"/>
        </w:rPr>
        <w:footnoteReference w:id="358"/>
      </w:r>
      <w:r w:rsidR="00FB4DD9" w:rsidRPr="00F90A54">
        <w:rPr>
          <w:rFonts w:ascii="Garamond" w:hAnsi="Garamond"/>
        </w:rPr>
        <w:t xml:space="preserve"> </w:t>
      </w:r>
      <w:r w:rsidR="009912B3" w:rsidRPr="00F90A54">
        <w:rPr>
          <w:rFonts w:ascii="Garamond" w:hAnsi="Garamond"/>
        </w:rPr>
        <w:t xml:space="preserve">In </w:t>
      </w:r>
      <w:r w:rsidR="009912B3" w:rsidRPr="00F90A54">
        <w:rPr>
          <w:rFonts w:ascii="Garamond" w:hAnsi="Garamond"/>
          <w:i/>
          <w:iCs/>
        </w:rPr>
        <w:t>Texas v. United States</w:t>
      </w:r>
      <w:r w:rsidR="009912B3" w:rsidRPr="00F90A54">
        <w:rPr>
          <w:rFonts w:ascii="Garamond" w:hAnsi="Garamond"/>
        </w:rPr>
        <w:t xml:space="preserve">, the court issued a nationwide injunction barring the enforcement of Title IX, Title VII, and OSHA guidance on </w:t>
      </w:r>
      <w:r w:rsidR="007F5BFE" w:rsidRPr="00F90A54">
        <w:rPr>
          <w:rFonts w:ascii="Garamond" w:hAnsi="Garamond"/>
        </w:rPr>
        <w:t>sex discrimination</w:t>
      </w:r>
      <w:r w:rsidR="00CF56EC" w:rsidRPr="00F90A54">
        <w:rPr>
          <w:rFonts w:ascii="Garamond" w:hAnsi="Garamond"/>
        </w:rPr>
        <w:t xml:space="preserve"> against transgender individuals</w:t>
      </w:r>
      <w:r w:rsidR="007F5BFE" w:rsidRPr="00F90A54">
        <w:rPr>
          <w:rFonts w:ascii="Garamond" w:hAnsi="Garamond"/>
        </w:rPr>
        <w:t xml:space="preserve">. </w:t>
      </w:r>
      <w:r w:rsidR="00E86741" w:rsidRPr="00F90A54">
        <w:rPr>
          <w:rFonts w:ascii="Garamond" w:hAnsi="Garamond"/>
        </w:rPr>
        <w:t xml:space="preserve">An </w:t>
      </w:r>
      <w:proofErr w:type="gramStart"/>
      <w:r w:rsidR="00E86741" w:rsidRPr="00F90A54">
        <w:rPr>
          <w:rFonts w:ascii="Garamond" w:hAnsi="Garamond"/>
        </w:rPr>
        <w:t>individual transgender women</w:t>
      </w:r>
      <w:proofErr w:type="gramEnd"/>
      <w:r w:rsidR="00E86741" w:rsidRPr="00F90A54">
        <w:rPr>
          <w:rFonts w:ascii="Garamond" w:hAnsi="Garamond"/>
        </w:rPr>
        <w:t xml:space="preserve"> had sought to intervene to prevent the court from issuing an injunction that would affect her and her ongoing Title VII case against her employer.</w:t>
      </w:r>
      <w:r w:rsidR="00324715" w:rsidRPr="00F90A54">
        <w:rPr>
          <w:rStyle w:val="FootnoteReference"/>
          <w:rFonts w:ascii="Garamond" w:hAnsi="Garamond"/>
        </w:rPr>
        <w:footnoteReference w:id="359"/>
      </w:r>
      <w:r w:rsidR="00DF012E" w:rsidRPr="00F90A54">
        <w:rPr>
          <w:rFonts w:ascii="Garamond" w:hAnsi="Garamond"/>
        </w:rPr>
        <w:t xml:space="preserve"> The court never ruled on the motion.</w:t>
      </w:r>
      <w:r w:rsidR="000453A5" w:rsidRPr="00F90A54">
        <w:rPr>
          <w:rStyle w:val="FootnoteReference"/>
          <w:rFonts w:ascii="Garamond" w:hAnsi="Garamond"/>
        </w:rPr>
        <w:footnoteReference w:id="360"/>
      </w:r>
      <w:r w:rsidR="00DF012E" w:rsidRPr="00F90A54">
        <w:rPr>
          <w:rFonts w:ascii="Garamond" w:hAnsi="Garamond"/>
        </w:rPr>
        <w:t xml:space="preserve"> </w:t>
      </w:r>
      <w:r w:rsidR="000453A5" w:rsidRPr="00F90A54">
        <w:rPr>
          <w:rFonts w:ascii="Garamond" w:hAnsi="Garamond"/>
        </w:rPr>
        <w:t>She tried to participate on appeal, but was dismissed from the case, as she was not a party to the judgment below.</w:t>
      </w:r>
      <w:r w:rsidR="000453A5" w:rsidRPr="00F90A54">
        <w:rPr>
          <w:rStyle w:val="FootnoteReference"/>
          <w:rFonts w:ascii="Garamond" w:hAnsi="Garamond"/>
        </w:rPr>
        <w:footnoteReference w:id="361"/>
      </w:r>
    </w:p>
    <w:p w14:paraId="1730EB27" w14:textId="1AB5ED12" w:rsidR="006352DD" w:rsidRPr="00F90A54" w:rsidRDefault="001D69ED" w:rsidP="001F4A3F">
      <w:pPr>
        <w:ind w:firstLine="360"/>
        <w:jc w:val="both"/>
        <w:rPr>
          <w:rFonts w:ascii="Garamond" w:hAnsi="Garamond"/>
        </w:rPr>
      </w:pPr>
      <w:r w:rsidRPr="00F90A54">
        <w:rPr>
          <w:rFonts w:ascii="Garamond" w:hAnsi="Garamond"/>
        </w:rPr>
        <w:t xml:space="preserve">I propose that </w:t>
      </w:r>
      <w:r w:rsidR="002D04DF" w:rsidRPr="00F90A54">
        <w:rPr>
          <w:rFonts w:ascii="Garamond" w:hAnsi="Garamond"/>
        </w:rPr>
        <w:t>litigants should seek</w:t>
      </w:r>
      <w:r w:rsidR="007B4FED" w:rsidRPr="00F90A54">
        <w:rPr>
          <w:rFonts w:ascii="Garamond" w:hAnsi="Garamond"/>
        </w:rPr>
        <w:t xml:space="preserve">, </w:t>
      </w:r>
      <w:r w:rsidR="002D04DF" w:rsidRPr="00F90A54">
        <w:rPr>
          <w:rFonts w:ascii="Garamond" w:hAnsi="Garamond"/>
        </w:rPr>
        <w:t>and courts should broadly grant</w:t>
      </w:r>
      <w:r w:rsidR="007B4FED" w:rsidRPr="00F90A54">
        <w:rPr>
          <w:rFonts w:ascii="Garamond" w:hAnsi="Garamond"/>
        </w:rPr>
        <w:t xml:space="preserve">, </w:t>
      </w:r>
      <w:r w:rsidR="002D04DF" w:rsidRPr="00F90A54">
        <w:rPr>
          <w:rFonts w:ascii="Garamond" w:hAnsi="Garamond"/>
        </w:rPr>
        <w:t>intervention limited to whether a nationwide injunction</w:t>
      </w:r>
      <w:r w:rsidR="00AB6CEA" w:rsidRPr="00F90A54">
        <w:rPr>
          <w:rFonts w:ascii="Garamond" w:hAnsi="Garamond"/>
        </w:rPr>
        <w:t xml:space="preserve"> is proper</w:t>
      </w:r>
      <w:r w:rsidR="002D04DF" w:rsidRPr="00F90A54">
        <w:rPr>
          <w:rFonts w:ascii="Garamond" w:hAnsi="Garamond"/>
        </w:rPr>
        <w:t>.</w:t>
      </w:r>
      <w:r w:rsidR="00F30BB7" w:rsidRPr="00F90A54">
        <w:rPr>
          <w:rStyle w:val="FootnoteReference"/>
          <w:rFonts w:ascii="Garamond" w:hAnsi="Garamond"/>
        </w:rPr>
        <w:footnoteReference w:id="362"/>
      </w:r>
      <w:r w:rsidR="002D04DF" w:rsidRPr="00F90A54">
        <w:rPr>
          <w:rFonts w:ascii="Garamond" w:hAnsi="Garamond"/>
        </w:rPr>
        <w:t xml:space="preserve"> </w:t>
      </w:r>
      <w:r w:rsidR="00656083" w:rsidRPr="00F90A54">
        <w:rPr>
          <w:rFonts w:ascii="Garamond" w:hAnsi="Garamond"/>
        </w:rPr>
        <w:t xml:space="preserve">This practice would </w:t>
      </w:r>
      <w:r w:rsidR="00D12C2D" w:rsidRPr="00F90A54">
        <w:rPr>
          <w:rFonts w:ascii="Garamond" w:hAnsi="Garamond"/>
        </w:rPr>
        <w:t xml:space="preserve">provide an avenue for outsiders to participate on the key issue </w:t>
      </w:r>
      <w:r w:rsidR="00E372CF" w:rsidRPr="00F90A54">
        <w:rPr>
          <w:rFonts w:ascii="Garamond" w:hAnsi="Garamond"/>
        </w:rPr>
        <w:t xml:space="preserve">affecting their interests: preventing the court from issuing a remedy that resolves their rights without providing them an opportunity to defend those rights on the merits. </w:t>
      </w:r>
      <w:r w:rsidR="00AE0787" w:rsidRPr="00F90A54">
        <w:rPr>
          <w:rFonts w:ascii="Garamond" w:hAnsi="Garamond"/>
        </w:rPr>
        <w:t>That gain in procedural benefits would come with few costs</w:t>
      </w:r>
      <w:r w:rsidR="00F75324" w:rsidRPr="00F90A54">
        <w:rPr>
          <w:rFonts w:ascii="Garamond" w:hAnsi="Garamond"/>
        </w:rPr>
        <w:t xml:space="preserve"> (or, at least, fewer costs) to the original parties than allowing those same nonparties to participate on the merits. </w:t>
      </w:r>
      <w:r w:rsidR="006352DD" w:rsidRPr="00F90A54">
        <w:rPr>
          <w:rFonts w:ascii="Garamond" w:hAnsi="Garamond"/>
        </w:rPr>
        <w:t>True, r</w:t>
      </w:r>
      <w:r w:rsidR="007B4FED" w:rsidRPr="00F90A54">
        <w:rPr>
          <w:rFonts w:ascii="Garamond" w:hAnsi="Garamond"/>
        </w:rPr>
        <w:t>emedial intervenors would likely present arguments and evidence</w:t>
      </w:r>
      <w:r w:rsidR="006352DD" w:rsidRPr="00F90A54">
        <w:rPr>
          <w:rFonts w:ascii="Garamond" w:hAnsi="Garamond"/>
        </w:rPr>
        <w:t xml:space="preserve"> and t</w:t>
      </w:r>
      <w:r w:rsidR="007B4FED" w:rsidRPr="00F90A54">
        <w:rPr>
          <w:rFonts w:ascii="Garamond" w:hAnsi="Garamond"/>
        </w:rPr>
        <w:t xml:space="preserve">he parties would </w:t>
      </w:r>
      <w:r w:rsidR="005934E6" w:rsidRPr="00F90A54">
        <w:rPr>
          <w:rFonts w:ascii="Garamond" w:hAnsi="Garamond"/>
        </w:rPr>
        <w:t xml:space="preserve">then </w:t>
      </w:r>
      <w:r w:rsidR="007B4FED" w:rsidRPr="00F90A54">
        <w:rPr>
          <w:rFonts w:ascii="Garamond" w:hAnsi="Garamond"/>
        </w:rPr>
        <w:lastRenderedPageBreak/>
        <w:t xml:space="preserve">need to </w:t>
      </w:r>
      <w:r w:rsidR="00971294" w:rsidRPr="00F90A54">
        <w:rPr>
          <w:rFonts w:ascii="Garamond" w:hAnsi="Garamond"/>
        </w:rPr>
        <w:t xml:space="preserve">spend time and resources </w:t>
      </w:r>
      <w:r w:rsidR="007B4FED" w:rsidRPr="00F90A54">
        <w:rPr>
          <w:rFonts w:ascii="Garamond" w:hAnsi="Garamond"/>
        </w:rPr>
        <w:t>respond</w:t>
      </w:r>
      <w:r w:rsidR="00971294" w:rsidRPr="00F90A54">
        <w:rPr>
          <w:rFonts w:ascii="Garamond" w:hAnsi="Garamond"/>
        </w:rPr>
        <w:t>ing</w:t>
      </w:r>
      <w:r w:rsidR="007B4FED" w:rsidRPr="00F90A54">
        <w:rPr>
          <w:rFonts w:ascii="Garamond" w:hAnsi="Garamond"/>
        </w:rPr>
        <w:t xml:space="preserve"> to those </w:t>
      </w:r>
      <w:r w:rsidR="00971294" w:rsidRPr="00F90A54">
        <w:rPr>
          <w:rFonts w:ascii="Garamond" w:hAnsi="Garamond"/>
        </w:rPr>
        <w:t>contributions.</w:t>
      </w:r>
      <w:r w:rsidR="007B4FED" w:rsidRPr="00F90A54">
        <w:rPr>
          <w:rFonts w:ascii="Garamond" w:hAnsi="Garamond"/>
        </w:rPr>
        <w:t xml:space="preserve"> </w:t>
      </w:r>
      <w:r w:rsidR="00971294" w:rsidRPr="00F90A54">
        <w:rPr>
          <w:rFonts w:ascii="Garamond" w:hAnsi="Garamond"/>
        </w:rPr>
        <w:t>A</w:t>
      </w:r>
      <w:r w:rsidR="007B4FED" w:rsidRPr="00F90A54">
        <w:rPr>
          <w:rFonts w:ascii="Garamond" w:hAnsi="Garamond"/>
        </w:rPr>
        <w:t>nd the court would need to</w:t>
      </w:r>
      <w:r w:rsidR="00451E82" w:rsidRPr="00F90A54">
        <w:rPr>
          <w:rFonts w:ascii="Garamond" w:hAnsi="Garamond"/>
        </w:rPr>
        <w:t xml:space="preserve"> spend its own institutional resources</w:t>
      </w:r>
      <w:r w:rsidR="007B4FED" w:rsidRPr="00F90A54">
        <w:rPr>
          <w:rFonts w:ascii="Garamond" w:hAnsi="Garamond"/>
        </w:rPr>
        <w:t xml:space="preserve"> process</w:t>
      </w:r>
      <w:r w:rsidR="00451E82" w:rsidRPr="00F90A54">
        <w:rPr>
          <w:rFonts w:ascii="Garamond" w:hAnsi="Garamond"/>
        </w:rPr>
        <w:t>ing</w:t>
      </w:r>
      <w:r w:rsidR="007B4FED" w:rsidRPr="00F90A54">
        <w:rPr>
          <w:rFonts w:ascii="Garamond" w:hAnsi="Garamond"/>
        </w:rPr>
        <w:t xml:space="preserve"> and consider</w:t>
      </w:r>
      <w:r w:rsidR="00451E82" w:rsidRPr="00F90A54">
        <w:rPr>
          <w:rFonts w:ascii="Garamond" w:hAnsi="Garamond"/>
        </w:rPr>
        <w:t>ing</w:t>
      </w:r>
      <w:r w:rsidR="007B4FED" w:rsidRPr="00F90A54">
        <w:rPr>
          <w:rFonts w:ascii="Garamond" w:hAnsi="Garamond"/>
        </w:rPr>
        <w:t xml:space="preserve"> </w:t>
      </w:r>
      <w:r w:rsidR="00451E82" w:rsidRPr="00F90A54">
        <w:rPr>
          <w:rFonts w:ascii="Garamond" w:hAnsi="Garamond"/>
        </w:rPr>
        <w:t>them</w:t>
      </w:r>
      <w:r w:rsidR="007B4FED" w:rsidRPr="00F90A54">
        <w:rPr>
          <w:rFonts w:ascii="Garamond" w:hAnsi="Garamond"/>
        </w:rPr>
        <w:t xml:space="preserve">. </w:t>
      </w:r>
      <w:r w:rsidR="006352DD" w:rsidRPr="00F90A54">
        <w:rPr>
          <w:rFonts w:ascii="Garamond" w:hAnsi="Garamond"/>
        </w:rPr>
        <w:t>But limited intervention would strike a better balance</w:t>
      </w:r>
      <w:r w:rsidR="007C07E4" w:rsidRPr="00F90A54">
        <w:rPr>
          <w:rFonts w:ascii="Garamond" w:hAnsi="Garamond"/>
        </w:rPr>
        <w:t xml:space="preserve"> </w:t>
      </w:r>
      <w:r w:rsidR="006352DD" w:rsidRPr="00F90A54">
        <w:rPr>
          <w:rFonts w:ascii="Garamond" w:hAnsi="Garamond"/>
        </w:rPr>
        <w:t xml:space="preserve">than the current judicial practice of leaving affected outsiders in the cold. </w:t>
      </w:r>
    </w:p>
    <w:p w14:paraId="6F0FF485" w14:textId="7F78295E" w:rsidR="00554083" w:rsidRPr="00F90A54" w:rsidRDefault="007C07E4" w:rsidP="001F4A3F">
      <w:pPr>
        <w:ind w:firstLine="360"/>
        <w:jc w:val="both"/>
        <w:rPr>
          <w:rFonts w:ascii="Garamond" w:hAnsi="Garamond"/>
        </w:rPr>
      </w:pPr>
      <w:r w:rsidRPr="00F90A54">
        <w:rPr>
          <w:rFonts w:ascii="Garamond" w:hAnsi="Garamond"/>
        </w:rPr>
        <w:t xml:space="preserve">What’s more, remedial intervention also may increase the quality and legitimacy </w:t>
      </w:r>
      <w:r w:rsidR="00C50452" w:rsidRPr="00F90A54">
        <w:rPr>
          <w:rFonts w:ascii="Garamond" w:hAnsi="Garamond"/>
        </w:rPr>
        <w:t>of the court’s judgment</w:t>
      </w:r>
      <w:r w:rsidR="005F7D34" w:rsidRPr="00F90A54">
        <w:rPr>
          <w:rFonts w:ascii="Garamond" w:hAnsi="Garamond"/>
        </w:rPr>
        <w:t xml:space="preserve">. </w:t>
      </w:r>
      <w:r w:rsidR="00151990" w:rsidRPr="00F90A54">
        <w:rPr>
          <w:rFonts w:ascii="Garamond" w:hAnsi="Garamond"/>
        </w:rPr>
        <w:t xml:space="preserve">Intervenors </w:t>
      </w:r>
      <w:r w:rsidR="00EB0A09">
        <w:rPr>
          <w:rFonts w:ascii="Garamond" w:hAnsi="Garamond"/>
        </w:rPr>
        <w:t>can</w:t>
      </w:r>
      <w:r w:rsidR="00151990" w:rsidRPr="00F90A54">
        <w:rPr>
          <w:rFonts w:ascii="Garamond" w:hAnsi="Garamond"/>
        </w:rPr>
        <w:t xml:space="preserve"> provide the c</w:t>
      </w:r>
      <w:r w:rsidR="005F7D34" w:rsidRPr="00F90A54">
        <w:rPr>
          <w:rFonts w:ascii="Garamond" w:hAnsi="Garamond"/>
        </w:rPr>
        <w:t xml:space="preserve">ourt </w:t>
      </w:r>
      <w:r w:rsidR="00151990" w:rsidRPr="00F90A54">
        <w:rPr>
          <w:rFonts w:ascii="Garamond" w:hAnsi="Garamond"/>
        </w:rPr>
        <w:t xml:space="preserve">with </w:t>
      </w:r>
      <w:r w:rsidR="005F7D34" w:rsidRPr="00F90A54">
        <w:rPr>
          <w:rFonts w:ascii="Garamond" w:hAnsi="Garamond"/>
        </w:rPr>
        <w:t>more information about the full scope of a nationwide injunction’s affects</w:t>
      </w:r>
      <w:r w:rsidR="00405C91" w:rsidRPr="00F90A54">
        <w:rPr>
          <w:rFonts w:ascii="Garamond" w:hAnsi="Garamond"/>
        </w:rPr>
        <w:t xml:space="preserve">, increasing </w:t>
      </w:r>
      <w:r w:rsidR="00DC6777" w:rsidRPr="00F90A54">
        <w:rPr>
          <w:rFonts w:ascii="Garamond" w:hAnsi="Garamond"/>
        </w:rPr>
        <w:t xml:space="preserve">confidence that </w:t>
      </w:r>
      <w:r w:rsidR="007C7164" w:rsidRPr="00F90A54">
        <w:rPr>
          <w:rFonts w:ascii="Garamond" w:hAnsi="Garamond"/>
        </w:rPr>
        <w:t xml:space="preserve">when courts enjoin government actions nationwide that remedy </w:t>
      </w:r>
      <w:r w:rsidR="007F75BC" w:rsidRPr="00F90A54">
        <w:rPr>
          <w:rFonts w:ascii="Garamond" w:hAnsi="Garamond"/>
        </w:rPr>
        <w:t>i</w:t>
      </w:r>
      <w:r w:rsidR="00DC6777" w:rsidRPr="00F90A54">
        <w:rPr>
          <w:rFonts w:ascii="Garamond" w:hAnsi="Garamond"/>
        </w:rPr>
        <w:t>s truly tailored to avoid accidentally sweeping in related interests.</w:t>
      </w:r>
      <w:r w:rsidR="00346476" w:rsidRPr="00F90A54">
        <w:rPr>
          <w:rStyle w:val="FootnoteReference"/>
          <w:rFonts w:ascii="Garamond" w:hAnsi="Garamond"/>
        </w:rPr>
        <w:footnoteReference w:id="363"/>
      </w:r>
      <w:r w:rsidR="00DC6777" w:rsidRPr="00F90A54">
        <w:rPr>
          <w:rFonts w:ascii="Garamond" w:hAnsi="Garamond"/>
        </w:rPr>
        <w:t xml:space="preserve"> </w:t>
      </w:r>
      <w:r w:rsidR="004B5BFE" w:rsidRPr="00F90A54">
        <w:rPr>
          <w:rFonts w:ascii="Garamond" w:hAnsi="Garamond"/>
        </w:rPr>
        <w:t>That information would also provide a fuller record for appellate review</w:t>
      </w:r>
      <w:r w:rsidR="007F75BC" w:rsidRPr="00F90A54">
        <w:rPr>
          <w:rFonts w:ascii="Garamond" w:hAnsi="Garamond"/>
        </w:rPr>
        <w:t xml:space="preserve">, </w:t>
      </w:r>
      <w:r w:rsidR="00823C58" w:rsidRPr="00F90A54">
        <w:rPr>
          <w:rFonts w:ascii="Garamond" w:hAnsi="Garamond"/>
        </w:rPr>
        <w:t>potentially avoiding costly remands for district courts to develop the record justifying a nationwide injunction.</w:t>
      </w:r>
      <w:r w:rsidR="006D16BF" w:rsidRPr="00F90A54">
        <w:rPr>
          <w:rStyle w:val="FootnoteReference"/>
          <w:rFonts w:ascii="Garamond" w:hAnsi="Garamond"/>
        </w:rPr>
        <w:footnoteReference w:id="364"/>
      </w:r>
    </w:p>
    <w:p w14:paraId="3959CF50" w14:textId="1DB00A47" w:rsidR="00D026FE" w:rsidRPr="00F90A54" w:rsidRDefault="004C7417" w:rsidP="001F4A3F">
      <w:pPr>
        <w:ind w:firstLine="360"/>
        <w:jc w:val="both"/>
        <w:rPr>
          <w:rFonts w:ascii="Garamond" w:hAnsi="Garamond"/>
        </w:rPr>
      </w:pPr>
      <w:r w:rsidRPr="00F90A54">
        <w:rPr>
          <w:rFonts w:ascii="Garamond" w:hAnsi="Garamond"/>
        </w:rPr>
        <w:t xml:space="preserve">One might question whether outsiders </w:t>
      </w:r>
      <w:r w:rsidR="00EB0A09">
        <w:rPr>
          <w:rFonts w:ascii="Garamond" w:hAnsi="Garamond"/>
        </w:rPr>
        <w:t>can</w:t>
      </w:r>
      <w:r w:rsidRPr="00F90A54">
        <w:rPr>
          <w:rFonts w:ascii="Garamond" w:hAnsi="Garamond"/>
        </w:rPr>
        <w:t xml:space="preserve"> participate without the resulting costs to the parties and the court by submitting amicus curiae briefs. </w:t>
      </w:r>
      <w:r w:rsidR="0054209B" w:rsidRPr="00F90A54">
        <w:rPr>
          <w:rFonts w:ascii="Garamond" w:hAnsi="Garamond"/>
        </w:rPr>
        <w:t xml:space="preserve">But it is not clear that this change in status would </w:t>
      </w:r>
      <w:r w:rsidR="00C92686" w:rsidRPr="00F90A54">
        <w:rPr>
          <w:rFonts w:ascii="Garamond" w:hAnsi="Garamond"/>
        </w:rPr>
        <w:t>reduce th</w:t>
      </w:r>
      <w:r w:rsidR="00556945" w:rsidRPr="00F90A54">
        <w:rPr>
          <w:rFonts w:ascii="Garamond" w:hAnsi="Garamond"/>
        </w:rPr>
        <w:t>ose</w:t>
      </w:r>
      <w:r w:rsidR="00C92686" w:rsidRPr="00F90A54">
        <w:rPr>
          <w:rFonts w:ascii="Garamond" w:hAnsi="Garamond"/>
        </w:rPr>
        <w:t xml:space="preserve"> costs. The parties and the court would still need to consider and respond to the arguments raised by the nonparties as amici. </w:t>
      </w:r>
      <w:r w:rsidR="00D026FE" w:rsidRPr="00F90A54">
        <w:rPr>
          <w:rFonts w:ascii="Garamond" w:hAnsi="Garamond"/>
        </w:rPr>
        <w:t>Otherwise,</w:t>
      </w:r>
      <w:r w:rsidR="00C54967" w:rsidRPr="00F90A54">
        <w:rPr>
          <w:rFonts w:ascii="Garamond" w:hAnsi="Garamond"/>
        </w:rPr>
        <w:t xml:space="preserve"> the amicus process </w:t>
      </w:r>
      <w:r w:rsidR="004655A9" w:rsidRPr="00F90A54">
        <w:rPr>
          <w:rFonts w:ascii="Garamond" w:hAnsi="Garamond"/>
        </w:rPr>
        <w:t>would fail to provide the nonparties with a meaningful opportunity to participate at a stag</w:t>
      </w:r>
      <w:r w:rsidR="000F4B8E" w:rsidRPr="00F90A54">
        <w:rPr>
          <w:rFonts w:ascii="Garamond" w:hAnsi="Garamond"/>
        </w:rPr>
        <w:t>e</w:t>
      </w:r>
      <w:r w:rsidR="004655A9" w:rsidRPr="00F90A54">
        <w:rPr>
          <w:rFonts w:ascii="Garamond" w:hAnsi="Garamond"/>
        </w:rPr>
        <w:t xml:space="preserve"> that affected their interests.</w:t>
      </w:r>
      <w:r w:rsidR="00D026FE" w:rsidRPr="00F90A54">
        <w:rPr>
          <w:rFonts w:ascii="Garamond" w:hAnsi="Garamond"/>
        </w:rPr>
        <w:t xml:space="preserve"> Amicus status also does not guarantee th</w:t>
      </w:r>
      <w:r w:rsidR="00B825EB" w:rsidRPr="00F90A54">
        <w:rPr>
          <w:rFonts w:ascii="Garamond" w:hAnsi="Garamond"/>
        </w:rPr>
        <w:t>at</w:t>
      </w:r>
      <w:r w:rsidR="00D026FE" w:rsidRPr="00F90A54">
        <w:rPr>
          <w:rFonts w:ascii="Garamond" w:hAnsi="Garamond"/>
        </w:rPr>
        <w:t xml:space="preserve"> the nonparties will be able to supplement the existing record or appeal an overbroad injunction</w:t>
      </w:r>
      <w:r w:rsidR="00EF7209" w:rsidRPr="00F90A54">
        <w:rPr>
          <w:rFonts w:ascii="Garamond" w:hAnsi="Garamond"/>
        </w:rPr>
        <w:t xml:space="preserve">—two opportunities that are key to a meaningful defense of their </w:t>
      </w:r>
      <w:r w:rsidR="00ED3195" w:rsidRPr="00F90A54">
        <w:rPr>
          <w:rFonts w:ascii="Garamond" w:hAnsi="Garamond"/>
        </w:rPr>
        <w:t>interests</w:t>
      </w:r>
      <w:r w:rsidR="00B825EB" w:rsidRPr="00F90A54">
        <w:rPr>
          <w:rFonts w:ascii="Garamond" w:hAnsi="Garamond"/>
        </w:rPr>
        <w:t>.</w:t>
      </w:r>
      <w:r w:rsidR="00D026FE" w:rsidRPr="00F90A54">
        <w:rPr>
          <w:rFonts w:ascii="Garamond" w:hAnsi="Garamond"/>
        </w:rPr>
        <w:t xml:space="preserve"> </w:t>
      </w:r>
    </w:p>
    <w:p w14:paraId="4265C2C0" w14:textId="77C3C08E" w:rsidR="00D3393E" w:rsidRPr="00F90A54" w:rsidRDefault="007B0419" w:rsidP="001F4A3F">
      <w:pPr>
        <w:ind w:firstLine="360"/>
        <w:jc w:val="both"/>
        <w:rPr>
          <w:rFonts w:ascii="Garamond" w:hAnsi="Garamond"/>
        </w:rPr>
      </w:pPr>
      <w:r w:rsidRPr="00F90A54">
        <w:rPr>
          <w:rFonts w:ascii="Garamond" w:hAnsi="Garamond"/>
        </w:rPr>
        <w:t xml:space="preserve">Another fair </w:t>
      </w:r>
      <w:r w:rsidR="00BA66A3" w:rsidRPr="00F90A54">
        <w:rPr>
          <w:rFonts w:ascii="Garamond" w:hAnsi="Garamond"/>
        </w:rPr>
        <w:t>objection</w:t>
      </w:r>
      <w:r w:rsidRPr="00F90A54">
        <w:rPr>
          <w:rFonts w:ascii="Garamond" w:hAnsi="Garamond"/>
        </w:rPr>
        <w:t xml:space="preserve"> might be</w:t>
      </w:r>
      <w:r w:rsidR="001A1F09" w:rsidRPr="00F90A54">
        <w:rPr>
          <w:rFonts w:ascii="Garamond" w:hAnsi="Garamond"/>
        </w:rPr>
        <w:t xml:space="preserve"> logistical.</w:t>
      </w:r>
      <w:r w:rsidRPr="00F90A54">
        <w:rPr>
          <w:rFonts w:ascii="Garamond" w:hAnsi="Garamond"/>
        </w:rPr>
        <w:t xml:space="preserve"> </w:t>
      </w:r>
      <w:r w:rsidR="007662CD" w:rsidRPr="00F90A54">
        <w:rPr>
          <w:rFonts w:ascii="Garamond" w:hAnsi="Garamond"/>
        </w:rPr>
        <w:t xml:space="preserve">First, nationwide-injunction cases are often fast-moving. The stage that matters the most is frequently whether to issue a preliminary injunction or a </w:t>
      </w:r>
      <w:r w:rsidR="00EB0A09">
        <w:rPr>
          <w:rFonts w:ascii="Garamond" w:hAnsi="Garamond"/>
        </w:rPr>
        <w:t>temporary restraining order</w:t>
      </w:r>
      <w:r w:rsidR="007662CD" w:rsidRPr="00F90A54">
        <w:rPr>
          <w:rFonts w:ascii="Garamond" w:hAnsi="Garamond"/>
        </w:rPr>
        <w:t xml:space="preserve">, and courts </w:t>
      </w:r>
      <w:r w:rsidR="00EB0A09">
        <w:rPr>
          <w:rFonts w:ascii="Garamond" w:hAnsi="Garamond"/>
        </w:rPr>
        <w:t xml:space="preserve">often consider the merits and the scope of the remedy simultaneously. </w:t>
      </w:r>
      <w:r w:rsidR="007662CD" w:rsidRPr="00F90A54">
        <w:rPr>
          <w:rFonts w:ascii="Garamond" w:hAnsi="Garamond"/>
        </w:rPr>
        <w:t xml:space="preserve">It’s unclear that this timeline would provide outsiders with </w:t>
      </w:r>
      <w:r w:rsidR="00EB0A09">
        <w:rPr>
          <w:rFonts w:ascii="Garamond" w:hAnsi="Garamond"/>
        </w:rPr>
        <w:t>a chance</w:t>
      </w:r>
      <w:r w:rsidR="007662CD" w:rsidRPr="00F90A54">
        <w:rPr>
          <w:rFonts w:ascii="Garamond" w:hAnsi="Garamond"/>
        </w:rPr>
        <w:t xml:space="preserve"> to </w:t>
      </w:r>
      <w:r w:rsidR="00F203BC">
        <w:rPr>
          <w:rFonts w:ascii="Garamond" w:hAnsi="Garamond"/>
        </w:rPr>
        <w:t xml:space="preserve">discover the case </w:t>
      </w:r>
      <w:r w:rsidR="007662CD" w:rsidRPr="00F90A54">
        <w:rPr>
          <w:rFonts w:ascii="Garamond" w:hAnsi="Garamond"/>
        </w:rPr>
        <w:t>or file motion</w:t>
      </w:r>
      <w:r w:rsidR="00F203BC">
        <w:rPr>
          <w:rFonts w:ascii="Garamond" w:hAnsi="Garamond"/>
        </w:rPr>
        <w:t>s</w:t>
      </w:r>
      <w:r w:rsidR="007662CD" w:rsidRPr="00F90A54">
        <w:rPr>
          <w:rFonts w:ascii="Garamond" w:hAnsi="Garamond"/>
        </w:rPr>
        <w:t xml:space="preserve"> to intervene before </w:t>
      </w:r>
      <w:r w:rsidR="00F203BC">
        <w:rPr>
          <w:rFonts w:ascii="Garamond" w:hAnsi="Garamond"/>
        </w:rPr>
        <w:t xml:space="preserve">the court entered </w:t>
      </w:r>
      <w:r w:rsidR="007662CD" w:rsidRPr="00F90A54">
        <w:rPr>
          <w:rFonts w:ascii="Garamond" w:hAnsi="Garamond"/>
        </w:rPr>
        <w:t xml:space="preserve">a consequential injunction. </w:t>
      </w:r>
      <w:r w:rsidR="000F0227" w:rsidRPr="00F90A54">
        <w:rPr>
          <w:rFonts w:ascii="Garamond" w:hAnsi="Garamond"/>
        </w:rPr>
        <w:t>Second, if nonparties can file in time, it might be impracticable for courts to meaningfully consider each interest. A</w:t>
      </w:r>
      <w:r w:rsidR="00805A33" w:rsidRPr="00F90A54">
        <w:rPr>
          <w:rFonts w:ascii="Garamond" w:hAnsi="Garamond"/>
        </w:rPr>
        <w:t xml:space="preserve"> court flooded with individual intervention motions might find it exceedingly difficult to parse the various interests asserted, categorize who might be adequately represented </w:t>
      </w:r>
      <w:r w:rsidR="00805A33" w:rsidRPr="00F90A54">
        <w:rPr>
          <w:rFonts w:ascii="Garamond" w:hAnsi="Garamond"/>
        </w:rPr>
        <w:lastRenderedPageBreak/>
        <w:t>by other individuals asserting the same interest, and still adjudicate the remedy as presented by the original parties.</w:t>
      </w:r>
      <w:r w:rsidR="00CE1BD7" w:rsidRPr="00F90A54">
        <w:rPr>
          <w:rFonts w:ascii="Garamond" w:hAnsi="Garamond"/>
        </w:rPr>
        <w:t xml:space="preserve"> </w:t>
      </w:r>
    </w:p>
    <w:p w14:paraId="3358A3ED" w14:textId="7C2272B1" w:rsidR="0044519D" w:rsidRPr="00F90A54" w:rsidRDefault="000057C5" w:rsidP="001F4A3F">
      <w:pPr>
        <w:ind w:firstLine="360"/>
        <w:jc w:val="both"/>
        <w:rPr>
          <w:rFonts w:ascii="Garamond" w:hAnsi="Garamond"/>
        </w:rPr>
      </w:pPr>
      <w:r w:rsidRPr="00F90A54">
        <w:rPr>
          <w:rFonts w:ascii="Garamond" w:hAnsi="Garamond"/>
        </w:rPr>
        <w:t xml:space="preserve">As to the speed of the litigation, it is worth emphasizing that </w:t>
      </w:r>
      <w:r w:rsidR="009C2632" w:rsidRPr="00F90A54">
        <w:rPr>
          <w:rFonts w:ascii="Garamond" w:hAnsi="Garamond"/>
        </w:rPr>
        <w:t>n</w:t>
      </w:r>
      <w:r w:rsidR="000F0227" w:rsidRPr="00F90A54">
        <w:rPr>
          <w:rFonts w:ascii="Garamond" w:hAnsi="Garamond"/>
        </w:rPr>
        <w:t xml:space="preserve">othing about limited intervention requires </w:t>
      </w:r>
      <w:r w:rsidRPr="00F90A54">
        <w:rPr>
          <w:rFonts w:ascii="Garamond" w:hAnsi="Garamond"/>
        </w:rPr>
        <w:t xml:space="preserve">nonparties </w:t>
      </w:r>
      <w:r w:rsidR="000F0227" w:rsidRPr="00F90A54">
        <w:rPr>
          <w:rFonts w:ascii="Garamond" w:hAnsi="Garamond"/>
        </w:rPr>
        <w:t>to wait until the remedy stage occurs</w:t>
      </w:r>
      <w:r w:rsidR="00532BE3" w:rsidRPr="00F90A54">
        <w:rPr>
          <w:rFonts w:ascii="Garamond" w:hAnsi="Garamond"/>
        </w:rPr>
        <w:t xml:space="preserve"> to </w:t>
      </w:r>
      <w:r w:rsidR="000F0227" w:rsidRPr="00F90A54">
        <w:rPr>
          <w:rFonts w:ascii="Garamond" w:hAnsi="Garamond"/>
        </w:rPr>
        <w:t>express their interests in participating</w:t>
      </w:r>
      <w:r w:rsidR="00532BE3" w:rsidRPr="00F90A54">
        <w:rPr>
          <w:rFonts w:ascii="Garamond" w:hAnsi="Garamond"/>
        </w:rPr>
        <w:t xml:space="preserve">. Nor do they need to wait for a separate briefing schedule to articulate the </w:t>
      </w:r>
      <w:r w:rsidR="000F0227" w:rsidRPr="00F90A54">
        <w:rPr>
          <w:rFonts w:ascii="Garamond" w:hAnsi="Garamond"/>
        </w:rPr>
        <w:t>arguments and evidence the</w:t>
      </w:r>
      <w:r w:rsidR="00934744" w:rsidRPr="00F90A54">
        <w:rPr>
          <w:rFonts w:ascii="Garamond" w:hAnsi="Garamond"/>
        </w:rPr>
        <w:t>y</w:t>
      </w:r>
      <w:r w:rsidR="000F0227" w:rsidRPr="00F90A54">
        <w:rPr>
          <w:rFonts w:ascii="Garamond" w:hAnsi="Garamond"/>
        </w:rPr>
        <w:t xml:space="preserve"> want the court to consider</w:t>
      </w:r>
      <w:r w:rsidR="00F62CD5" w:rsidRPr="00F90A54">
        <w:rPr>
          <w:rFonts w:ascii="Garamond" w:hAnsi="Garamond"/>
        </w:rPr>
        <w:t xml:space="preserve"> in crafting a remedy</w:t>
      </w:r>
      <w:r w:rsidR="006D5C9B" w:rsidRPr="00F90A54">
        <w:rPr>
          <w:rFonts w:ascii="Garamond" w:hAnsi="Garamond"/>
        </w:rPr>
        <w:t>; r</w:t>
      </w:r>
      <w:r w:rsidR="00532BE3" w:rsidRPr="00F90A54">
        <w:rPr>
          <w:rFonts w:ascii="Garamond" w:hAnsi="Garamond"/>
        </w:rPr>
        <w:t>ule 24(c) requires intervenors to attach a pleading that sets out their claim or defense for which intervention is sought.</w:t>
      </w:r>
      <w:r w:rsidR="00532BE3" w:rsidRPr="00F90A54">
        <w:rPr>
          <w:rStyle w:val="FootnoteReference"/>
          <w:rFonts w:ascii="Garamond" w:hAnsi="Garamond"/>
        </w:rPr>
        <w:footnoteReference w:id="365"/>
      </w:r>
      <w:r w:rsidR="00532BE3" w:rsidRPr="00F90A54">
        <w:rPr>
          <w:rFonts w:ascii="Garamond" w:hAnsi="Garamond"/>
        </w:rPr>
        <w:t xml:space="preserve"> </w:t>
      </w:r>
      <w:r w:rsidR="00540E2D" w:rsidRPr="00F90A54">
        <w:rPr>
          <w:rFonts w:ascii="Garamond" w:hAnsi="Garamond"/>
        </w:rPr>
        <w:t xml:space="preserve">And courts routinely accept early intervention by parties who then wait on the sidelines </w:t>
      </w:r>
      <w:r w:rsidR="003D7771" w:rsidRPr="00F90A54">
        <w:rPr>
          <w:rFonts w:ascii="Garamond" w:hAnsi="Garamond"/>
        </w:rPr>
        <w:t>until the</w:t>
      </w:r>
      <w:r w:rsidR="008305B8" w:rsidRPr="00F90A54">
        <w:rPr>
          <w:rFonts w:ascii="Garamond" w:hAnsi="Garamond"/>
        </w:rPr>
        <w:t xml:space="preserve"> basis for their intervention is </w:t>
      </w:r>
      <w:r w:rsidR="003D7771" w:rsidRPr="00F90A54">
        <w:rPr>
          <w:rFonts w:ascii="Garamond" w:hAnsi="Garamond"/>
        </w:rPr>
        <w:t>triggered</w:t>
      </w:r>
      <w:r w:rsidR="00295D33" w:rsidRPr="00F90A54">
        <w:rPr>
          <w:rFonts w:ascii="Garamond" w:hAnsi="Garamond"/>
        </w:rPr>
        <w:t xml:space="preserve">. </w:t>
      </w:r>
    </w:p>
    <w:p w14:paraId="7B9C820A" w14:textId="28C13FC2" w:rsidR="00185B10" w:rsidRPr="00F90A54" w:rsidRDefault="00934744" w:rsidP="001F4A3F">
      <w:pPr>
        <w:ind w:firstLine="360"/>
        <w:jc w:val="both"/>
        <w:rPr>
          <w:rFonts w:ascii="Garamond" w:hAnsi="Garamond"/>
        </w:rPr>
      </w:pPr>
      <w:r w:rsidRPr="00F90A54">
        <w:rPr>
          <w:rFonts w:ascii="Garamond" w:hAnsi="Garamond"/>
        </w:rPr>
        <w:t xml:space="preserve">The intervenors in </w:t>
      </w:r>
      <w:r w:rsidRPr="00F90A54">
        <w:rPr>
          <w:rFonts w:ascii="Garamond" w:hAnsi="Garamond"/>
          <w:i/>
          <w:iCs/>
        </w:rPr>
        <w:t xml:space="preserve">Louisiana </w:t>
      </w:r>
      <w:r w:rsidRPr="00F90A54">
        <w:rPr>
          <w:rFonts w:ascii="Garamond" w:hAnsi="Garamond"/>
        </w:rPr>
        <w:t>provide an example of how remedi</w:t>
      </w:r>
      <w:r w:rsidR="001C5A54" w:rsidRPr="00F90A54">
        <w:rPr>
          <w:rFonts w:ascii="Garamond" w:hAnsi="Garamond"/>
        </w:rPr>
        <w:t xml:space="preserve">al intervention might be possible in fast-moving cases. The plaintiff states sought both a </w:t>
      </w:r>
      <w:r w:rsidR="0044519D" w:rsidRPr="00F90A54">
        <w:rPr>
          <w:rFonts w:ascii="Garamond" w:hAnsi="Garamond"/>
        </w:rPr>
        <w:t xml:space="preserve">nationwide </w:t>
      </w:r>
      <w:r w:rsidR="001C5A54" w:rsidRPr="00F90A54">
        <w:rPr>
          <w:rFonts w:ascii="Garamond" w:hAnsi="Garamond"/>
        </w:rPr>
        <w:t xml:space="preserve">TRO and a </w:t>
      </w:r>
      <w:r w:rsidR="0044519D" w:rsidRPr="00F90A54">
        <w:rPr>
          <w:rFonts w:ascii="Garamond" w:hAnsi="Garamond"/>
        </w:rPr>
        <w:t xml:space="preserve">nationwide </w:t>
      </w:r>
      <w:r w:rsidR="001C5A54" w:rsidRPr="00F90A54">
        <w:rPr>
          <w:rFonts w:ascii="Garamond" w:hAnsi="Garamond"/>
        </w:rPr>
        <w:t xml:space="preserve">preliminary injunction. </w:t>
      </w:r>
      <w:r w:rsidR="003455F1" w:rsidRPr="00F90A54">
        <w:rPr>
          <w:rFonts w:ascii="Garamond" w:hAnsi="Garamond"/>
        </w:rPr>
        <w:t xml:space="preserve">The court received the parties’ briefs and granted a TRO for two weeks. </w:t>
      </w:r>
      <w:r w:rsidR="00611122" w:rsidRPr="00F90A54">
        <w:rPr>
          <w:rFonts w:ascii="Garamond" w:hAnsi="Garamond"/>
        </w:rPr>
        <w:t xml:space="preserve">The parties then submitted their briefs on the preliminary injunction, </w:t>
      </w:r>
      <w:r w:rsidR="000C22EC" w:rsidRPr="00F90A54">
        <w:rPr>
          <w:rFonts w:ascii="Garamond" w:hAnsi="Garamond"/>
        </w:rPr>
        <w:t xml:space="preserve">where the </w:t>
      </w:r>
      <w:r w:rsidR="00082EAC" w:rsidRPr="00F90A54">
        <w:rPr>
          <w:rFonts w:ascii="Garamond" w:hAnsi="Garamond"/>
        </w:rPr>
        <w:t xml:space="preserve">federal </w:t>
      </w:r>
      <w:r w:rsidR="000C22EC" w:rsidRPr="00F90A54">
        <w:rPr>
          <w:rFonts w:ascii="Garamond" w:hAnsi="Garamond"/>
        </w:rPr>
        <w:t xml:space="preserve">government </w:t>
      </w:r>
      <w:r w:rsidR="00B77CBE" w:rsidRPr="00F90A54">
        <w:rPr>
          <w:rFonts w:ascii="Garamond" w:hAnsi="Garamond"/>
        </w:rPr>
        <w:t xml:space="preserve">defendants </w:t>
      </w:r>
      <w:r w:rsidR="000C22EC" w:rsidRPr="00F90A54">
        <w:rPr>
          <w:rFonts w:ascii="Garamond" w:hAnsi="Garamond"/>
        </w:rPr>
        <w:t xml:space="preserve">chose not to object to a nationwide injunction should the plaintiffs satisfy the requirements for injunctive relief. </w:t>
      </w:r>
      <w:r w:rsidR="00611122" w:rsidRPr="00F90A54">
        <w:rPr>
          <w:rFonts w:ascii="Garamond" w:hAnsi="Garamond"/>
        </w:rPr>
        <w:t xml:space="preserve">On the same day that the plaintiffs filed their reply, the organization and individuals </w:t>
      </w:r>
      <w:r w:rsidR="00426DBC" w:rsidRPr="00F90A54">
        <w:rPr>
          <w:rFonts w:ascii="Garamond" w:hAnsi="Garamond"/>
        </w:rPr>
        <w:t xml:space="preserve">moved </w:t>
      </w:r>
      <w:r w:rsidR="00611122" w:rsidRPr="00F90A54">
        <w:rPr>
          <w:rFonts w:ascii="Garamond" w:hAnsi="Garamond"/>
        </w:rPr>
        <w:t xml:space="preserve">to intervene to oppose </w:t>
      </w:r>
      <w:r w:rsidR="00552A04" w:rsidRPr="00F90A54">
        <w:rPr>
          <w:rFonts w:ascii="Garamond" w:hAnsi="Garamond"/>
        </w:rPr>
        <w:t>the</w:t>
      </w:r>
      <w:r w:rsidR="00611122" w:rsidRPr="00F90A54">
        <w:rPr>
          <w:rFonts w:ascii="Garamond" w:hAnsi="Garamond"/>
        </w:rPr>
        <w:t xml:space="preserve"> nationwide </w:t>
      </w:r>
      <w:r w:rsidR="00552A04" w:rsidRPr="00F90A54">
        <w:rPr>
          <w:rFonts w:ascii="Garamond" w:hAnsi="Garamond"/>
        </w:rPr>
        <w:t xml:space="preserve">scope of the </w:t>
      </w:r>
      <w:r w:rsidR="00611122" w:rsidRPr="00F90A54">
        <w:rPr>
          <w:rFonts w:ascii="Garamond" w:hAnsi="Garamond"/>
        </w:rPr>
        <w:t xml:space="preserve">injunction. </w:t>
      </w:r>
      <w:r w:rsidR="00D879D0" w:rsidRPr="00F90A54">
        <w:rPr>
          <w:rFonts w:ascii="Garamond" w:hAnsi="Garamond"/>
        </w:rPr>
        <w:t>Both original parties objected to their intervention, but neither one asserted that they would be prejudiced by the intervenors’ participation or that they would slow down the litigation.</w:t>
      </w:r>
      <w:r w:rsidR="00D879D0" w:rsidRPr="00F90A54">
        <w:rPr>
          <w:rStyle w:val="FootnoteReference"/>
          <w:rFonts w:ascii="Garamond" w:hAnsi="Garamond"/>
        </w:rPr>
        <w:footnoteReference w:id="366"/>
      </w:r>
      <w:r w:rsidR="00D879D0" w:rsidRPr="00F90A54">
        <w:rPr>
          <w:rFonts w:ascii="Garamond" w:hAnsi="Garamond"/>
        </w:rPr>
        <w:t xml:space="preserve"> </w:t>
      </w:r>
      <w:r w:rsidR="00E40581">
        <w:rPr>
          <w:rFonts w:ascii="Garamond" w:hAnsi="Garamond"/>
        </w:rPr>
        <w:t>T</w:t>
      </w:r>
      <w:r w:rsidR="007637A0" w:rsidRPr="00F90A54">
        <w:rPr>
          <w:rFonts w:ascii="Garamond" w:hAnsi="Garamond"/>
        </w:rPr>
        <w:t>he court denied the intervention moti</w:t>
      </w:r>
      <w:r w:rsidR="00EE28B9" w:rsidRPr="00F90A54">
        <w:rPr>
          <w:rFonts w:ascii="Garamond" w:hAnsi="Garamond"/>
        </w:rPr>
        <w:t>on</w:t>
      </w:r>
      <w:r w:rsidR="0028048D" w:rsidRPr="00F90A54">
        <w:rPr>
          <w:rFonts w:ascii="Garamond" w:hAnsi="Garamond"/>
        </w:rPr>
        <w:t xml:space="preserve">, </w:t>
      </w:r>
      <w:r w:rsidR="00E40581">
        <w:rPr>
          <w:rFonts w:ascii="Garamond" w:hAnsi="Garamond"/>
        </w:rPr>
        <w:t xml:space="preserve">but </w:t>
      </w:r>
      <w:r w:rsidR="00EE28B9" w:rsidRPr="00F90A54">
        <w:rPr>
          <w:rFonts w:ascii="Garamond" w:hAnsi="Garamond"/>
        </w:rPr>
        <w:t xml:space="preserve">it invited the proposed intervenors to </w:t>
      </w:r>
      <w:r w:rsidR="00117EE1" w:rsidRPr="00F90A54">
        <w:rPr>
          <w:rFonts w:ascii="Garamond" w:hAnsi="Garamond"/>
        </w:rPr>
        <w:t>the scheduled hearing</w:t>
      </w:r>
      <w:r w:rsidR="00334E2B" w:rsidRPr="00F90A54">
        <w:rPr>
          <w:rFonts w:ascii="Garamond" w:hAnsi="Garamond"/>
        </w:rPr>
        <w:t xml:space="preserve"> </w:t>
      </w:r>
      <w:r w:rsidR="00117EE1" w:rsidRPr="00F90A54">
        <w:rPr>
          <w:rFonts w:ascii="Garamond" w:hAnsi="Garamond"/>
        </w:rPr>
        <w:t xml:space="preserve">to </w:t>
      </w:r>
      <w:r w:rsidR="00EE28B9" w:rsidRPr="00F90A54">
        <w:rPr>
          <w:rFonts w:ascii="Garamond" w:hAnsi="Garamond"/>
        </w:rPr>
        <w:t xml:space="preserve">present oral argument on the scope of the injunction </w:t>
      </w:r>
      <w:r w:rsidR="0028048D" w:rsidRPr="00F90A54">
        <w:rPr>
          <w:rFonts w:ascii="Garamond" w:hAnsi="Garamond"/>
        </w:rPr>
        <w:t>as amici curiae</w:t>
      </w:r>
      <w:r w:rsidR="00334E2B" w:rsidRPr="00F90A54">
        <w:rPr>
          <w:rFonts w:ascii="Garamond" w:hAnsi="Garamond"/>
        </w:rPr>
        <w:t>. And the court</w:t>
      </w:r>
      <w:r w:rsidR="00EE28B9" w:rsidRPr="00F90A54">
        <w:rPr>
          <w:rFonts w:ascii="Garamond" w:hAnsi="Garamond"/>
        </w:rPr>
        <w:t xml:space="preserve"> responded to their objections in its opinion. </w:t>
      </w:r>
      <w:r w:rsidR="00185B10" w:rsidRPr="00F90A54">
        <w:rPr>
          <w:rFonts w:ascii="Garamond" w:hAnsi="Garamond"/>
        </w:rPr>
        <w:t>This case thus demonstrat</w:t>
      </w:r>
      <w:r w:rsidR="000D446B">
        <w:rPr>
          <w:rFonts w:ascii="Garamond" w:hAnsi="Garamond"/>
        </w:rPr>
        <w:t>es</w:t>
      </w:r>
      <w:r w:rsidR="00185B10" w:rsidRPr="00F90A54">
        <w:rPr>
          <w:rFonts w:ascii="Garamond" w:hAnsi="Garamond"/>
        </w:rPr>
        <w:t xml:space="preserve"> how outsiders can participate in fast-moving cases. Indeed, it is unclear what denying limited intervention accomplished, as the </w:t>
      </w:r>
      <w:r w:rsidR="00DB4AE5" w:rsidRPr="00F90A54">
        <w:rPr>
          <w:rFonts w:ascii="Garamond" w:hAnsi="Garamond"/>
        </w:rPr>
        <w:t>court gave the outsiders the same participation rights as amici that they had sought as intervenors.</w:t>
      </w:r>
    </w:p>
    <w:p w14:paraId="71BE87D9" w14:textId="58AE71EA" w:rsidR="004530A0" w:rsidRPr="00F90A54" w:rsidRDefault="00A00E11" w:rsidP="001F4A3F">
      <w:pPr>
        <w:ind w:firstLine="360"/>
        <w:jc w:val="both"/>
        <w:rPr>
          <w:rFonts w:ascii="Garamond" w:hAnsi="Garamond"/>
        </w:rPr>
      </w:pPr>
      <w:r w:rsidRPr="00F90A54">
        <w:rPr>
          <w:rFonts w:ascii="Garamond" w:hAnsi="Garamond"/>
        </w:rPr>
        <w:t>That</w:t>
      </w:r>
      <w:r w:rsidR="001D12C5" w:rsidRPr="00F90A54">
        <w:rPr>
          <w:rFonts w:ascii="Garamond" w:hAnsi="Garamond"/>
        </w:rPr>
        <w:t xml:space="preserve"> leaves the question whether remedial intervention in nationwide-injunction cases will </w:t>
      </w:r>
      <w:r w:rsidR="00BB1B4F" w:rsidRPr="00F90A54">
        <w:rPr>
          <w:rFonts w:ascii="Garamond" w:hAnsi="Garamond"/>
        </w:rPr>
        <w:t xml:space="preserve">overwhelm the court with </w:t>
      </w:r>
      <w:r w:rsidR="001D12C5" w:rsidRPr="00F90A54">
        <w:rPr>
          <w:rFonts w:ascii="Garamond" w:hAnsi="Garamond"/>
        </w:rPr>
        <w:t xml:space="preserve">nonparty participation. </w:t>
      </w:r>
      <w:r w:rsidR="000A12FC" w:rsidRPr="00F90A54">
        <w:rPr>
          <w:rFonts w:ascii="Garamond" w:hAnsi="Garamond"/>
        </w:rPr>
        <w:t>One straightforward solution would be for the court to decline to consider an injunction that</w:t>
      </w:r>
      <w:r w:rsidR="00BB64FE" w:rsidRPr="00F90A54">
        <w:rPr>
          <w:rFonts w:ascii="Garamond" w:hAnsi="Garamond"/>
        </w:rPr>
        <w:t xml:space="preserve"> applies to nonparties, negating the </w:t>
      </w:r>
      <w:proofErr w:type="gramStart"/>
      <w:r w:rsidR="00BB64FE" w:rsidRPr="00F90A54">
        <w:rPr>
          <w:rFonts w:ascii="Garamond" w:hAnsi="Garamond"/>
        </w:rPr>
        <w:t>interests</w:t>
      </w:r>
      <w:proofErr w:type="gramEnd"/>
      <w:r w:rsidR="00BB64FE" w:rsidRPr="00F90A54">
        <w:rPr>
          <w:rFonts w:ascii="Garamond" w:hAnsi="Garamond"/>
        </w:rPr>
        <w:t xml:space="preserve"> outsiders might have. </w:t>
      </w:r>
      <w:r w:rsidR="00242653" w:rsidRPr="00F90A54">
        <w:rPr>
          <w:rFonts w:ascii="Garamond" w:hAnsi="Garamond"/>
        </w:rPr>
        <w:t xml:space="preserve">But even if rare, there are some situations that might require a broader injunction. </w:t>
      </w:r>
      <w:r w:rsidR="00BA4A47" w:rsidRPr="00F90A54">
        <w:rPr>
          <w:rFonts w:ascii="Garamond" w:hAnsi="Garamond"/>
        </w:rPr>
        <w:t xml:space="preserve">Courts should experiment with managerial controls that have been effective </w:t>
      </w:r>
      <w:r w:rsidR="008850D5">
        <w:rPr>
          <w:rFonts w:ascii="Garamond" w:hAnsi="Garamond"/>
        </w:rPr>
        <w:t>for</w:t>
      </w:r>
      <w:r w:rsidR="00BA4A47" w:rsidRPr="00F90A54">
        <w:rPr>
          <w:rFonts w:ascii="Garamond" w:hAnsi="Garamond"/>
        </w:rPr>
        <w:t xml:space="preserve"> hearing numerous interests in other types of litigation</w:t>
      </w:r>
      <w:r w:rsidR="00AC7D08" w:rsidRPr="00F90A54">
        <w:rPr>
          <w:rFonts w:ascii="Garamond" w:hAnsi="Garamond"/>
        </w:rPr>
        <w:t xml:space="preserve">. Those mechanisms might </w:t>
      </w:r>
      <w:proofErr w:type="gramStart"/>
      <w:r w:rsidR="00BA4A47" w:rsidRPr="00F90A54">
        <w:rPr>
          <w:rFonts w:ascii="Garamond" w:hAnsi="Garamond"/>
        </w:rPr>
        <w:t>includ</w:t>
      </w:r>
      <w:r w:rsidR="00AC7D08" w:rsidRPr="00F90A54">
        <w:rPr>
          <w:rFonts w:ascii="Garamond" w:hAnsi="Garamond"/>
        </w:rPr>
        <w:t>e</w:t>
      </w:r>
      <w:r w:rsidR="00BA4A47" w:rsidRPr="00F90A54">
        <w:rPr>
          <w:rFonts w:ascii="Garamond" w:hAnsi="Garamond"/>
        </w:rPr>
        <w:t>:</w:t>
      </w:r>
      <w:proofErr w:type="gramEnd"/>
      <w:r w:rsidR="00BA4A47" w:rsidRPr="00F90A54">
        <w:rPr>
          <w:rFonts w:ascii="Garamond" w:hAnsi="Garamond"/>
        </w:rPr>
        <w:t xml:space="preserve"> appointing a </w:t>
      </w:r>
      <w:r w:rsidR="009138EB" w:rsidRPr="00F90A54">
        <w:rPr>
          <w:rFonts w:ascii="Garamond" w:hAnsi="Garamond"/>
        </w:rPr>
        <w:t xml:space="preserve">special </w:t>
      </w:r>
      <w:r w:rsidR="00886C13" w:rsidRPr="00F90A54">
        <w:rPr>
          <w:rFonts w:ascii="Garamond" w:hAnsi="Garamond"/>
        </w:rPr>
        <w:t xml:space="preserve">master to </w:t>
      </w:r>
      <w:r w:rsidR="00C76595" w:rsidRPr="00F90A54">
        <w:rPr>
          <w:rFonts w:ascii="Garamond" w:hAnsi="Garamond"/>
        </w:rPr>
        <w:t xml:space="preserve">provide a report to the court of the </w:t>
      </w:r>
      <w:r w:rsidR="00F81AAD" w:rsidRPr="00F90A54">
        <w:rPr>
          <w:rFonts w:ascii="Garamond" w:hAnsi="Garamond"/>
        </w:rPr>
        <w:t>arguments and evidence submitted</w:t>
      </w:r>
      <w:r w:rsidR="00886C13" w:rsidRPr="00F90A54">
        <w:rPr>
          <w:rFonts w:ascii="Garamond" w:hAnsi="Garamond"/>
        </w:rPr>
        <w:t xml:space="preserve">, </w:t>
      </w:r>
      <w:r w:rsidR="00C76595" w:rsidRPr="00F90A54">
        <w:rPr>
          <w:rFonts w:ascii="Garamond" w:hAnsi="Garamond"/>
        </w:rPr>
        <w:t xml:space="preserve">requiring intervenors to confer and </w:t>
      </w:r>
      <w:r w:rsidR="00F86A75" w:rsidRPr="00F90A54">
        <w:rPr>
          <w:rFonts w:ascii="Garamond" w:hAnsi="Garamond"/>
        </w:rPr>
        <w:t xml:space="preserve">consolidate their filings, or </w:t>
      </w:r>
      <w:r w:rsidR="00FA6448" w:rsidRPr="00F90A54">
        <w:rPr>
          <w:rFonts w:ascii="Garamond" w:hAnsi="Garamond"/>
        </w:rPr>
        <w:t xml:space="preserve">creating a specialized filing </w:t>
      </w:r>
      <w:r w:rsidR="00FA6448" w:rsidRPr="00F90A54">
        <w:rPr>
          <w:rFonts w:ascii="Garamond" w:hAnsi="Garamond"/>
        </w:rPr>
        <w:lastRenderedPageBreak/>
        <w:t xml:space="preserve">system to streamline </w:t>
      </w:r>
      <w:r w:rsidR="00A47728" w:rsidRPr="00F90A54">
        <w:rPr>
          <w:rFonts w:ascii="Garamond" w:hAnsi="Garamond"/>
        </w:rPr>
        <w:t xml:space="preserve">motions. </w:t>
      </w:r>
      <w:r w:rsidR="00654878" w:rsidRPr="00F90A54">
        <w:rPr>
          <w:rFonts w:ascii="Garamond" w:hAnsi="Garamond"/>
        </w:rPr>
        <w:t xml:space="preserve">Without that experience, however, it is difficult to assert that intervention would be too cumbersome or costly to provide a meaningful opportunity for outsiders to participate in consequential decisions affecting their interests. </w:t>
      </w:r>
    </w:p>
    <w:p w14:paraId="7BE29BE7" w14:textId="704C1846" w:rsidR="00C43988" w:rsidRPr="00F90A54" w:rsidRDefault="00C43988" w:rsidP="001F4A3F">
      <w:pPr>
        <w:ind w:firstLine="360"/>
        <w:jc w:val="both"/>
        <w:rPr>
          <w:rFonts w:ascii="Garamond" w:hAnsi="Garamond"/>
        </w:rPr>
      </w:pPr>
      <w:r w:rsidRPr="00F90A54">
        <w:rPr>
          <w:rFonts w:ascii="Garamond" w:hAnsi="Garamond"/>
        </w:rPr>
        <w:t xml:space="preserve">Finally, this proposal, like the one before it, relies on </w:t>
      </w:r>
      <w:r w:rsidR="00915549" w:rsidRPr="00F90A54">
        <w:rPr>
          <w:rFonts w:ascii="Garamond" w:hAnsi="Garamond"/>
        </w:rPr>
        <w:t xml:space="preserve">extra-judicial glosses on Rule 24. Nothing in the rule’s text empowers courts to limit </w:t>
      </w:r>
      <w:r w:rsidR="00B73738" w:rsidRPr="00F90A54">
        <w:rPr>
          <w:rFonts w:ascii="Garamond" w:hAnsi="Garamond"/>
        </w:rPr>
        <w:t>intervention</w:t>
      </w:r>
      <w:r w:rsidR="00707DE3" w:rsidRPr="00F90A54">
        <w:rPr>
          <w:rFonts w:ascii="Garamond" w:hAnsi="Garamond"/>
        </w:rPr>
        <w:t xml:space="preserve">, especially when sought as a matter of right. </w:t>
      </w:r>
      <w:r w:rsidR="00074FB0" w:rsidRPr="00F90A54">
        <w:rPr>
          <w:rFonts w:ascii="Garamond" w:hAnsi="Garamond"/>
        </w:rPr>
        <w:t xml:space="preserve">Perhaps remedial intervention should be exercised as a matter of permissive intervention. </w:t>
      </w:r>
      <w:r w:rsidR="00EF2246" w:rsidRPr="00F90A54">
        <w:rPr>
          <w:rFonts w:ascii="Garamond" w:hAnsi="Garamond"/>
        </w:rPr>
        <w:t xml:space="preserve">But </w:t>
      </w:r>
      <w:r w:rsidR="00B904A0" w:rsidRPr="00F90A54">
        <w:rPr>
          <w:rFonts w:ascii="Garamond" w:hAnsi="Garamond"/>
        </w:rPr>
        <w:t xml:space="preserve">those same individuals may </w:t>
      </w:r>
      <w:r w:rsidR="00EF2246" w:rsidRPr="00F90A54">
        <w:rPr>
          <w:rFonts w:ascii="Garamond" w:hAnsi="Garamond"/>
        </w:rPr>
        <w:t>meet the requirements for intervention of right</w:t>
      </w:r>
      <w:r w:rsidR="00304CA4" w:rsidRPr="00F90A54">
        <w:rPr>
          <w:rFonts w:ascii="Garamond" w:hAnsi="Garamond"/>
        </w:rPr>
        <w:t xml:space="preserve">, raising questions about whether their participation should be cabined to </w:t>
      </w:r>
      <w:r w:rsidR="009A21E4" w:rsidRPr="00F90A54">
        <w:rPr>
          <w:rFonts w:ascii="Garamond" w:hAnsi="Garamond"/>
        </w:rPr>
        <w:t>arguments</w:t>
      </w:r>
      <w:r w:rsidR="00304CA4" w:rsidRPr="00F90A54">
        <w:rPr>
          <w:rFonts w:ascii="Garamond" w:hAnsi="Garamond"/>
        </w:rPr>
        <w:t xml:space="preserve"> over the remedy</w:t>
      </w:r>
      <w:r w:rsidR="00EF2246" w:rsidRPr="00F90A54">
        <w:rPr>
          <w:rFonts w:ascii="Garamond" w:hAnsi="Garamond"/>
        </w:rPr>
        <w:t xml:space="preserve">. </w:t>
      </w:r>
      <w:r w:rsidR="00B904A0" w:rsidRPr="00F90A54">
        <w:rPr>
          <w:rFonts w:ascii="Garamond" w:hAnsi="Garamond"/>
        </w:rPr>
        <w:t xml:space="preserve">The </w:t>
      </w:r>
      <w:r w:rsidR="007760B9" w:rsidRPr="00F90A54">
        <w:rPr>
          <w:rFonts w:ascii="Garamond" w:hAnsi="Garamond"/>
        </w:rPr>
        <w:t xml:space="preserve">better practice may therefore be for the </w:t>
      </w:r>
      <w:r w:rsidR="00D6443A" w:rsidRPr="00F90A54">
        <w:rPr>
          <w:rFonts w:ascii="Garamond" w:hAnsi="Garamond"/>
        </w:rPr>
        <w:t>Advisory Committee</w:t>
      </w:r>
      <w:r w:rsidR="00304CA4" w:rsidRPr="00F90A54">
        <w:rPr>
          <w:rFonts w:ascii="Garamond" w:hAnsi="Garamond"/>
        </w:rPr>
        <w:t xml:space="preserve"> </w:t>
      </w:r>
      <w:r w:rsidR="007760B9" w:rsidRPr="00F90A54">
        <w:rPr>
          <w:rFonts w:ascii="Garamond" w:hAnsi="Garamond"/>
        </w:rPr>
        <w:t xml:space="preserve">to provide a rule </w:t>
      </w:r>
      <w:r w:rsidR="003538D1" w:rsidRPr="00F90A54">
        <w:rPr>
          <w:rFonts w:ascii="Garamond" w:hAnsi="Garamond"/>
        </w:rPr>
        <w:t xml:space="preserve">explicitly </w:t>
      </w:r>
      <w:r w:rsidR="007760B9" w:rsidRPr="00F90A54">
        <w:rPr>
          <w:rFonts w:ascii="Garamond" w:hAnsi="Garamond"/>
        </w:rPr>
        <w:t xml:space="preserve">allowing for remedial intervention. </w:t>
      </w:r>
      <w:r w:rsidR="000A7F00" w:rsidRPr="00F90A54">
        <w:rPr>
          <w:rFonts w:ascii="Garamond" w:hAnsi="Garamond"/>
        </w:rPr>
        <w:t>I</w:t>
      </w:r>
      <w:r w:rsidR="00AE7883" w:rsidRPr="00F90A54">
        <w:rPr>
          <w:rFonts w:ascii="Garamond" w:hAnsi="Garamond"/>
        </w:rPr>
        <w:t xml:space="preserve">n the absence of such a rule, </w:t>
      </w:r>
      <w:r w:rsidR="00177E02" w:rsidRPr="00F90A54">
        <w:rPr>
          <w:rFonts w:ascii="Garamond" w:hAnsi="Garamond"/>
        </w:rPr>
        <w:t xml:space="preserve">courts should mitigate the </w:t>
      </w:r>
      <w:r w:rsidR="00510C71" w:rsidRPr="00F90A54">
        <w:rPr>
          <w:rFonts w:ascii="Garamond" w:hAnsi="Garamond"/>
        </w:rPr>
        <w:t xml:space="preserve">participation concerns raised by nationwide injunctions </w:t>
      </w:r>
      <w:r w:rsidR="006152F4" w:rsidRPr="00F90A54">
        <w:rPr>
          <w:rFonts w:ascii="Garamond" w:hAnsi="Garamond"/>
        </w:rPr>
        <w:t xml:space="preserve">to allow for limited intervention </w:t>
      </w:r>
      <w:r w:rsidR="004864C9" w:rsidRPr="00F90A54">
        <w:rPr>
          <w:rFonts w:ascii="Garamond" w:hAnsi="Garamond"/>
        </w:rPr>
        <w:t>over</w:t>
      </w:r>
      <w:r w:rsidR="006152F4" w:rsidRPr="00F90A54">
        <w:rPr>
          <w:rFonts w:ascii="Garamond" w:hAnsi="Garamond"/>
        </w:rPr>
        <w:t xml:space="preserve"> the scope of the remedy. </w:t>
      </w:r>
    </w:p>
    <w:p w14:paraId="2EF92091" w14:textId="77777777" w:rsidR="00EE5AFB" w:rsidRPr="00F90A54" w:rsidRDefault="00EE5AFB" w:rsidP="00EE5AFB">
      <w:pPr>
        <w:rPr>
          <w:rFonts w:ascii="Garamond" w:hAnsi="Garamond"/>
        </w:rPr>
      </w:pPr>
    </w:p>
    <w:p w14:paraId="44085E79" w14:textId="50E711D7" w:rsidR="00EE5AFB" w:rsidRPr="00F90A54" w:rsidRDefault="00EE5AFB" w:rsidP="00D9403B">
      <w:pPr>
        <w:pStyle w:val="Heading1"/>
        <w:keepNext/>
      </w:pPr>
      <w:bookmarkStart w:id="26" w:name="_Toc143336568"/>
      <w:r w:rsidRPr="00F90A54">
        <w:t>Conclusion</w:t>
      </w:r>
      <w:bookmarkEnd w:id="26"/>
    </w:p>
    <w:p w14:paraId="091CCDBB" w14:textId="77777777" w:rsidR="00A641BD" w:rsidRPr="00F90A54" w:rsidRDefault="00A641BD" w:rsidP="00D9403B">
      <w:pPr>
        <w:keepNext/>
        <w:rPr>
          <w:rFonts w:ascii="Garamond" w:hAnsi="Garamond"/>
        </w:rPr>
      </w:pPr>
    </w:p>
    <w:p w14:paraId="5466AFAD" w14:textId="77777777" w:rsidR="00B56393" w:rsidRPr="00F90A54" w:rsidRDefault="00FF3C8C" w:rsidP="00E5090A">
      <w:pPr>
        <w:ind w:firstLine="360"/>
        <w:jc w:val="both"/>
        <w:rPr>
          <w:rFonts w:ascii="Garamond" w:hAnsi="Garamond"/>
        </w:rPr>
      </w:pPr>
      <w:r w:rsidRPr="00F90A54">
        <w:rPr>
          <w:rFonts w:ascii="Garamond" w:hAnsi="Garamond"/>
        </w:rPr>
        <w:t xml:space="preserve">Public-law litigation is </w:t>
      </w:r>
      <w:r w:rsidR="00094DDA" w:rsidRPr="00F90A54">
        <w:rPr>
          <w:rFonts w:ascii="Garamond" w:hAnsi="Garamond"/>
        </w:rPr>
        <w:t xml:space="preserve">changing. </w:t>
      </w:r>
      <w:r w:rsidR="00F542FA" w:rsidRPr="00F90A54">
        <w:rPr>
          <w:rFonts w:ascii="Garamond" w:hAnsi="Garamond"/>
        </w:rPr>
        <w:t>Litigants are asking for—and courts are granting—an increasing number of universal remedies. These cases resolve high-profile and politically salient questions for everyone in the country, regardless of ongoing democratic debates.</w:t>
      </w:r>
      <w:r w:rsidR="00B56393" w:rsidRPr="00F90A54">
        <w:rPr>
          <w:rFonts w:ascii="Garamond" w:hAnsi="Garamond"/>
        </w:rPr>
        <w:t xml:space="preserve"> </w:t>
      </w:r>
    </w:p>
    <w:p w14:paraId="262F3B85" w14:textId="0E3114D3" w:rsidR="00E5090A" w:rsidRPr="00F90A54" w:rsidRDefault="009E78CB" w:rsidP="00E5090A">
      <w:pPr>
        <w:ind w:firstLine="360"/>
        <w:jc w:val="both"/>
        <w:rPr>
          <w:rFonts w:ascii="Garamond" w:hAnsi="Garamond"/>
        </w:rPr>
      </w:pPr>
      <w:r w:rsidRPr="00F90A54">
        <w:rPr>
          <w:rFonts w:ascii="Garamond" w:hAnsi="Garamond"/>
        </w:rPr>
        <w:t xml:space="preserve">This article has shown that whether a court allows an intervenor into </w:t>
      </w:r>
      <w:r w:rsidR="00BB410B" w:rsidRPr="00F90A54">
        <w:rPr>
          <w:rFonts w:ascii="Garamond" w:hAnsi="Garamond"/>
        </w:rPr>
        <w:t>th</w:t>
      </w:r>
      <w:r w:rsidR="00CB0178">
        <w:rPr>
          <w:rFonts w:ascii="Garamond" w:hAnsi="Garamond"/>
        </w:rPr>
        <w:t>e</w:t>
      </w:r>
      <w:r w:rsidR="00BB410B" w:rsidRPr="00F90A54">
        <w:rPr>
          <w:rFonts w:ascii="Garamond" w:hAnsi="Garamond"/>
        </w:rPr>
        <w:t xml:space="preserve">se cases </w:t>
      </w:r>
      <w:r w:rsidRPr="00F90A54">
        <w:rPr>
          <w:rFonts w:ascii="Garamond" w:hAnsi="Garamond"/>
        </w:rPr>
        <w:t xml:space="preserve">can make the difference between whether a federal policy stands or falls, and whether it stands or falls by court order or electoral consequences. It changes the voices the court hears, the evidence and arguments the court considers, whether the public can control the litigation through its elected representatives, and whether the </w:t>
      </w:r>
      <w:r w:rsidR="00FE489F" w:rsidRPr="00F90A54">
        <w:rPr>
          <w:rFonts w:ascii="Garamond" w:hAnsi="Garamond"/>
        </w:rPr>
        <w:t xml:space="preserve">court’s </w:t>
      </w:r>
      <w:r w:rsidRPr="00F90A54">
        <w:rPr>
          <w:rFonts w:ascii="Garamond" w:hAnsi="Garamond"/>
        </w:rPr>
        <w:t xml:space="preserve">decision is seen as the result of neutral deliberation or political and ideological bias. </w:t>
      </w:r>
      <w:r w:rsidR="00E5090A" w:rsidRPr="00F90A54">
        <w:rPr>
          <w:rFonts w:ascii="Garamond" w:hAnsi="Garamond"/>
        </w:rPr>
        <w:t xml:space="preserve">There are certain changes to the doctrine and text of the federal rules that can help resolve those tensions. Those solutions are set out in Part IV. </w:t>
      </w:r>
    </w:p>
    <w:p w14:paraId="461FC5F4" w14:textId="441ADC9B" w:rsidR="002B2108" w:rsidRDefault="00E5090A" w:rsidP="002B2108">
      <w:pPr>
        <w:ind w:firstLine="360"/>
        <w:jc w:val="both"/>
        <w:rPr>
          <w:rFonts w:ascii="Garamond" w:hAnsi="Garamond"/>
        </w:rPr>
      </w:pPr>
      <w:r w:rsidRPr="00F90A54">
        <w:rPr>
          <w:rFonts w:ascii="Garamond" w:hAnsi="Garamond"/>
        </w:rPr>
        <w:t xml:space="preserve">More broadly, this article </w:t>
      </w:r>
      <w:r w:rsidR="00263331" w:rsidRPr="00F90A54">
        <w:rPr>
          <w:rFonts w:ascii="Garamond" w:hAnsi="Garamond"/>
        </w:rPr>
        <w:t xml:space="preserve">challenges assumptions about how procedural rules operate in an era when litigants are asking federal courts to exercise broad remedial authority. </w:t>
      </w:r>
      <w:r w:rsidR="00356279" w:rsidRPr="00F90A54">
        <w:rPr>
          <w:rFonts w:ascii="Garamond" w:hAnsi="Garamond"/>
        </w:rPr>
        <w:t xml:space="preserve">The federal rules were designed as guardrails for judicial discretion. </w:t>
      </w:r>
      <w:r w:rsidR="00B56393" w:rsidRPr="00F90A54">
        <w:rPr>
          <w:rFonts w:ascii="Garamond" w:hAnsi="Garamond"/>
        </w:rPr>
        <w:t xml:space="preserve">They provide neutral principles in the hopes of displacing politics and ideology. </w:t>
      </w:r>
      <w:r w:rsidR="00356279" w:rsidRPr="00F90A54">
        <w:rPr>
          <w:rFonts w:ascii="Garamond" w:hAnsi="Garamond"/>
        </w:rPr>
        <w:t>But t</w:t>
      </w:r>
      <w:r w:rsidR="00263331" w:rsidRPr="00F90A54">
        <w:rPr>
          <w:rFonts w:ascii="Garamond" w:hAnsi="Garamond"/>
        </w:rPr>
        <w:t xml:space="preserve">he federal rules were never designed with nationwide injunctions in mind. </w:t>
      </w:r>
      <w:r w:rsidR="00B56393" w:rsidRPr="00F90A54">
        <w:rPr>
          <w:rFonts w:ascii="Garamond" w:hAnsi="Garamond"/>
        </w:rPr>
        <w:t>And</w:t>
      </w:r>
      <w:r w:rsidR="00DF67B5" w:rsidRPr="00F90A54">
        <w:rPr>
          <w:rFonts w:ascii="Garamond" w:hAnsi="Garamond"/>
        </w:rPr>
        <w:t xml:space="preserve"> absent reform,</w:t>
      </w:r>
      <w:r w:rsidR="00B56393" w:rsidRPr="00F90A54">
        <w:rPr>
          <w:rFonts w:ascii="Garamond" w:hAnsi="Garamond"/>
        </w:rPr>
        <w:t xml:space="preserve"> they appear to be ill-equipped at cabining current assertions of judicial power.</w:t>
      </w:r>
      <w:r w:rsidR="00B56393">
        <w:rPr>
          <w:rFonts w:ascii="Garamond" w:hAnsi="Garamond"/>
        </w:rPr>
        <w:t xml:space="preserve"> </w:t>
      </w:r>
    </w:p>
    <w:sectPr w:rsidR="002B2108" w:rsidSect="00F7719D">
      <w:footnotePr>
        <w:numRestart w:val="eachSect"/>
      </w:footnotePr>
      <w:type w:val="continuous"/>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8829" w14:textId="77777777" w:rsidR="00E81069" w:rsidRDefault="00E81069" w:rsidP="006C627E">
      <w:r>
        <w:separator/>
      </w:r>
    </w:p>
  </w:endnote>
  <w:endnote w:type="continuationSeparator" w:id="0">
    <w:p w14:paraId="54FE6108" w14:textId="77777777" w:rsidR="00E81069" w:rsidRDefault="00E81069" w:rsidP="006C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2F12" w14:textId="77777777" w:rsidR="00E81069" w:rsidRDefault="00E81069" w:rsidP="006C627E">
      <w:r>
        <w:separator/>
      </w:r>
    </w:p>
  </w:footnote>
  <w:footnote w:type="continuationSeparator" w:id="0">
    <w:p w14:paraId="348B2D6E" w14:textId="77777777" w:rsidR="00E81069" w:rsidRDefault="00E81069" w:rsidP="006C627E">
      <w:r>
        <w:continuationSeparator/>
      </w:r>
    </w:p>
  </w:footnote>
  <w:footnote w:id="1">
    <w:p w14:paraId="325CA0EA" w14:textId="419B6139" w:rsidR="00F7719D" w:rsidRDefault="00F7719D" w:rsidP="0067230F">
      <w:pPr>
        <w:pStyle w:val="FootnoteText"/>
        <w:jc w:val="both"/>
      </w:pPr>
      <w:r>
        <w:rPr>
          <w:rStyle w:val="FootnoteReference"/>
        </w:rPr>
        <w:footnoteRef/>
      </w:r>
      <w:r>
        <w:t xml:space="preserve"> </w:t>
      </w:r>
      <w:r w:rsidR="0067230F">
        <w:t xml:space="preserve">Climenko Fellow and Lecturer on Law, Harvard Law School. For helpful comments and discussions on this Article, I am thankful to </w:t>
      </w:r>
      <w:proofErr w:type="spellStart"/>
      <w:r w:rsidR="0067230F">
        <w:t>Payvand</w:t>
      </w:r>
      <w:proofErr w:type="spellEnd"/>
      <w:r w:rsidR="0067230F">
        <w:t xml:space="preserve"> </w:t>
      </w:r>
      <w:proofErr w:type="spellStart"/>
      <w:r w:rsidR="0067230F">
        <w:t>Ahdout</w:t>
      </w:r>
      <w:proofErr w:type="spellEnd"/>
      <w:r w:rsidR="0067230F">
        <w:t xml:space="preserve">, Rachel </w:t>
      </w:r>
      <w:proofErr w:type="spellStart"/>
      <w:r w:rsidR="0067230F">
        <w:t>Bayefsky</w:t>
      </w:r>
      <w:proofErr w:type="spellEnd"/>
      <w:r w:rsidR="0067230F">
        <w:t xml:space="preserve">, </w:t>
      </w:r>
      <w:r w:rsidR="00543019">
        <w:t xml:space="preserve">Judge Stephanos </w:t>
      </w:r>
      <w:proofErr w:type="spellStart"/>
      <w:r w:rsidR="00543019">
        <w:t>Bibas</w:t>
      </w:r>
      <w:proofErr w:type="spellEnd"/>
      <w:r w:rsidR="00543019">
        <w:t xml:space="preserve">, </w:t>
      </w:r>
      <w:r w:rsidR="0067230F">
        <w:t xml:space="preserve">Josh Bowers, Sergio Campos, Maureen Carroll, Zachary Clopton, I. Glenn Cohen, Guy-Uriel Charles, Ryan </w:t>
      </w:r>
      <w:proofErr w:type="spellStart"/>
      <w:r w:rsidR="0067230F">
        <w:t>Doerfler</w:t>
      </w:r>
      <w:proofErr w:type="spellEnd"/>
      <w:r w:rsidR="0067230F">
        <w:t xml:space="preserve">, Richard Fallon, Jonathan Gould, James Greiner, Andrew Hammond, </w:t>
      </w:r>
      <w:r w:rsidR="00496E2F">
        <w:t xml:space="preserve">Judge </w:t>
      </w:r>
      <w:proofErr w:type="spellStart"/>
      <w:r w:rsidR="00496E2F">
        <w:t>Adelberto</w:t>
      </w:r>
      <w:proofErr w:type="spellEnd"/>
      <w:r w:rsidR="00496E2F">
        <w:t xml:space="preserve"> Jordan, </w:t>
      </w:r>
      <w:r w:rsidR="00A856F0">
        <w:t xml:space="preserve">Brian </w:t>
      </w:r>
      <w:proofErr w:type="spellStart"/>
      <w:r w:rsidR="00A856F0">
        <w:t>Lipshutz</w:t>
      </w:r>
      <w:proofErr w:type="spellEnd"/>
      <w:r w:rsidR="00A856F0">
        <w:t xml:space="preserve">, </w:t>
      </w:r>
      <w:r w:rsidR="0067230F">
        <w:t xml:space="preserve">Caleb Nelson, </w:t>
      </w:r>
      <w:r w:rsidR="00A948AB">
        <w:t xml:space="preserve">Andrea Olson, </w:t>
      </w:r>
      <w:r w:rsidR="0067230F">
        <w:t>Richard Re, William Rubenstein, Stephen Sachs, Joanna Schwartz, David Simon, Susannah Tobin, and the participants in workshops at Harvard Law School, the Annual Civil Procedure Workshop, the American Constitution Society Junior Scholars Public Law Workshop, and the Junior Faculty Federal Courts Workshop.</w:t>
      </w:r>
    </w:p>
  </w:footnote>
  <w:footnote w:id="2">
    <w:p w14:paraId="75747A4C" w14:textId="51279D43" w:rsidR="00657742" w:rsidRPr="00E72E6E" w:rsidRDefault="00657742" w:rsidP="0067230F">
      <w:pPr>
        <w:pStyle w:val="FootnoteText"/>
        <w:jc w:val="both"/>
      </w:pPr>
      <w:r w:rsidRPr="00E72E6E">
        <w:rPr>
          <w:rStyle w:val="FootnoteReference"/>
        </w:rPr>
        <w:footnoteRef/>
      </w:r>
      <w:r w:rsidRPr="00E72E6E">
        <w:t xml:space="preserve"> </w:t>
      </w:r>
      <w:r w:rsidRPr="00E72E6E">
        <w:rPr>
          <w:i/>
          <w:iCs/>
        </w:rPr>
        <w:t>California v. Texas</w:t>
      </w:r>
      <w:r w:rsidRPr="00E72E6E">
        <w:t xml:space="preserve">, 141 S. Ct. 2104, 2112 (2021). </w:t>
      </w:r>
    </w:p>
  </w:footnote>
  <w:footnote w:id="3">
    <w:p w14:paraId="551AAEFE" w14:textId="43CDC8C8" w:rsidR="005655ED" w:rsidRPr="00E72E6E" w:rsidRDefault="005655ED" w:rsidP="0067230F">
      <w:pPr>
        <w:pStyle w:val="FootnoteText"/>
        <w:jc w:val="both"/>
      </w:pPr>
      <w:r w:rsidRPr="00E72E6E">
        <w:rPr>
          <w:rStyle w:val="FootnoteReference"/>
        </w:rPr>
        <w:footnoteRef/>
      </w:r>
      <w:r w:rsidRPr="00E72E6E">
        <w:t xml:space="preserve"> </w:t>
      </w:r>
      <w:r w:rsidR="00CE5A51" w:rsidRPr="00E72E6E">
        <w:t>Brief for Respondent/</w:t>
      </w:r>
      <w:r w:rsidR="00746138">
        <w:t>C</w:t>
      </w:r>
      <w:r w:rsidR="00CE5A51" w:rsidRPr="00E72E6E">
        <w:t>ross-Petitioner States</w:t>
      </w:r>
      <w:r w:rsidR="00746138">
        <w:t xml:space="preserve"> at 46-48</w:t>
      </w:r>
      <w:r w:rsidR="00CE5A51" w:rsidRPr="00E72E6E">
        <w:t xml:space="preserve">, </w:t>
      </w:r>
      <w:r w:rsidR="00CE5A51" w:rsidRPr="00E72E6E">
        <w:rPr>
          <w:i/>
          <w:iCs/>
        </w:rPr>
        <w:t>California</w:t>
      </w:r>
      <w:r w:rsidR="00CE5A51" w:rsidRPr="00E72E6E">
        <w:t xml:space="preserve">, </w:t>
      </w:r>
      <w:r w:rsidR="00746138">
        <w:t>141 S. Ct. 2104 (Nos. 19-840, 19-1019)</w:t>
      </w:r>
      <w:r w:rsidR="00CE5A51" w:rsidRPr="00E72E6E">
        <w:t xml:space="preserve">. </w:t>
      </w:r>
    </w:p>
  </w:footnote>
  <w:footnote w:id="4">
    <w:p w14:paraId="525CF22A" w14:textId="2A5179B5" w:rsidR="005655ED" w:rsidRPr="008F7A66" w:rsidRDefault="005655ED" w:rsidP="0067230F">
      <w:pPr>
        <w:pStyle w:val="FootnoteText"/>
        <w:jc w:val="both"/>
      </w:pPr>
      <w:r w:rsidRPr="00E72E6E">
        <w:rPr>
          <w:rStyle w:val="FootnoteReference"/>
        </w:rPr>
        <w:footnoteRef/>
      </w:r>
      <w:r w:rsidRPr="00E72E6E">
        <w:t xml:space="preserve"> </w:t>
      </w:r>
      <w:r w:rsidR="007D5A26" w:rsidRPr="00E72E6E">
        <w:rPr>
          <w:i/>
          <w:iCs/>
        </w:rPr>
        <w:t>California</w:t>
      </w:r>
      <w:r w:rsidR="007D5A26" w:rsidRPr="00E72E6E">
        <w:t>, 141 S. Ct. at 2113</w:t>
      </w:r>
      <w:r w:rsidR="008F7A66">
        <w:t>.</w:t>
      </w:r>
    </w:p>
  </w:footnote>
  <w:footnote w:id="5">
    <w:p w14:paraId="3E1D6E16" w14:textId="0E3F96A7" w:rsidR="005655ED" w:rsidRPr="00E72E6E" w:rsidRDefault="005655ED" w:rsidP="0067230F">
      <w:pPr>
        <w:pStyle w:val="FootnoteText"/>
        <w:jc w:val="both"/>
      </w:pPr>
      <w:r w:rsidRPr="00E72E6E">
        <w:rPr>
          <w:rStyle w:val="FootnoteReference"/>
        </w:rPr>
        <w:footnoteRef/>
      </w:r>
      <w:r w:rsidRPr="00E72E6E">
        <w:t xml:space="preserve"> </w:t>
      </w:r>
      <w:r w:rsidRPr="00E72E6E">
        <w:rPr>
          <w:i/>
          <w:iCs/>
        </w:rPr>
        <w:t>Texas v. United States</w:t>
      </w:r>
      <w:r w:rsidRPr="00E72E6E">
        <w:t xml:space="preserve">, 340 F. Supp. 3d 579, 591-92 (N.D. Tex. 2018). </w:t>
      </w:r>
      <w:r w:rsidR="008F7A66">
        <w:t>T</w:t>
      </w:r>
      <w:r w:rsidR="008C7073" w:rsidRPr="00E72E6E">
        <w:t>he United States argued that the individual mandate could be severed from the rest of the ACA</w:t>
      </w:r>
      <w:r w:rsidR="00C13B35" w:rsidRPr="00E72E6E">
        <w:t>, and that the court should issue declaratory relief limited to the parties</w:t>
      </w:r>
      <w:r w:rsidR="008C7073" w:rsidRPr="00E72E6E">
        <w:t xml:space="preserve">. </w:t>
      </w:r>
      <w:r w:rsidR="00C13B35" w:rsidRPr="00E72E6E">
        <w:rPr>
          <w:i/>
          <w:iCs/>
        </w:rPr>
        <w:t>Id.</w:t>
      </w:r>
      <w:r w:rsidR="00C13B35" w:rsidRPr="00E72E6E">
        <w:t xml:space="preserve"> </w:t>
      </w:r>
    </w:p>
  </w:footnote>
  <w:footnote w:id="6">
    <w:p w14:paraId="23554058" w14:textId="07D73F43" w:rsidR="00733784" w:rsidRPr="00E72E6E" w:rsidRDefault="00733784" w:rsidP="0067230F">
      <w:pPr>
        <w:pStyle w:val="FootnoteText"/>
        <w:jc w:val="both"/>
      </w:pPr>
      <w:r w:rsidRPr="00E72E6E">
        <w:rPr>
          <w:rStyle w:val="FootnoteReference"/>
        </w:rPr>
        <w:footnoteRef/>
      </w:r>
      <w:r w:rsidRPr="00E72E6E">
        <w:t xml:space="preserve"> </w:t>
      </w:r>
      <w:r w:rsidRPr="00E72E6E">
        <w:rPr>
          <w:i/>
          <w:iCs/>
        </w:rPr>
        <w:t>California</w:t>
      </w:r>
      <w:r w:rsidRPr="00E72E6E">
        <w:t xml:space="preserve">, 141 S. Ct. at 2113. </w:t>
      </w:r>
      <w:r w:rsidR="00A87CFB" w:rsidRPr="00E72E6E">
        <w:t xml:space="preserve">The original intervenors were 16 </w:t>
      </w:r>
      <w:r w:rsidR="00E14CAA">
        <w:t>s</w:t>
      </w:r>
      <w:r w:rsidR="00A87CFB" w:rsidRPr="00E72E6E">
        <w:t>tates and the District of Columbia. Fou</w:t>
      </w:r>
      <w:r w:rsidR="00A46EC3" w:rsidRPr="00E72E6E">
        <w:t xml:space="preserve">r additional </w:t>
      </w:r>
      <w:r w:rsidR="00E14CAA">
        <w:t>s</w:t>
      </w:r>
      <w:r w:rsidR="00A46EC3" w:rsidRPr="00E72E6E">
        <w:t xml:space="preserve">tates and the U.S. House of Representatives joined </w:t>
      </w:r>
      <w:r w:rsidR="008F7A66">
        <w:t xml:space="preserve">while </w:t>
      </w:r>
      <w:r w:rsidR="00A46EC3" w:rsidRPr="00E72E6E">
        <w:t xml:space="preserve">the appeal was pending. </w:t>
      </w:r>
      <w:r w:rsidR="00A46EC3" w:rsidRPr="00E72E6E">
        <w:rPr>
          <w:i/>
          <w:iCs/>
        </w:rPr>
        <w:t>Texas v. United States</w:t>
      </w:r>
      <w:r w:rsidR="00A46EC3" w:rsidRPr="00E72E6E">
        <w:t xml:space="preserve">, 945 F.3d 355, 374 (5th Cir. 2019), </w:t>
      </w:r>
      <w:r w:rsidR="00A46EC3" w:rsidRPr="00E72E6E">
        <w:rPr>
          <w:i/>
          <w:iCs/>
        </w:rPr>
        <w:t>as revised</w:t>
      </w:r>
      <w:r w:rsidR="00A46EC3" w:rsidRPr="00E72E6E">
        <w:t xml:space="preserve"> (Dec. 20, 2019).</w:t>
      </w:r>
    </w:p>
  </w:footnote>
  <w:footnote w:id="7">
    <w:p w14:paraId="748C20B9" w14:textId="471720FB" w:rsidR="00042391" w:rsidRPr="00E72E6E" w:rsidRDefault="00042391" w:rsidP="0067230F">
      <w:pPr>
        <w:pStyle w:val="FootnoteText"/>
        <w:jc w:val="both"/>
      </w:pPr>
      <w:r w:rsidRPr="00E72E6E">
        <w:rPr>
          <w:rStyle w:val="FootnoteReference"/>
        </w:rPr>
        <w:footnoteRef/>
      </w:r>
      <w:r w:rsidRPr="00E72E6E">
        <w:t xml:space="preserve"> </w:t>
      </w:r>
      <w:r w:rsidR="00D6075E">
        <w:t xml:space="preserve">It is also possible that there may not have been an </w:t>
      </w:r>
      <w:proofErr w:type="gramStart"/>
      <w:r w:rsidR="00D6075E" w:rsidRPr="00F90A54">
        <w:t>Article</w:t>
      </w:r>
      <w:proofErr w:type="gramEnd"/>
      <w:r w:rsidR="00D6075E" w:rsidRPr="00F90A54">
        <w:t xml:space="preserve"> III “case” or “controversy” for the court to </w:t>
      </w:r>
      <w:r w:rsidR="00D6075E">
        <w:t>adjudicate</w:t>
      </w:r>
      <w:r w:rsidR="00D6075E" w:rsidRPr="00F90A54">
        <w:t>.</w:t>
      </w:r>
      <w:r w:rsidR="00D6075E">
        <w:t xml:space="preserve"> </w:t>
      </w:r>
      <w:r w:rsidR="008F7A66">
        <w:t xml:space="preserve">As interpreted, </w:t>
      </w:r>
      <w:r w:rsidR="00CE7115" w:rsidRPr="00E72E6E">
        <w:t>Article III</w:t>
      </w:r>
      <w:r w:rsidR="00E14CAA">
        <w:t>,</w:t>
      </w:r>
      <w:r w:rsidR="00CE7115" w:rsidRPr="00E72E6E">
        <w:t xml:space="preserve"> </w:t>
      </w:r>
      <w:r w:rsidR="00A46EC3" w:rsidRPr="00E72E6E">
        <w:t xml:space="preserve">section </w:t>
      </w:r>
      <w:r w:rsidR="00243CCD">
        <w:t>2</w:t>
      </w:r>
      <w:r w:rsidR="00A46EC3" w:rsidRPr="00E72E6E">
        <w:t xml:space="preserve"> </w:t>
      </w:r>
      <w:r w:rsidR="00CE7115" w:rsidRPr="00E72E6E">
        <w:t xml:space="preserve">requires a “concrete disagreement between opposing parties” to render “a dispute suitable for judicial resolution.” </w:t>
      </w:r>
      <w:r w:rsidR="00CE7115" w:rsidRPr="00E72E6E">
        <w:rPr>
          <w:i/>
          <w:iCs/>
        </w:rPr>
        <w:t xml:space="preserve">United </w:t>
      </w:r>
      <w:r w:rsidR="00E14CAA">
        <w:rPr>
          <w:i/>
          <w:iCs/>
        </w:rPr>
        <w:t xml:space="preserve">States </w:t>
      </w:r>
      <w:r w:rsidR="00CE7115" w:rsidRPr="00E72E6E">
        <w:rPr>
          <w:i/>
          <w:iCs/>
        </w:rPr>
        <w:t>v. Windsor</w:t>
      </w:r>
      <w:r w:rsidR="00CE7115" w:rsidRPr="00E72E6E">
        <w:t>, 570 U.S. 744, 755 (2013).</w:t>
      </w:r>
      <w:r w:rsidR="00CE7115" w:rsidRPr="00E72E6E">
        <w:rPr>
          <w:i/>
          <w:iCs/>
        </w:rPr>
        <w:t xml:space="preserve"> </w:t>
      </w:r>
      <w:r w:rsidR="00CE7115" w:rsidRPr="00E72E6E">
        <w:t xml:space="preserve">In </w:t>
      </w:r>
      <w:r w:rsidR="00CE7115" w:rsidRPr="00E72E6E">
        <w:rPr>
          <w:i/>
          <w:iCs/>
        </w:rPr>
        <w:t>Windsor</w:t>
      </w:r>
      <w:r w:rsidR="00CE7115" w:rsidRPr="00E72E6E">
        <w:t xml:space="preserve">, the executive chose not to defend the constitutionality of the </w:t>
      </w:r>
      <w:r w:rsidR="00ED1257" w:rsidRPr="00E72E6E">
        <w:t xml:space="preserve">statutory </w:t>
      </w:r>
      <w:r w:rsidR="00CE7115" w:rsidRPr="00E72E6E">
        <w:t xml:space="preserve">provision challenged by the plaintiff. </w:t>
      </w:r>
      <w:r w:rsidR="00CE7115" w:rsidRPr="00E72E6E">
        <w:rPr>
          <w:i/>
          <w:iCs/>
        </w:rPr>
        <w:t>Id.</w:t>
      </w:r>
      <w:r w:rsidR="00CE7115" w:rsidRPr="00E72E6E">
        <w:t xml:space="preserve"> at 756. The Court held that “the Government’s agreement with Windsor’s position” did not “deprive the District Court of jurisdiction” because Windsor’s injury was still “concrete, persisting, and unredressed.” </w:t>
      </w:r>
      <w:r w:rsidR="00CE7115" w:rsidRPr="00E72E6E">
        <w:rPr>
          <w:i/>
          <w:iCs/>
        </w:rPr>
        <w:t>Id.</w:t>
      </w:r>
      <w:r w:rsidR="00CE7115" w:rsidRPr="00E72E6E">
        <w:t xml:space="preserve"> </w:t>
      </w:r>
      <w:r w:rsidR="005908DB">
        <w:t>T</w:t>
      </w:r>
      <w:r w:rsidR="00D56C9B" w:rsidRPr="00E72E6E">
        <w:t xml:space="preserve">he Supreme Court held </w:t>
      </w:r>
      <w:r w:rsidR="005908DB">
        <w:t xml:space="preserve">that </w:t>
      </w:r>
      <w:r w:rsidR="00D56C9B" w:rsidRPr="00E72E6E">
        <w:t xml:space="preserve">none of the plaintiffs </w:t>
      </w:r>
      <w:r w:rsidR="005908DB">
        <w:t xml:space="preserve">in </w:t>
      </w:r>
      <w:r w:rsidR="005908DB">
        <w:rPr>
          <w:i/>
          <w:iCs/>
        </w:rPr>
        <w:t xml:space="preserve">California </w:t>
      </w:r>
      <w:r w:rsidR="00D56C9B" w:rsidRPr="00E72E6E">
        <w:t xml:space="preserve">had such an injury. 141 S. Ct. at 2120. But it is possible that the case could have continued in some form given that the district court accepted the plaintiffs’ standing below. </w:t>
      </w:r>
      <w:r w:rsidR="00D56C9B" w:rsidRPr="00E72E6E">
        <w:rPr>
          <w:i/>
          <w:iCs/>
        </w:rPr>
        <w:t>Texas</w:t>
      </w:r>
      <w:r w:rsidR="00D56C9B" w:rsidRPr="00E72E6E">
        <w:t xml:space="preserve">, 340 F. Supp. 3d </w:t>
      </w:r>
      <w:r w:rsidR="005908DB">
        <w:t xml:space="preserve">at </w:t>
      </w:r>
      <w:r w:rsidR="00D56C9B" w:rsidRPr="00E72E6E">
        <w:t>593-95</w:t>
      </w:r>
      <w:r w:rsidR="00A46EC3" w:rsidRPr="00E72E6E">
        <w:t xml:space="preserve">; </w:t>
      </w:r>
      <w:r w:rsidR="00A46EC3" w:rsidRPr="00E72E6E">
        <w:rPr>
          <w:i/>
          <w:iCs/>
        </w:rPr>
        <w:t>Texas</w:t>
      </w:r>
      <w:r w:rsidR="00A46EC3" w:rsidRPr="00E72E6E">
        <w:t xml:space="preserve">, 945 F.3d at 374-77 &amp; n.17 (holding that there was an </w:t>
      </w:r>
      <w:proofErr w:type="gramStart"/>
      <w:r w:rsidR="00A46EC3" w:rsidRPr="00E72E6E">
        <w:t>Article</w:t>
      </w:r>
      <w:proofErr w:type="gramEnd"/>
      <w:r w:rsidR="00A46EC3" w:rsidRPr="00E72E6E">
        <w:t xml:space="preserve"> III controversy sufficient to support jurisdiction, but relying on the intervenors to provide a “sharp adversarial presentation of the issues” (quoting </w:t>
      </w:r>
      <w:r w:rsidR="00A46EC3" w:rsidRPr="00E72E6E">
        <w:rPr>
          <w:i/>
          <w:iCs/>
        </w:rPr>
        <w:t>Windsor</w:t>
      </w:r>
      <w:r w:rsidR="00A46EC3" w:rsidRPr="00E72E6E">
        <w:t>, 570 U.S. at 761)).</w:t>
      </w:r>
    </w:p>
  </w:footnote>
  <w:footnote w:id="8">
    <w:p w14:paraId="08E71FE9" w14:textId="444A6A3E" w:rsidR="00D367B7" w:rsidRPr="00E72E6E" w:rsidRDefault="00D367B7" w:rsidP="0067230F">
      <w:pPr>
        <w:pStyle w:val="FootnoteText"/>
        <w:jc w:val="both"/>
      </w:pPr>
      <w:r w:rsidRPr="00E72E6E">
        <w:rPr>
          <w:rStyle w:val="FootnoteReference"/>
        </w:rPr>
        <w:footnoteRef/>
      </w:r>
      <w:r w:rsidRPr="00E72E6E">
        <w:t xml:space="preserve"> </w:t>
      </w:r>
      <w:r w:rsidRPr="00E72E6E">
        <w:rPr>
          <w:i/>
          <w:iCs/>
        </w:rPr>
        <w:t xml:space="preserve">Am. Med. </w:t>
      </w:r>
      <w:proofErr w:type="spellStart"/>
      <w:r w:rsidRPr="00E72E6E">
        <w:rPr>
          <w:i/>
          <w:iCs/>
        </w:rPr>
        <w:t>Ass’n</w:t>
      </w:r>
      <w:proofErr w:type="spellEnd"/>
      <w:r w:rsidRPr="00E72E6E">
        <w:rPr>
          <w:i/>
          <w:iCs/>
        </w:rPr>
        <w:t xml:space="preserve"> v. Becerra</w:t>
      </w:r>
      <w:r w:rsidRPr="00E72E6E">
        <w:t xml:space="preserve">, 141 S. Ct. 2619, 2619 (2021). </w:t>
      </w:r>
    </w:p>
  </w:footnote>
  <w:footnote w:id="9">
    <w:p w14:paraId="168D3B22" w14:textId="0712E7B8" w:rsidR="00D367B7" w:rsidRPr="00E72E6E" w:rsidRDefault="00D367B7" w:rsidP="0067230F">
      <w:pPr>
        <w:pStyle w:val="FootnoteText"/>
        <w:jc w:val="both"/>
      </w:pPr>
      <w:r w:rsidRPr="00E72E6E">
        <w:rPr>
          <w:rStyle w:val="FootnoteReference"/>
        </w:rPr>
        <w:footnoteRef/>
      </w:r>
      <w:r w:rsidR="00123667">
        <w:t xml:space="preserve"> </w:t>
      </w:r>
      <w:r w:rsidRPr="00E72E6E">
        <w:t xml:space="preserve">Federal Parties’ Response in Opposition to the Motions for Leave to Intervene, </w:t>
      </w:r>
      <w:r w:rsidR="00054A61">
        <w:rPr>
          <w:i/>
          <w:iCs/>
        </w:rPr>
        <w:t xml:space="preserve">Am. Med. </w:t>
      </w:r>
      <w:proofErr w:type="spellStart"/>
      <w:r w:rsidR="00054A61">
        <w:rPr>
          <w:i/>
          <w:iCs/>
        </w:rPr>
        <w:t>Ass’n</w:t>
      </w:r>
      <w:proofErr w:type="spellEnd"/>
      <w:r w:rsidRPr="00E72E6E">
        <w:t>,</w:t>
      </w:r>
      <w:r w:rsidR="00054A61">
        <w:t xml:space="preserve"> 141 S. Ct. 2619 (</w:t>
      </w:r>
      <w:r w:rsidRPr="00E72E6E">
        <w:t>Nos. 20-429, 20-454, 20-539</w:t>
      </w:r>
      <w:r w:rsidR="00054A61">
        <w:t>)</w:t>
      </w:r>
      <w:r w:rsidRPr="00E72E6E">
        <w:t>.</w:t>
      </w:r>
    </w:p>
  </w:footnote>
  <w:footnote w:id="10">
    <w:p w14:paraId="3BA20DCE" w14:textId="4BBD917B" w:rsidR="00CF10AB" w:rsidRPr="00E72E6E" w:rsidRDefault="00CF10AB" w:rsidP="0067230F">
      <w:pPr>
        <w:pStyle w:val="FootnoteText"/>
        <w:jc w:val="both"/>
      </w:pPr>
      <w:r w:rsidRPr="00E72E6E">
        <w:rPr>
          <w:rStyle w:val="FootnoteReference"/>
        </w:rPr>
        <w:footnoteRef/>
      </w:r>
      <w:r w:rsidRPr="00E72E6E">
        <w:t xml:space="preserve"> </w:t>
      </w:r>
      <w:r w:rsidR="00F70B06">
        <w:t xml:space="preserve">Motion of Ohio and 18 Other States for Leave to Either Intervene or to Present Oral Argument as Amici Curiae, </w:t>
      </w:r>
      <w:r w:rsidR="00F70B06">
        <w:rPr>
          <w:i/>
          <w:iCs/>
        </w:rPr>
        <w:t xml:space="preserve">Am. Med. </w:t>
      </w:r>
      <w:proofErr w:type="spellStart"/>
      <w:r w:rsidR="00F70B06">
        <w:rPr>
          <w:i/>
          <w:iCs/>
        </w:rPr>
        <w:t>Ass’n</w:t>
      </w:r>
      <w:proofErr w:type="spellEnd"/>
      <w:r w:rsidR="00F70B06" w:rsidRPr="00E72E6E">
        <w:t>,</w:t>
      </w:r>
      <w:r w:rsidR="00F70B06">
        <w:t xml:space="preserve"> 141 S. Ct. 2619 (</w:t>
      </w:r>
      <w:r w:rsidR="00F70B06" w:rsidRPr="00E72E6E">
        <w:t>Nos. 20-429, 20-454, 20-539</w:t>
      </w:r>
      <w:r w:rsidR="00F70B06">
        <w:t xml:space="preserve">); Motion of the American Association of Pro-Life Obstetricians &amp; Gynecologists, the Christian Medical and Dental Associations, and the Catholic Medical Association to Intervene or to Present Oral Argument as Amici Curiae, </w:t>
      </w:r>
      <w:r w:rsidR="00F70B06">
        <w:rPr>
          <w:i/>
          <w:iCs/>
        </w:rPr>
        <w:t xml:space="preserve">Am. Med. </w:t>
      </w:r>
      <w:proofErr w:type="spellStart"/>
      <w:r w:rsidR="00F70B06">
        <w:rPr>
          <w:i/>
          <w:iCs/>
        </w:rPr>
        <w:t>Ass’n</w:t>
      </w:r>
      <w:proofErr w:type="spellEnd"/>
      <w:r w:rsidR="00F70B06" w:rsidRPr="00E72E6E">
        <w:t>,</w:t>
      </w:r>
      <w:r w:rsidR="00F70B06">
        <w:t xml:space="preserve"> 141 S. Ct. 2619 (</w:t>
      </w:r>
      <w:r w:rsidR="00F70B06" w:rsidRPr="00E72E6E">
        <w:t>Nos. 20-429, 20-454, 20-539</w:t>
      </w:r>
      <w:r w:rsidR="00F70B06">
        <w:t>)</w:t>
      </w:r>
      <w:r w:rsidR="00F70B06" w:rsidRPr="00E72E6E">
        <w:t>.</w:t>
      </w:r>
    </w:p>
  </w:footnote>
  <w:footnote w:id="11">
    <w:p w14:paraId="707F149A" w14:textId="15A76465" w:rsidR="00CF10AB" w:rsidRPr="00E72E6E" w:rsidRDefault="00CF10AB" w:rsidP="0067230F">
      <w:pPr>
        <w:pStyle w:val="FootnoteText"/>
        <w:jc w:val="both"/>
      </w:pPr>
      <w:r w:rsidRPr="00E72E6E">
        <w:rPr>
          <w:rStyle w:val="FootnoteReference"/>
        </w:rPr>
        <w:footnoteRef/>
      </w:r>
      <w:r w:rsidRPr="00E72E6E">
        <w:t xml:space="preserve"> </w:t>
      </w:r>
      <w:r w:rsidR="00F70B06">
        <w:rPr>
          <w:i/>
          <w:iCs/>
        </w:rPr>
        <w:t xml:space="preserve">Am. Med. </w:t>
      </w:r>
      <w:proofErr w:type="spellStart"/>
      <w:r w:rsidR="00F70B06">
        <w:rPr>
          <w:i/>
          <w:iCs/>
        </w:rPr>
        <w:t>Ass’n</w:t>
      </w:r>
      <w:proofErr w:type="spellEnd"/>
      <w:r w:rsidR="00F70B06" w:rsidRPr="00E72E6E">
        <w:t>,</w:t>
      </w:r>
      <w:r w:rsidR="00F70B06">
        <w:t xml:space="preserve"> 141 S. Ct. at 2619 </w:t>
      </w:r>
      <w:r w:rsidRPr="00E72E6E">
        <w:t xml:space="preserve">(“Justice Thomas, Justice Alito, and Justice Gorsuch would grant the motions for leave to intervene and deny the stipulations to dismiss the petition.”). </w:t>
      </w:r>
    </w:p>
  </w:footnote>
  <w:footnote w:id="12">
    <w:p w14:paraId="1A090186" w14:textId="41D2751A" w:rsidR="00B41A8E" w:rsidRPr="00E72E6E" w:rsidRDefault="00A33779" w:rsidP="0067230F">
      <w:pPr>
        <w:pStyle w:val="FootnoteText"/>
        <w:jc w:val="both"/>
      </w:pPr>
      <w:r w:rsidRPr="00E72E6E">
        <w:rPr>
          <w:rStyle w:val="FootnoteReference"/>
        </w:rPr>
        <w:footnoteRef/>
      </w:r>
      <w:r w:rsidRPr="00E72E6E">
        <w:t xml:space="preserve"> </w:t>
      </w:r>
      <w:r w:rsidR="00DA288B" w:rsidRPr="00E72E6E">
        <w:t xml:space="preserve">The term “universal remedies” is an umbrella term </w:t>
      </w:r>
      <w:r w:rsidR="00210B23">
        <w:t>for</w:t>
      </w:r>
      <w:r w:rsidR="00DA288B" w:rsidRPr="00E72E6E">
        <w:t xml:space="preserve"> equitable relief that appl</w:t>
      </w:r>
      <w:r w:rsidR="00210B23">
        <w:t>ies</w:t>
      </w:r>
      <w:r w:rsidR="00DA288B" w:rsidRPr="00E72E6E">
        <w:t xml:space="preserve"> nationwide and to nonparties. One example is the nationwide injunction, although that term </w:t>
      </w:r>
      <w:r w:rsidR="00D62101" w:rsidRPr="00E72E6E">
        <w:t xml:space="preserve">itself </w:t>
      </w:r>
      <w:r w:rsidR="00DA288B" w:rsidRPr="00E72E6E">
        <w:t xml:space="preserve">is imperfect. </w:t>
      </w:r>
      <w:r w:rsidR="00DA288B" w:rsidRPr="00E72E6E">
        <w:rPr>
          <w:i/>
          <w:iCs/>
        </w:rPr>
        <w:t>See, e.g., Trump v. Hawaii</w:t>
      </w:r>
      <w:r w:rsidR="00DA288B" w:rsidRPr="00E72E6E">
        <w:t>, 138 S. Ct. 2392, 2425 n.1 (2018) (Thomas, J., concurring) (“[Nationwide] injunctions are distinctive because they prohibit the Government from enforcing a policy with respect to anyone, including nonparties—not because they have wide geographic breadth.”). Another example</w:t>
      </w:r>
      <w:r w:rsidR="00D65487" w:rsidRPr="00E72E6E">
        <w:t xml:space="preserve"> of a universal remedy</w:t>
      </w:r>
      <w:r w:rsidR="00DA288B" w:rsidRPr="00E72E6E">
        <w:t xml:space="preserve"> is when </w:t>
      </w:r>
      <w:r w:rsidR="00210B23">
        <w:t xml:space="preserve">a </w:t>
      </w:r>
      <w:r w:rsidR="00DA288B" w:rsidRPr="00E72E6E">
        <w:t>court “vacate</w:t>
      </w:r>
      <w:r w:rsidR="00210B23">
        <w:t>s</w:t>
      </w:r>
      <w:r w:rsidR="00DA288B" w:rsidRPr="00E72E6E">
        <w:t>” or “set</w:t>
      </w:r>
      <w:r w:rsidR="00210B23">
        <w:t>s</w:t>
      </w:r>
      <w:r w:rsidR="00DA288B" w:rsidRPr="00E72E6E">
        <w:t xml:space="preserve"> aside” federal </w:t>
      </w:r>
      <w:r w:rsidR="000B0120" w:rsidRPr="00E72E6E">
        <w:t xml:space="preserve">agency </w:t>
      </w:r>
      <w:r w:rsidR="00DA288B" w:rsidRPr="00E72E6E">
        <w:t xml:space="preserve">rules under the Administrative Procedure Act. </w:t>
      </w:r>
      <w:r w:rsidR="00DA288B" w:rsidRPr="00E72E6E">
        <w:rPr>
          <w:i/>
          <w:iCs/>
        </w:rPr>
        <w:t xml:space="preserve">See </w:t>
      </w:r>
      <w:r w:rsidR="00DA288B" w:rsidRPr="00E72E6E">
        <w:t xml:space="preserve">Mila </w:t>
      </w:r>
      <w:proofErr w:type="spellStart"/>
      <w:r w:rsidR="00DA288B" w:rsidRPr="00E72E6E">
        <w:t>Sohoni</w:t>
      </w:r>
      <w:proofErr w:type="spellEnd"/>
      <w:r w:rsidR="00DA288B" w:rsidRPr="00E72E6E">
        <w:t xml:space="preserve">, </w:t>
      </w:r>
      <w:r w:rsidR="00DA288B" w:rsidRPr="00E72E6E">
        <w:rPr>
          <w:i/>
          <w:iCs/>
        </w:rPr>
        <w:t>The Power to Vacate a Rule</w:t>
      </w:r>
      <w:r w:rsidR="00DA288B" w:rsidRPr="00E72E6E">
        <w:t>, 88 Geo. Wash. L. Rev. 1121 (2020)</w:t>
      </w:r>
      <w:r w:rsidR="00CC1FC8">
        <w:t xml:space="preserve"> (hereinafter “Power to Vacate”)</w:t>
      </w:r>
      <w:r w:rsidR="00DA288B" w:rsidRPr="00E72E6E">
        <w:t>.</w:t>
      </w:r>
      <w:r w:rsidR="00B41A8E" w:rsidRPr="00E72E6E">
        <w:t xml:space="preserve"> </w:t>
      </w:r>
    </w:p>
  </w:footnote>
  <w:footnote w:id="13">
    <w:p w14:paraId="2AE1E186" w14:textId="6709BA30" w:rsidR="00CE669D" w:rsidRPr="00E72E6E" w:rsidRDefault="00CE669D" w:rsidP="0067230F">
      <w:pPr>
        <w:pStyle w:val="FootnoteText"/>
        <w:jc w:val="both"/>
      </w:pPr>
      <w:r w:rsidRPr="00E72E6E">
        <w:rPr>
          <w:rStyle w:val="FootnoteReference"/>
        </w:rPr>
        <w:footnoteRef/>
      </w:r>
      <w:r w:rsidRPr="00E72E6E">
        <w:t xml:space="preserve"> Fed. R. Civ. P. 24(a)</w:t>
      </w:r>
      <w:r w:rsidR="00245344" w:rsidRPr="00E72E6E">
        <w:t>-(b)</w:t>
      </w:r>
      <w:r w:rsidRPr="00E72E6E">
        <w:t xml:space="preserve">. </w:t>
      </w:r>
    </w:p>
  </w:footnote>
  <w:footnote w:id="14">
    <w:p w14:paraId="7A3FF474" w14:textId="52DE1B80" w:rsidR="00162B72" w:rsidRPr="005908DB" w:rsidRDefault="00162B72" w:rsidP="0067230F">
      <w:pPr>
        <w:pStyle w:val="FootnoteText"/>
        <w:jc w:val="both"/>
      </w:pPr>
      <w:r w:rsidRPr="00E72E6E">
        <w:rPr>
          <w:rStyle w:val="FootnoteReference"/>
        </w:rPr>
        <w:footnoteRef/>
      </w:r>
      <w:r w:rsidRPr="00E72E6E">
        <w:t xml:space="preserve"> </w:t>
      </w:r>
      <w:r w:rsidR="005908DB">
        <w:rPr>
          <w:i/>
          <w:iCs/>
        </w:rPr>
        <w:t>See</w:t>
      </w:r>
      <w:r w:rsidR="008F50C1">
        <w:rPr>
          <w:i/>
          <w:iCs/>
        </w:rPr>
        <w:t xml:space="preserve"> </w:t>
      </w:r>
      <w:r w:rsidR="005908DB" w:rsidRPr="004C12E6">
        <w:t>section II.B</w:t>
      </w:r>
      <w:r w:rsidR="004C12E6">
        <w:t xml:space="preserve">, </w:t>
      </w:r>
      <w:r w:rsidR="004C12E6">
        <w:rPr>
          <w:i/>
          <w:iCs/>
        </w:rPr>
        <w:t>infra</w:t>
      </w:r>
      <w:r w:rsidR="005908DB" w:rsidRPr="004C12E6">
        <w:t>.</w:t>
      </w:r>
    </w:p>
  </w:footnote>
  <w:footnote w:id="15">
    <w:p w14:paraId="5D4D3ED0" w14:textId="0F51C806" w:rsidR="00B451AB" w:rsidRPr="00B451AB" w:rsidRDefault="00B451AB" w:rsidP="0067230F">
      <w:pPr>
        <w:pStyle w:val="FootnoteText"/>
        <w:jc w:val="both"/>
      </w:pPr>
      <w:r>
        <w:rPr>
          <w:rStyle w:val="FootnoteReference"/>
        </w:rPr>
        <w:footnoteRef/>
      </w:r>
      <w:r>
        <w:t xml:space="preserve"> Suzette Malveaux, </w:t>
      </w:r>
      <w:r>
        <w:rPr>
          <w:i/>
          <w:iCs/>
        </w:rPr>
        <w:t xml:space="preserve">National Injunctions: What Does the Future </w:t>
      </w:r>
      <w:proofErr w:type="gramStart"/>
      <w:r>
        <w:rPr>
          <w:i/>
          <w:iCs/>
        </w:rPr>
        <w:t>Hold?</w:t>
      </w:r>
      <w:r>
        <w:t>,</w:t>
      </w:r>
      <w:proofErr w:type="gramEnd"/>
      <w:r>
        <w:t xml:space="preserve"> 91 Colo. L. Rev. 779, 779 (2020). </w:t>
      </w:r>
    </w:p>
  </w:footnote>
  <w:footnote w:id="16">
    <w:p w14:paraId="536DA635" w14:textId="07A5EAA7" w:rsidR="00D8617F" w:rsidRPr="00D8617F" w:rsidRDefault="00133A24" w:rsidP="00D8617F">
      <w:pPr>
        <w:pStyle w:val="FootnoteText"/>
        <w:jc w:val="both"/>
      </w:pPr>
      <w:r w:rsidRPr="00E72E6E">
        <w:rPr>
          <w:rStyle w:val="FootnoteReference"/>
        </w:rPr>
        <w:footnoteRef/>
      </w:r>
      <w:r w:rsidRPr="00E72E6E">
        <w:t xml:space="preserve"> </w:t>
      </w:r>
      <w:r w:rsidRPr="00E72E6E">
        <w:rPr>
          <w:i/>
          <w:iCs/>
        </w:rPr>
        <w:t>See</w:t>
      </w:r>
      <w:r w:rsidRPr="0019335E">
        <w:rPr>
          <w:i/>
          <w:iCs/>
        </w:rPr>
        <w:t>,</w:t>
      </w:r>
      <w:r w:rsidRPr="00E72E6E">
        <w:t xml:space="preserve"> </w:t>
      </w:r>
      <w:r w:rsidRPr="00E72E6E">
        <w:rPr>
          <w:i/>
          <w:iCs/>
        </w:rPr>
        <w:t>e.g.</w:t>
      </w:r>
      <w:r w:rsidRPr="00E72E6E">
        <w:t xml:space="preserve">, Samuel L. Bray, </w:t>
      </w:r>
      <w:r w:rsidRPr="00E72E6E">
        <w:rPr>
          <w:i/>
          <w:iCs/>
        </w:rPr>
        <w:t>Multiple Chancellors: Reforming the National Injunction</w:t>
      </w:r>
      <w:r w:rsidRPr="00E72E6E">
        <w:t xml:space="preserve">, 131 Harv. L. Rev. 417 (2017); Amanda Frost, </w:t>
      </w:r>
      <w:r w:rsidRPr="00E72E6E">
        <w:rPr>
          <w:i/>
          <w:iCs/>
        </w:rPr>
        <w:t>In Defense of Nationwide Injunctions</w:t>
      </w:r>
      <w:r w:rsidRPr="00E72E6E">
        <w:t>, 93 N.Y.U. L. Rev. 1065 (2018);</w:t>
      </w:r>
      <w:r w:rsidRPr="00E72E6E">
        <w:rPr>
          <w:i/>
          <w:iCs/>
        </w:rPr>
        <w:t xml:space="preserve"> </w:t>
      </w:r>
      <w:r w:rsidR="00D8617F" w:rsidRPr="00E72E6E">
        <w:t xml:space="preserve">Howard M. Wasserman, </w:t>
      </w:r>
      <w:r w:rsidR="00D8617F" w:rsidRPr="00E72E6E">
        <w:rPr>
          <w:i/>
          <w:iCs/>
        </w:rPr>
        <w:t>“Nationwide” Injunctions Are Really “Universal” Injunctions and They Are Never Appropriate</w:t>
      </w:r>
      <w:r w:rsidR="00D8617F" w:rsidRPr="00E72E6E">
        <w:t>, 22 Lewis &amp; Clark L. Rev. 335, 335-40 (2018)</w:t>
      </w:r>
      <w:r w:rsidR="00D8617F">
        <w:t xml:space="preserve">; </w:t>
      </w:r>
      <w:r w:rsidRPr="00E72E6E">
        <w:t xml:space="preserve">Mila </w:t>
      </w:r>
      <w:proofErr w:type="spellStart"/>
      <w:r w:rsidRPr="00E72E6E">
        <w:t>Sohoni</w:t>
      </w:r>
      <w:proofErr w:type="spellEnd"/>
      <w:r w:rsidRPr="00E72E6E">
        <w:t xml:space="preserve">, </w:t>
      </w:r>
      <w:r w:rsidRPr="00E72E6E">
        <w:rPr>
          <w:i/>
          <w:iCs/>
        </w:rPr>
        <w:t>The Lost History of the “Universal” Injunction</w:t>
      </w:r>
      <w:r w:rsidRPr="00E72E6E">
        <w:t>, 133 Harv. L. Rev. 920 (2020)</w:t>
      </w:r>
      <w:r w:rsidR="00CA6014">
        <w:t xml:space="preserve">; </w:t>
      </w:r>
      <w:r w:rsidR="00CA6014" w:rsidRPr="00E72E6E">
        <w:t xml:space="preserve">Doug </w:t>
      </w:r>
      <w:proofErr w:type="spellStart"/>
      <w:r w:rsidR="00CA6014" w:rsidRPr="00E72E6E">
        <w:t>Rendleman</w:t>
      </w:r>
      <w:proofErr w:type="spellEnd"/>
      <w:r w:rsidR="00CA6014" w:rsidRPr="00E72E6E">
        <w:t xml:space="preserve">, </w:t>
      </w:r>
      <w:r w:rsidR="00CA6014" w:rsidRPr="00E72E6E">
        <w:rPr>
          <w:i/>
          <w:iCs/>
        </w:rPr>
        <w:t>Preserving the Nationwide National Government Injunction to Stop Illegal Executive Branch Activity</w:t>
      </w:r>
      <w:r w:rsidR="00CA6014" w:rsidRPr="00E72E6E">
        <w:t>, 91 U. Colo. L. Rev. 887 (2020);</w:t>
      </w:r>
      <w:r w:rsidR="00CA6014" w:rsidRPr="00CA6014">
        <w:t xml:space="preserve"> </w:t>
      </w:r>
      <w:r w:rsidR="00D8617F">
        <w:t xml:space="preserve">John Harrison, </w:t>
      </w:r>
      <w:r w:rsidR="00D8617F">
        <w:rPr>
          <w:i/>
          <w:iCs/>
        </w:rPr>
        <w:t xml:space="preserve">Federal Judicial Power and </w:t>
      </w:r>
      <w:r w:rsidR="00D8617F" w:rsidRPr="00D8617F">
        <w:rPr>
          <w:i/>
          <w:iCs/>
        </w:rPr>
        <w:t>Federal Equity Without Federal Equity Powers</w:t>
      </w:r>
      <w:r w:rsidR="00D8617F" w:rsidRPr="00D8617F">
        <w:t>, 97 Notre Dame L. Rev. 1911 (2022)</w:t>
      </w:r>
      <w:r w:rsidR="00033A8B">
        <w:t xml:space="preserve"> (hereinafter “Federal Judicial Power”)</w:t>
      </w:r>
      <w:r w:rsidR="00D8617F">
        <w:t>.</w:t>
      </w:r>
    </w:p>
  </w:footnote>
  <w:footnote w:id="17">
    <w:p w14:paraId="73A01EC7" w14:textId="1835E2BC" w:rsidR="00357EB1" w:rsidRPr="00E72E6E" w:rsidRDefault="005B3271" w:rsidP="0067230F">
      <w:pPr>
        <w:pStyle w:val="FootnoteText"/>
        <w:jc w:val="both"/>
      </w:pPr>
      <w:r w:rsidRPr="00E72E6E">
        <w:rPr>
          <w:rStyle w:val="FootnoteReference"/>
        </w:rPr>
        <w:footnoteRef/>
      </w:r>
      <w:r w:rsidRPr="00E72E6E">
        <w:t xml:space="preserve"> </w:t>
      </w:r>
      <w:r w:rsidR="00972637">
        <w:t xml:space="preserve">Several articles address different aspects of Article III standing, </w:t>
      </w:r>
      <w:r w:rsidR="00972637">
        <w:rPr>
          <w:i/>
          <w:iCs/>
        </w:rPr>
        <w:t xml:space="preserve">see </w:t>
      </w:r>
      <w:r w:rsidRPr="00E72E6E">
        <w:t xml:space="preserve">Aaron-Andrew P. </w:t>
      </w:r>
      <w:proofErr w:type="spellStart"/>
      <w:r w:rsidRPr="00E72E6E">
        <w:t>Bruhl</w:t>
      </w:r>
      <w:proofErr w:type="spellEnd"/>
      <w:r w:rsidRPr="00E72E6E">
        <w:t xml:space="preserve">, </w:t>
      </w:r>
      <w:r w:rsidRPr="00E72E6E">
        <w:rPr>
          <w:i/>
          <w:iCs/>
        </w:rPr>
        <w:t>One Good Plaintiff Is Not Enough</w:t>
      </w:r>
      <w:r w:rsidRPr="00E72E6E">
        <w:t xml:space="preserve">, 67 Duke L.J. 481, 551-52 (2017); </w:t>
      </w:r>
      <w:r w:rsidR="00357EB1" w:rsidRPr="00E72E6E">
        <w:t xml:space="preserve">Katherine Mims Crocker, </w:t>
      </w:r>
      <w:r w:rsidR="00357EB1" w:rsidRPr="00E72E6E">
        <w:rPr>
          <w:i/>
          <w:iCs/>
        </w:rPr>
        <w:t>An Organizational Account of State Standing</w:t>
      </w:r>
      <w:r w:rsidR="00357EB1" w:rsidRPr="00E72E6E">
        <w:t>, 94 Notre Dame L. Rev. 2057 (2019)</w:t>
      </w:r>
      <w:r w:rsidR="00972637">
        <w:t>;</w:t>
      </w:r>
      <w:r w:rsidR="00357EB1" w:rsidRPr="00E72E6E">
        <w:t xml:space="preserve"> Seth Davis, </w:t>
      </w:r>
      <w:r w:rsidR="00357EB1" w:rsidRPr="00E72E6E">
        <w:rPr>
          <w:i/>
          <w:iCs/>
        </w:rPr>
        <w:t>The New Public Standing</w:t>
      </w:r>
      <w:r w:rsidR="00357EB1" w:rsidRPr="00E72E6E">
        <w:t xml:space="preserve">, 71 Stan. L. Rev. 1229 (2019); Joseph D. </w:t>
      </w:r>
      <w:proofErr w:type="spellStart"/>
      <w:r w:rsidR="00357EB1" w:rsidRPr="00E72E6E">
        <w:t>Kmak</w:t>
      </w:r>
      <w:proofErr w:type="spellEnd"/>
      <w:r w:rsidR="00357EB1" w:rsidRPr="00E72E6E">
        <w:t xml:space="preserve">, </w:t>
      </w:r>
      <w:r w:rsidR="00357EB1" w:rsidRPr="00E72E6E">
        <w:rPr>
          <w:i/>
          <w:iCs/>
        </w:rPr>
        <w:t>Abusing the Judicial Power: A Geographic Approach to Address Nationwide Injunctions and State Standing</w:t>
      </w:r>
      <w:r w:rsidR="00357EB1" w:rsidRPr="00E72E6E">
        <w:t xml:space="preserve">, 70 Emory L.J. 1325 (2021); </w:t>
      </w:r>
      <w:r w:rsidR="00FE0C51" w:rsidRPr="00E72E6E">
        <w:t xml:space="preserve">Bradford </w:t>
      </w:r>
      <w:proofErr w:type="spellStart"/>
      <w:r w:rsidR="00FE0C51" w:rsidRPr="00E72E6E">
        <w:t>Mank</w:t>
      </w:r>
      <w:proofErr w:type="spellEnd"/>
      <w:r w:rsidR="00FE0C51" w:rsidRPr="00E72E6E">
        <w:t xml:space="preserve"> &amp; Michael E. </w:t>
      </w:r>
      <w:proofErr w:type="spellStart"/>
      <w:r w:rsidR="00FE0C51" w:rsidRPr="00E72E6E">
        <w:t>Solimine</w:t>
      </w:r>
      <w:proofErr w:type="spellEnd"/>
      <w:r w:rsidR="00FE0C51" w:rsidRPr="00E72E6E">
        <w:t xml:space="preserve">, </w:t>
      </w:r>
      <w:r w:rsidR="00FE0C51" w:rsidRPr="00E72E6E">
        <w:rPr>
          <w:i/>
          <w:iCs/>
        </w:rPr>
        <w:t>State Standing and National Injunctions</w:t>
      </w:r>
      <w:r w:rsidR="00FE0C51" w:rsidRPr="00E72E6E">
        <w:t>, 94 Notre Dame L. Rev. 1955 (2019)</w:t>
      </w:r>
      <w:r w:rsidR="00972637">
        <w:t xml:space="preserve">; </w:t>
      </w:r>
      <w:r w:rsidR="00972637" w:rsidRPr="00E72E6E">
        <w:t xml:space="preserve">Rachel </w:t>
      </w:r>
      <w:proofErr w:type="spellStart"/>
      <w:r w:rsidR="00972637" w:rsidRPr="00E72E6E">
        <w:t>Bayefsky</w:t>
      </w:r>
      <w:proofErr w:type="spellEnd"/>
      <w:r w:rsidR="00972637" w:rsidRPr="00E72E6E">
        <w:t xml:space="preserve">, </w:t>
      </w:r>
      <w:r w:rsidR="00972637" w:rsidRPr="00E72E6E">
        <w:rPr>
          <w:i/>
          <w:iCs/>
        </w:rPr>
        <w:t>Remedies and Respect: Rethinking the Role of Federal Judicial Relief</w:t>
      </w:r>
      <w:r w:rsidR="00972637" w:rsidRPr="00E72E6E">
        <w:t>, 109 Geo. L.J. 1263 (2021)</w:t>
      </w:r>
      <w:r w:rsidR="00DC4299">
        <w:t xml:space="preserve"> (hereinafter “Remedies and Respect”)</w:t>
      </w:r>
      <w:r w:rsidR="00972637">
        <w:t>,</w:t>
      </w:r>
      <w:r w:rsidR="00972637" w:rsidRPr="00E72E6E">
        <w:t xml:space="preserve"> </w:t>
      </w:r>
      <w:r w:rsidR="00972637">
        <w:t xml:space="preserve">in addition to other doctrines, </w:t>
      </w:r>
      <w:r w:rsidR="00972637">
        <w:rPr>
          <w:i/>
          <w:iCs/>
        </w:rPr>
        <w:t>see</w:t>
      </w:r>
      <w:r w:rsidR="00FE0C51" w:rsidRPr="00E72E6E">
        <w:t xml:space="preserve"> </w:t>
      </w:r>
      <w:r w:rsidRPr="00E72E6E">
        <w:t xml:space="preserve">Zachary D. Clopton, </w:t>
      </w:r>
      <w:r w:rsidRPr="00E72E6E">
        <w:rPr>
          <w:i/>
          <w:iCs/>
        </w:rPr>
        <w:t>National Injunctions and Preclusion</w:t>
      </w:r>
      <w:r w:rsidRPr="00E72E6E">
        <w:t>, 118 Mich. L. Rev. 1 (2019) (non-mutual issue preclusion);</w:t>
      </w:r>
      <w:r w:rsidR="00357EB1" w:rsidRPr="00E72E6E">
        <w:t xml:space="preserve"> </w:t>
      </w:r>
      <w:r w:rsidR="0019335E" w:rsidRPr="00E72E6E">
        <w:t xml:space="preserve">Alan M. Trammell, </w:t>
      </w:r>
      <w:r w:rsidR="0019335E" w:rsidRPr="00E72E6E">
        <w:rPr>
          <w:i/>
          <w:iCs/>
        </w:rPr>
        <w:t>Demystifying Nationwide Injunctions</w:t>
      </w:r>
      <w:r w:rsidR="0019335E" w:rsidRPr="00E72E6E">
        <w:t>, 98 Tex. L. Rev. 67 (2019)</w:t>
      </w:r>
      <w:r w:rsidR="0019335E">
        <w:t xml:space="preserve"> (preclusion); </w:t>
      </w:r>
      <w:proofErr w:type="spellStart"/>
      <w:r w:rsidR="00357EB1" w:rsidRPr="00E72E6E">
        <w:t>Nadin</w:t>
      </w:r>
      <w:proofErr w:type="spellEnd"/>
      <w:r w:rsidR="00357EB1" w:rsidRPr="00E72E6E">
        <w:t xml:space="preserve"> R. </w:t>
      </w:r>
      <w:proofErr w:type="spellStart"/>
      <w:r w:rsidR="00357EB1" w:rsidRPr="00E72E6E">
        <w:t>Linthorst</w:t>
      </w:r>
      <w:proofErr w:type="spellEnd"/>
      <w:r w:rsidR="00357EB1" w:rsidRPr="00E72E6E">
        <w:t xml:space="preserve">, </w:t>
      </w:r>
      <w:r w:rsidR="00357EB1" w:rsidRPr="00E72E6E">
        <w:rPr>
          <w:i/>
          <w:iCs/>
        </w:rPr>
        <w:t>Entering the Political Thicket with Nationwide Injunctions</w:t>
      </w:r>
      <w:r w:rsidR="00357EB1" w:rsidRPr="00E72E6E">
        <w:t xml:space="preserve">, 125 Penn St. L. Rev. 67 (2020) (political-question doctrine); James E. </w:t>
      </w:r>
      <w:proofErr w:type="spellStart"/>
      <w:r w:rsidR="00357EB1" w:rsidRPr="00E72E6E">
        <w:t>Pfander</w:t>
      </w:r>
      <w:proofErr w:type="spellEnd"/>
      <w:r w:rsidR="00357EB1" w:rsidRPr="00E72E6E">
        <w:t xml:space="preserve"> &amp; Jacob P. Wentzel, </w:t>
      </w:r>
      <w:r w:rsidR="00357EB1" w:rsidRPr="00E72E6E">
        <w:rPr>
          <w:i/>
          <w:iCs/>
        </w:rPr>
        <w:t>The Common Law Origins of</w:t>
      </w:r>
      <w:r w:rsidR="00357EB1" w:rsidRPr="00E72E6E">
        <w:t xml:space="preserve"> Ex </w:t>
      </w:r>
      <w:proofErr w:type="spellStart"/>
      <w:r w:rsidR="00357EB1" w:rsidRPr="00E72E6E">
        <w:t>Parte</w:t>
      </w:r>
      <w:proofErr w:type="spellEnd"/>
      <w:r w:rsidR="00357EB1" w:rsidRPr="00E72E6E">
        <w:t xml:space="preserve"> Young, 72 Stan. L. Rev. 1269 (2020) (</w:t>
      </w:r>
      <w:r w:rsidR="00357EB1" w:rsidRPr="00E72E6E">
        <w:rPr>
          <w:i/>
          <w:iCs/>
        </w:rPr>
        <w:t xml:space="preserve">Ex </w:t>
      </w:r>
      <w:proofErr w:type="spellStart"/>
      <w:r w:rsidR="00357EB1" w:rsidRPr="00E72E6E">
        <w:rPr>
          <w:i/>
          <w:iCs/>
        </w:rPr>
        <w:t>parte</w:t>
      </w:r>
      <w:proofErr w:type="spellEnd"/>
      <w:r w:rsidR="00357EB1" w:rsidRPr="00E72E6E">
        <w:rPr>
          <w:i/>
          <w:iCs/>
        </w:rPr>
        <w:t xml:space="preserve"> Young </w:t>
      </w:r>
      <w:r w:rsidR="00357EB1" w:rsidRPr="00E72E6E">
        <w:t xml:space="preserve">relief); Ezra Ishmael Young, </w:t>
      </w:r>
      <w:r w:rsidR="00357EB1" w:rsidRPr="00E72E6E">
        <w:rPr>
          <w:i/>
          <w:iCs/>
        </w:rPr>
        <w:t>The Chancellors Are Alright: Nationwide Injunctions and an Abstention Doctrine to Salve What Ails Us</w:t>
      </w:r>
      <w:r w:rsidR="00357EB1" w:rsidRPr="00E72E6E">
        <w:t xml:space="preserve">, 69 </w:t>
      </w:r>
      <w:proofErr w:type="spellStart"/>
      <w:r w:rsidR="00357EB1" w:rsidRPr="00E72E6E">
        <w:t>Clev</w:t>
      </w:r>
      <w:proofErr w:type="spellEnd"/>
      <w:r w:rsidR="00357EB1" w:rsidRPr="00E72E6E">
        <w:t>. St. L. Rev. 859 (2021) (abstention)</w:t>
      </w:r>
      <w:r w:rsidR="00972637">
        <w:t>.</w:t>
      </w:r>
      <w:r w:rsidR="001D74C8" w:rsidRPr="00E72E6E">
        <w:t xml:space="preserve"> </w:t>
      </w:r>
      <w:r w:rsidR="00972637">
        <w:t xml:space="preserve">Many of the cited works </w:t>
      </w:r>
      <w:r w:rsidR="0019335E">
        <w:t xml:space="preserve">in fall into </w:t>
      </w:r>
      <w:r w:rsidR="003E6098">
        <w:t>several of</w:t>
      </w:r>
      <w:r w:rsidR="0019335E">
        <w:t xml:space="preserve"> the listed categories. </w:t>
      </w:r>
    </w:p>
  </w:footnote>
  <w:footnote w:id="18">
    <w:p w14:paraId="3E1BE4EB" w14:textId="59022D3E" w:rsidR="005B3271" w:rsidRPr="00E72E6E" w:rsidRDefault="005B3271" w:rsidP="0067230F">
      <w:pPr>
        <w:pStyle w:val="FootnoteText"/>
        <w:jc w:val="both"/>
      </w:pPr>
      <w:r w:rsidRPr="00E72E6E">
        <w:rPr>
          <w:rStyle w:val="FootnoteReference"/>
        </w:rPr>
        <w:footnoteRef/>
      </w:r>
      <w:r w:rsidRPr="00E72E6E">
        <w:t xml:space="preserve"> </w:t>
      </w:r>
      <w:r w:rsidR="004009A3" w:rsidRPr="00E72E6E">
        <w:t xml:space="preserve">Ronald A. Cass, </w:t>
      </w:r>
      <w:r w:rsidR="004009A3" w:rsidRPr="00E72E6E">
        <w:rPr>
          <w:i/>
          <w:iCs/>
        </w:rPr>
        <w:t>Nationwide Injunctions’ Governance Problems: Forum Shopping, Politicizing Courts, and Eroding Constitutional Structure</w:t>
      </w:r>
      <w:r w:rsidR="004009A3" w:rsidRPr="00E72E6E">
        <w:t xml:space="preserve">, 27 Geo. Mason L. Rev. 29 (2019); </w:t>
      </w:r>
      <w:r w:rsidR="00357EB1" w:rsidRPr="00E72E6E">
        <w:t xml:space="preserve">Michael T. Morley, </w:t>
      </w:r>
      <w:r w:rsidR="00357EB1" w:rsidRPr="00E72E6E">
        <w:rPr>
          <w:i/>
          <w:iCs/>
        </w:rPr>
        <w:t>Disaggregating Nationwide Injunctions</w:t>
      </w:r>
      <w:r w:rsidR="00357EB1" w:rsidRPr="00E72E6E">
        <w:t>, 71 Ala. L. Rev. 1 (2019</w:t>
      </w:r>
      <w:r w:rsidR="0019335E">
        <w:t xml:space="preserve">); </w:t>
      </w:r>
      <w:r w:rsidR="0019335E" w:rsidRPr="00E72E6E">
        <w:t xml:space="preserve">Portia Pedro, </w:t>
      </w:r>
      <w:r w:rsidR="0019335E" w:rsidRPr="00E72E6E">
        <w:rPr>
          <w:i/>
          <w:iCs/>
        </w:rPr>
        <w:t>Toward Establishing a Pre-Extinction Definition of ‘Nationwide Injunctions’</w:t>
      </w:r>
      <w:r w:rsidR="0019335E" w:rsidRPr="00E72E6E">
        <w:t>, 91 U. Colo. L. Rev. 847 (2020)</w:t>
      </w:r>
      <w:r w:rsidR="0019335E">
        <w:t>.</w:t>
      </w:r>
    </w:p>
  </w:footnote>
  <w:footnote w:id="19">
    <w:p w14:paraId="3491319C" w14:textId="716C7B91" w:rsidR="005B3271" w:rsidRPr="00E72E6E" w:rsidRDefault="005B3271" w:rsidP="0067230F">
      <w:pPr>
        <w:pStyle w:val="FootnoteText"/>
        <w:jc w:val="both"/>
      </w:pPr>
      <w:r w:rsidRPr="00E72E6E">
        <w:rPr>
          <w:rStyle w:val="FootnoteReference"/>
        </w:rPr>
        <w:footnoteRef/>
      </w:r>
      <w:r w:rsidRPr="00E72E6E">
        <w:t xml:space="preserve"> </w:t>
      </w:r>
      <w:r w:rsidR="0019335E" w:rsidRPr="00E72E6E">
        <w:t xml:space="preserve">Zayn Siddique, </w:t>
      </w:r>
      <w:r w:rsidR="0019335E" w:rsidRPr="00E72E6E">
        <w:rPr>
          <w:i/>
          <w:iCs/>
        </w:rPr>
        <w:t>Nationwide Injunctions</w:t>
      </w:r>
      <w:r w:rsidR="0019335E" w:rsidRPr="00E72E6E">
        <w:t xml:space="preserve">, 117 Colum. L. Rev. 2095 (2017) (Rule 65); </w:t>
      </w:r>
      <w:r w:rsidR="00037F6B" w:rsidRPr="00E72E6E">
        <w:t xml:space="preserve">Kate Huddleston, </w:t>
      </w:r>
      <w:r w:rsidR="00037F6B" w:rsidRPr="00E72E6E">
        <w:rPr>
          <w:i/>
          <w:iCs/>
        </w:rPr>
        <w:t>Nationwide Injunctions: Venue Considerations</w:t>
      </w:r>
      <w:r w:rsidR="00037F6B" w:rsidRPr="00E72E6E">
        <w:t xml:space="preserve">, 127 Yale L.J. F. 242 (2017) (venue); Ryan Kirk, </w:t>
      </w:r>
      <w:r w:rsidR="00037F6B" w:rsidRPr="00E72E6E">
        <w:rPr>
          <w:i/>
          <w:iCs/>
        </w:rPr>
        <w:t>A National Court for National Relief: Centralizing Requests for Nationwide Injunctions in the D.C. Circuit</w:t>
      </w:r>
      <w:r w:rsidR="00037F6B" w:rsidRPr="00E72E6E">
        <w:t>, 88 Tenn. L. Rev. 515 (2021) (venue)</w:t>
      </w:r>
      <w:r w:rsidR="004009A3" w:rsidRPr="00E72E6E">
        <w:t xml:space="preserve">; </w:t>
      </w:r>
      <w:r w:rsidR="00C7138D">
        <w:t xml:space="preserve">George Rutherglen, </w:t>
      </w:r>
      <w:r w:rsidR="00C7138D">
        <w:rPr>
          <w:i/>
          <w:iCs/>
        </w:rPr>
        <w:t>Universal Injunctions: Why Not Follow the Rule?</w:t>
      </w:r>
      <w:r w:rsidR="00C7138D">
        <w:t xml:space="preserve">, 107 Va. L. Rev. Online 300 (2021) (class actions); </w:t>
      </w:r>
      <w:r w:rsidR="004009A3" w:rsidRPr="00E72E6E">
        <w:t xml:space="preserve">Suzette M. Malveaux, </w:t>
      </w:r>
      <w:r w:rsidR="004009A3" w:rsidRPr="00E72E6E">
        <w:rPr>
          <w:i/>
          <w:iCs/>
        </w:rPr>
        <w:t>Class Actions, Civil Rights, and the National Injunction</w:t>
      </w:r>
      <w:r w:rsidR="004009A3" w:rsidRPr="00E72E6E">
        <w:t xml:space="preserve">, 131 Harv. L. Rev. F. 56 (2017) (class actions); Michael T. Morley, </w:t>
      </w:r>
      <w:r w:rsidR="004009A3" w:rsidRPr="00E72E6E">
        <w:rPr>
          <w:i/>
          <w:iCs/>
        </w:rPr>
        <w:t>Nationwide Injunctions, Rule 23(b)(2), and the Remedial Powers of the Lower Courts</w:t>
      </w:r>
      <w:r w:rsidR="004009A3" w:rsidRPr="00E72E6E">
        <w:t xml:space="preserve">, 97 B.U. L. Rev. 615 (2017) (class actions); Katherine B. Wheeler, </w:t>
      </w:r>
      <w:r w:rsidR="004009A3" w:rsidRPr="00E72E6E">
        <w:rPr>
          <w:i/>
          <w:iCs/>
        </w:rPr>
        <w:t xml:space="preserve">Why There Should Be </w:t>
      </w:r>
      <w:proofErr w:type="gramStart"/>
      <w:r w:rsidR="004009A3" w:rsidRPr="00E72E6E">
        <w:rPr>
          <w:i/>
          <w:iCs/>
        </w:rPr>
        <w:t>A</w:t>
      </w:r>
      <w:proofErr w:type="gramEnd"/>
      <w:r w:rsidR="004009A3" w:rsidRPr="00E72E6E">
        <w:rPr>
          <w:i/>
          <w:iCs/>
        </w:rPr>
        <w:t xml:space="preserve"> Presumption Against Nationwide Preliminary Injunctions</w:t>
      </w:r>
      <w:r w:rsidR="004009A3" w:rsidRPr="00E72E6E">
        <w:t xml:space="preserve">, 96 N.C. L. Rev. 200, 225 (2017) (class actions); Michael T. Morley, </w:t>
      </w:r>
      <w:r w:rsidR="004009A3" w:rsidRPr="00E72E6E">
        <w:rPr>
          <w:i/>
          <w:iCs/>
        </w:rPr>
        <w:t>De Facto Class Actions? Plaintiff-and Defendant-Oriented Injunctions in Voting Rights, Election Law, and Other Constitutional Cases</w:t>
      </w:r>
      <w:r w:rsidR="004009A3" w:rsidRPr="00E72E6E">
        <w:t xml:space="preserve">, 39 Harv. J.L. &amp; Pub. </w:t>
      </w:r>
      <w:proofErr w:type="spellStart"/>
      <w:r w:rsidR="004009A3" w:rsidRPr="00E72E6E">
        <w:t>Pol’y</w:t>
      </w:r>
      <w:proofErr w:type="spellEnd"/>
      <w:r w:rsidR="004009A3" w:rsidRPr="00E72E6E">
        <w:t xml:space="preserve"> 487 (2016) </w:t>
      </w:r>
      <w:r w:rsidR="00A8763E">
        <w:t xml:space="preserve">(“De Facto Class Actions”) </w:t>
      </w:r>
      <w:r w:rsidR="004009A3" w:rsidRPr="00E72E6E">
        <w:t xml:space="preserve">(class actions); Andrew D. </w:t>
      </w:r>
      <w:proofErr w:type="spellStart"/>
      <w:r w:rsidR="004009A3" w:rsidRPr="00E72E6E">
        <w:t>Bradt</w:t>
      </w:r>
      <w:proofErr w:type="spellEnd"/>
      <w:r w:rsidR="004009A3" w:rsidRPr="00E72E6E">
        <w:t xml:space="preserve"> &amp; Zachary D. Clopton, </w:t>
      </w:r>
      <w:r w:rsidR="004009A3" w:rsidRPr="00E72E6E">
        <w:rPr>
          <w:i/>
          <w:iCs/>
        </w:rPr>
        <w:t>MDL v. Trump: The Puzzle of Public Law in Multidistrict Litigation</w:t>
      </w:r>
      <w:r w:rsidR="004009A3" w:rsidRPr="00E72E6E">
        <w:t>, 112 NW. U. L. Rev. 905 (2018) (multidistrict litigation).</w:t>
      </w:r>
    </w:p>
  </w:footnote>
  <w:footnote w:id="20">
    <w:p w14:paraId="79BA549B" w14:textId="49A17479" w:rsidR="00C41CD7" w:rsidRPr="00E72E6E" w:rsidRDefault="00893AB1" w:rsidP="0067230F">
      <w:pPr>
        <w:pStyle w:val="FootnoteText"/>
        <w:jc w:val="both"/>
      </w:pPr>
      <w:r w:rsidRPr="00E72E6E">
        <w:rPr>
          <w:rStyle w:val="FootnoteReference"/>
        </w:rPr>
        <w:footnoteRef/>
      </w:r>
      <w:r w:rsidRPr="00E72E6E">
        <w:t xml:space="preserve"> For example, scholars have examined the identity of the parties interested in nationwide injunctions, like state actors or public-interest groups. </w:t>
      </w:r>
      <w:r w:rsidRPr="00E72E6E">
        <w:rPr>
          <w:i/>
          <w:iCs/>
        </w:rPr>
        <w:t>See</w:t>
      </w:r>
      <w:r w:rsidR="0019335E">
        <w:t xml:space="preserve">, </w:t>
      </w:r>
      <w:r w:rsidR="0019335E">
        <w:rPr>
          <w:i/>
          <w:iCs/>
        </w:rPr>
        <w:t>e.g.</w:t>
      </w:r>
      <w:r w:rsidR="0019335E">
        <w:t>,</w:t>
      </w:r>
      <w:r w:rsidRPr="00E72E6E">
        <w:rPr>
          <w:i/>
          <w:iCs/>
        </w:rPr>
        <w:t xml:space="preserve"> </w:t>
      </w:r>
      <w:r w:rsidR="00A60EA7" w:rsidRPr="00E72E6E">
        <w:t xml:space="preserve">Margaret H. </w:t>
      </w:r>
      <w:proofErr w:type="spellStart"/>
      <w:r w:rsidR="00A60EA7" w:rsidRPr="00E72E6E">
        <w:t>Lemos</w:t>
      </w:r>
      <w:proofErr w:type="spellEnd"/>
      <w:r w:rsidR="00A60EA7" w:rsidRPr="00E72E6E">
        <w:t xml:space="preserve"> &amp; Ernest A. Young, </w:t>
      </w:r>
      <w:r w:rsidR="00A60EA7" w:rsidRPr="00E72E6E">
        <w:rPr>
          <w:i/>
          <w:iCs/>
        </w:rPr>
        <w:t>State Public-Law Litigation in an Age of Polarization</w:t>
      </w:r>
      <w:r w:rsidR="00A60EA7" w:rsidRPr="00E72E6E">
        <w:t xml:space="preserve">, 97 Tex. L. Rev. 43 (2018); </w:t>
      </w:r>
      <w:r w:rsidRPr="00E72E6E">
        <w:t xml:space="preserve">Elbert Lin, </w:t>
      </w:r>
      <w:r w:rsidRPr="00E72E6E">
        <w:rPr>
          <w:i/>
          <w:iCs/>
        </w:rPr>
        <w:t>States Suing the Federal Government: Protecting Liberty or Playing Politics</w:t>
      </w:r>
      <w:r w:rsidRPr="00E72E6E">
        <w:t xml:space="preserve">, 52 U. Rich. L. Rev. 633 (2018); </w:t>
      </w:r>
      <w:r w:rsidR="001D74C8" w:rsidRPr="00E72E6E">
        <w:t xml:space="preserve">Charlton C. Copeland, </w:t>
      </w:r>
      <w:r w:rsidR="001D74C8" w:rsidRPr="00E72E6E">
        <w:rPr>
          <w:i/>
          <w:iCs/>
        </w:rPr>
        <w:t>Seeing Beyond Courts: The Political Context of the Nationwide Injunction</w:t>
      </w:r>
      <w:r w:rsidR="001D74C8" w:rsidRPr="00E72E6E">
        <w:t>, 91 U. Colo. L. Rev. 789 (2020).</w:t>
      </w:r>
    </w:p>
  </w:footnote>
  <w:footnote w:id="21">
    <w:p w14:paraId="2E6E2D92" w14:textId="0DB46F23" w:rsidR="004009A3" w:rsidRPr="00E72E6E" w:rsidRDefault="004009A3" w:rsidP="0067230F">
      <w:pPr>
        <w:pStyle w:val="FootnoteText"/>
        <w:jc w:val="both"/>
      </w:pPr>
      <w:r w:rsidRPr="00E72E6E">
        <w:rPr>
          <w:rStyle w:val="FootnoteReference"/>
        </w:rPr>
        <w:footnoteRef/>
      </w:r>
      <w:r w:rsidRPr="00E72E6E">
        <w:t xml:space="preserve"> </w:t>
      </w:r>
      <w:r w:rsidR="00893AB1" w:rsidRPr="00E72E6E">
        <w:t xml:space="preserve">A related set of scholarship analyzes </w:t>
      </w:r>
      <w:r w:rsidRPr="00E72E6E">
        <w:t xml:space="preserve">applications for emergency relief, including </w:t>
      </w:r>
      <w:r w:rsidR="00893AB1" w:rsidRPr="00E72E6E">
        <w:t>cases</w:t>
      </w:r>
      <w:r w:rsidRPr="00E72E6E">
        <w:t xml:space="preserve"> seeking universal remedies</w:t>
      </w:r>
      <w:r w:rsidR="00893AB1" w:rsidRPr="00E72E6E">
        <w:t xml:space="preserve">. These scholars </w:t>
      </w:r>
      <w:r w:rsidR="0019335E">
        <w:t xml:space="preserve">have </w:t>
      </w:r>
      <w:r w:rsidR="00893AB1" w:rsidRPr="00E72E6E">
        <w:t>focus</w:t>
      </w:r>
      <w:r w:rsidR="0019335E">
        <w:t>ed</w:t>
      </w:r>
      <w:r w:rsidR="00893AB1" w:rsidRPr="00E72E6E">
        <w:t xml:space="preserve"> on</w:t>
      </w:r>
      <w:r w:rsidRPr="00E72E6E">
        <w:t xml:space="preserve"> a particular procedural posture</w:t>
      </w:r>
      <w:r w:rsidR="00893AB1" w:rsidRPr="00E72E6E">
        <w:t>, rather than on how procedural decisions influence the course of the litigation</w:t>
      </w:r>
      <w:r w:rsidRPr="00E72E6E">
        <w:t xml:space="preserve">. </w:t>
      </w:r>
      <w:r w:rsidRPr="00E72E6E">
        <w:rPr>
          <w:i/>
          <w:iCs/>
        </w:rPr>
        <w:t>See</w:t>
      </w:r>
      <w:r w:rsidR="0019335E">
        <w:rPr>
          <w:i/>
          <w:iCs/>
        </w:rPr>
        <w:t>, e.g.</w:t>
      </w:r>
      <w:r w:rsidR="0019335E">
        <w:t>,</w:t>
      </w:r>
      <w:r w:rsidRPr="00E72E6E">
        <w:t xml:space="preserve"> Rachel </w:t>
      </w:r>
      <w:proofErr w:type="spellStart"/>
      <w:r w:rsidRPr="00E72E6E">
        <w:t>Bayefsky</w:t>
      </w:r>
      <w:proofErr w:type="spellEnd"/>
      <w:r w:rsidRPr="00E72E6E">
        <w:t xml:space="preserve">, </w:t>
      </w:r>
      <w:r w:rsidRPr="00E72E6E">
        <w:rPr>
          <w:i/>
          <w:iCs/>
        </w:rPr>
        <w:t>Administrative Stays: Power and Procedure</w:t>
      </w:r>
      <w:r w:rsidRPr="00E72E6E">
        <w:t xml:space="preserve">, 97 Notre Dame L. Rev. 1941 (2022); Trevor N. McFadden &amp; </w:t>
      </w:r>
      <w:proofErr w:type="spellStart"/>
      <w:r w:rsidRPr="00E72E6E">
        <w:t>Vetan</w:t>
      </w:r>
      <w:proofErr w:type="spellEnd"/>
      <w:r w:rsidRPr="00E72E6E">
        <w:t xml:space="preserve"> Kapoor, </w:t>
      </w:r>
      <w:r w:rsidRPr="00E72E6E">
        <w:rPr>
          <w:i/>
          <w:iCs/>
        </w:rPr>
        <w:t>The Precedential Effects of the Supreme Court’s Emergency Stays</w:t>
      </w:r>
      <w:r w:rsidRPr="00E72E6E">
        <w:t xml:space="preserve">, 44 Harv. J.L. &amp; Pub. </w:t>
      </w:r>
      <w:proofErr w:type="spellStart"/>
      <w:r w:rsidRPr="00E72E6E">
        <w:t>Pol’y</w:t>
      </w:r>
      <w:proofErr w:type="spellEnd"/>
      <w:r w:rsidRPr="00E72E6E">
        <w:t xml:space="preserve"> 827 (2021); Stephen I. Vladeck, </w:t>
      </w:r>
      <w:r w:rsidRPr="00E72E6E">
        <w:rPr>
          <w:i/>
          <w:iCs/>
        </w:rPr>
        <w:t>The Solicitor General and the Shadow Docket</w:t>
      </w:r>
      <w:r w:rsidRPr="00E72E6E">
        <w:t>, 133 Harv. L. Rev. 123 (2019)</w:t>
      </w:r>
      <w:r w:rsidR="000B5DD4">
        <w:t xml:space="preserve"> (hereinafter “</w:t>
      </w:r>
      <w:r w:rsidR="00A33204">
        <w:t>Solicitor General</w:t>
      </w:r>
      <w:r w:rsidR="000B5DD4">
        <w:t>”)</w:t>
      </w:r>
      <w:r w:rsidRPr="00E72E6E">
        <w:t xml:space="preserve">; William </w:t>
      </w:r>
      <w:proofErr w:type="spellStart"/>
      <w:r w:rsidRPr="00E72E6E">
        <w:t>Baude</w:t>
      </w:r>
      <w:proofErr w:type="spellEnd"/>
      <w:r w:rsidRPr="00E72E6E">
        <w:t xml:space="preserve">, </w:t>
      </w:r>
      <w:r w:rsidRPr="00E72E6E">
        <w:rPr>
          <w:i/>
          <w:iCs/>
        </w:rPr>
        <w:t>Foreword: The Supreme Court’s Shadow Docket</w:t>
      </w:r>
      <w:r w:rsidRPr="00E72E6E">
        <w:t xml:space="preserve">, 9 N.Y.U. J.L. &amp; Liberty 1 (2015). Another </w:t>
      </w:r>
      <w:r w:rsidR="0019335E">
        <w:t xml:space="preserve">set </w:t>
      </w:r>
      <w:r w:rsidRPr="00E72E6E">
        <w:t xml:space="preserve">is scholarship analyzing how courts have </w:t>
      </w:r>
      <w:r w:rsidR="00893AB1" w:rsidRPr="00E72E6E">
        <w:t xml:space="preserve">shaped separation-of-power dynamics by </w:t>
      </w:r>
      <w:r w:rsidRPr="00E72E6E">
        <w:t>exercis</w:t>
      </w:r>
      <w:r w:rsidR="00893AB1" w:rsidRPr="00E72E6E">
        <w:t>ing</w:t>
      </w:r>
      <w:r w:rsidRPr="00E72E6E">
        <w:t xml:space="preserve"> </w:t>
      </w:r>
      <w:r w:rsidR="00893AB1" w:rsidRPr="00E72E6E">
        <w:t>managerial powers</w:t>
      </w:r>
      <w:r w:rsidRPr="00E72E6E">
        <w:t xml:space="preserve"> </w:t>
      </w:r>
      <w:r w:rsidR="00893AB1" w:rsidRPr="00E72E6E">
        <w:t xml:space="preserve">in cases involving executive actions. </w:t>
      </w:r>
      <w:r w:rsidRPr="00E72E6E">
        <w:rPr>
          <w:i/>
          <w:iCs/>
        </w:rPr>
        <w:t>See</w:t>
      </w:r>
      <w:r w:rsidRPr="00BC336B">
        <w:rPr>
          <w:i/>
          <w:iCs/>
        </w:rPr>
        <w:t>,</w:t>
      </w:r>
      <w:r w:rsidRPr="00E72E6E">
        <w:t xml:space="preserve"> </w:t>
      </w:r>
      <w:r w:rsidRPr="00E72E6E">
        <w:rPr>
          <w:i/>
          <w:iCs/>
        </w:rPr>
        <w:t>e.g.</w:t>
      </w:r>
      <w:r w:rsidRPr="00E72E6E">
        <w:t>,</w:t>
      </w:r>
      <w:r w:rsidRPr="00E72E6E">
        <w:rPr>
          <w:i/>
          <w:iCs/>
        </w:rPr>
        <w:t xml:space="preserve"> </w:t>
      </w:r>
      <w:r w:rsidRPr="00E72E6E">
        <w:t xml:space="preserve">Z. </w:t>
      </w:r>
      <w:proofErr w:type="spellStart"/>
      <w:r w:rsidRPr="00E72E6E">
        <w:t>Payvand</w:t>
      </w:r>
      <w:proofErr w:type="spellEnd"/>
      <w:r w:rsidRPr="00E72E6E">
        <w:t xml:space="preserve"> </w:t>
      </w:r>
      <w:proofErr w:type="spellStart"/>
      <w:r w:rsidRPr="00E72E6E">
        <w:t>Ahdout</w:t>
      </w:r>
      <w:proofErr w:type="spellEnd"/>
      <w:r w:rsidRPr="00E72E6E">
        <w:t xml:space="preserve">, </w:t>
      </w:r>
      <w:r w:rsidRPr="00E72E6E">
        <w:rPr>
          <w:i/>
          <w:iCs/>
        </w:rPr>
        <w:t>Enforcement Lawmaking and Judicial Review</w:t>
      </w:r>
      <w:r w:rsidRPr="00E72E6E">
        <w:t xml:space="preserve">, 135 Harv. L. Rev. 937 (2022). </w:t>
      </w:r>
    </w:p>
  </w:footnote>
  <w:footnote w:id="22">
    <w:p w14:paraId="72604DDD" w14:textId="6ADF2546" w:rsidR="00106401" w:rsidRPr="00E72E6E" w:rsidRDefault="00106401" w:rsidP="0067230F">
      <w:pPr>
        <w:pStyle w:val="FootnoteText"/>
        <w:jc w:val="both"/>
      </w:pPr>
      <w:r w:rsidRPr="00E72E6E">
        <w:rPr>
          <w:rStyle w:val="FootnoteReference"/>
        </w:rPr>
        <w:footnoteRef/>
      </w:r>
      <w:r w:rsidRPr="00E72E6E">
        <w:t xml:space="preserve"> This article thus also builds on and updates literature about how Rule 24 operates in public</w:t>
      </w:r>
      <w:r w:rsidR="00B36C32">
        <w:t>-</w:t>
      </w:r>
      <w:r w:rsidRPr="00E72E6E">
        <w:t xml:space="preserve">law </w:t>
      </w:r>
      <w:r w:rsidR="003E6098">
        <w:t>litigation</w:t>
      </w:r>
      <w:r w:rsidRPr="00E72E6E">
        <w:t xml:space="preserve">. </w:t>
      </w:r>
      <w:r w:rsidRPr="00E72E6E">
        <w:rPr>
          <w:i/>
          <w:iCs/>
        </w:rPr>
        <w:t xml:space="preserve">See </w:t>
      </w:r>
      <w:r w:rsidRPr="00E72E6E">
        <w:t xml:space="preserve">Peter A. Appel, </w:t>
      </w:r>
      <w:r w:rsidRPr="00E72E6E">
        <w:rPr>
          <w:i/>
          <w:iCs/>
        </w:rPr>
        <w:t>Intervention in Public Law Litigation: The Environmental Paradigm</w:t>
      </w:r>
      <w:r w:rsidRPr="00E72E6E">
        <w:t xml:space="preserve">, 78 Wash. U.L.Q. 215, 298 (2000); Carl Tobias, </w:t>
      </w:r>
      <w:r w:rsidRPr="00E72E6E">
        <w:rPr>
          <w:i/>
          <w:iCs/>
        </w:rPr>
        <w:t xml:space="preserve">Public Law </w:t>
      </w:r>
      <w:proofErr w:type="gramStart"/>
      <w:r w:rsidRPr="00E72E6E">
        <w:rPr>
          <w:i/>
          <w:iCs/>
        </w:rPr>
        <w:t>Litigation</w:t>
      </w:r>
      <w:proofErr w:type="gramEnd"/>
      <w:r w:rsidRPr="00E72E6E">
        <w:rPr>
          <w:i/>
          <w:iCs/>
        </w:rPr>
        <w:t xml:space="preserve"> and the Federal Rules of Civil Procedure</w:t>
      </w:r>
      <w:r w:rsidRPr="00E72E6E">
        <w:t>, 74 Cornell L. Rev. 270, 328-29 (1989)</w:t>
      </w:r>
      <w:r w:rsidR="00DC4299">
        <w:t xml:space="preserve"> (hereinafter “Public Law”)</w:t>
      </w:r>
      <w:r w:rsidRPr="00E72E6E">
        <w:t xml:space="preserve">; Stephen C. </w:t>
      </w:r>
      <w:proofErr w:type="spellStart"/>
      <w:r w:rsidRPr="00E72E6E">
        <w:t>Yeazell</w:t>
      </w:r>
      <w:proofErr w:type="spellEnd"/>
      <w:r w:rsidRPr="00E72E6E">
        <w:t xml:space="preserve">, </w:t>
      </w:r>
      <w:r w:rsidRPr="00E72E6E">
        <w:rPr>
          <w:i/>
          <w:iCs/>
        </w:rPr>
        <w:t>Intervention and the Idea of Litigation: A Commentary on the Los Angeles School Case</w:t>
      </w:r>
      <w:r w:rsidRPr="00E72E6E">
        <w:t>, 25 UCLA L. R</w:t>
      </w:r>
      <w:r w:rsidR="00FB3CD8">
        <w:t>ev</w:t>
      </w:r>
      <w:r w:rsidRPr="00E72E6E">
        <w:t>. 244 (1977)</w:t>
      </w:r>
      <w:r w:rsidR="00F8521F">
        <w:t xml:space="preserve"> (hereinafter “Intervention”)</w:t>
      </w:r>
      <w:r w:rsidRPr="00E72E6E">
        <w:t>.</w:t>
      </w:r>
    </w:p>
  </w:footnote>
  <w:footnote w:id="23">
    <w:p w14:paraId="4C264566" w14:textId="28E8F744" w:rsidR="000F16BC" w:rsidRPr="00E72E6E" w:rsidRDefault="000F16BC" w:rsidP="0067230F">
      <w:pPr>
        <w:pStyle w:val="FootnoteText"/>
        <w:jc w:val="both"/>
      </w:pPr>
      <w:r w:rsidRPr="00E72E6E">
        <w:rPr>
          <w:rStyle w:val="FootnoteReference"/>
        </w:rPr>
        <w:footnoteRef/>
      </w:r>
      <w:r w:rsidRPr="00E72E6E">
        <w:t xml:space="preserve"> Appel, </w:t>
      </w:r>
      <w:r w:rsidRPr="00E72E6E">
        <w:rPr>
          <w:i/>
          <w:iCs/>
        </w:rPr>
        <w:t>supra</w:t>
      </w:r>
      <w:r w:rsidRPr="00E72E6E">
        <w:t xml:space="preserve">, at 298; Tobias, </w:t>
      </w:r>
      <w:r w:rsidR="00DC4299">
        <w:rPr>
          <w:i/>
          <w:iCs/>
        </w:rPr>
        <w:t>Public Law</w:t>
      </w:r>
      <w:r w:rsidR="00DC4299">
        <w:t>,</w:t>
      </w:r>
      <w:r w:rsidR="00DC4299">
        <w:rPr>
          <w:i/>
          <w:iCs/>
        </w:rPr>
        <w:t xml:space="preserve"> </w:t>
      </w:r>
      <w:r w:rsidRPr="00E72E6E">
        <w:rPr>
          <w:i/>
          <w:iCs/>
        </w:rPr>
        <w:t>supra</w:t>
      </w:r>
      <w:r w:rsidRPr="00E72E6E">
        <w:t>, at 328-29;</w:t>
      </w:r>
      <w:r w:rsidRPr="00E72E6E">
        <w:rPr>
          <w:i/>
          <w:iCs/>
        </w:rPr>
        <w:t xml:space="preserve"> ACLU of Texas v. Franciscan Alliance</w:t>
      </w:r>
      <w:r w:rsidRPr="00E72E6E">
        <w:t>, No. 17-10135, ECF No. 00514055754, at 4 (5th Cir. June 30, 2017) (Costa, J., concurring)</w:t>
      </w:r>
      <w:r w:rsidR="007F18A0">
        <w:t xml:space="preserve"> (“Motions to intervene ask … whether a party has a right to be heard.”). </w:t>
      </w:r>
    </w:p>
  </w:footnote>
  <w:footnote w:id="24">
    <w:p w14:paraId="5157C0D0" w14:textId="7B5038CF" w:rsidR="00BE1756" w:rsidRPr="0074503B" w:rsidRDefault="00BE1756" w:rsidP="0067230F">
      <w:pPr>
        <w:pStyle w:val="FootnoteText"/>
        <w:jc w:val="both"/>
        <w:rPr>
          <w:i/>
          <w:iCs/>
        </w:rPr>
      </w:pPr>
      <w:r w:rsidRPr="00E72E6E">
        <w:rPr>
          <w:rStyle w:val="FootnoteReference"/>
        </w:rPr>
        <w:footnoteRef/>
      </w:r>
      <w:r w:rsidRPr="00E72E6E">
        <w:t xml:space="preserve"> This result therefore also informs the scholarly discussion over whether courts are justified in issuing nationwide injunctions that affect the rights of nonparties who had no opportunity to participate. Morley, </w:t>
      </w:r>
      <w:r w:rsidRPr="00E72E6E">
        <w:rPr>
          <w:i/>
          <w:iCs/>
        </w:rPr>
        <w:t>De Facto Class Actions</w:t>
      </w:r>
      <w:r w:rsidRPr="00E72E6E">
        <w:t xml:space="preserve">, </w:t>
      </w:r>
      <w:r w:rsidRPr="00E72E6E">
        <w:rPr>
          <w:i/>
          <w:iCs/>
        </w:rPr>
        <w:t>supra</w:t>
      </w:r>
      <w:r w:rsidRPr="00E72E6E">
        <w:t xml:space="preserve">, at 528; Young, </w:t>
      </w:r>
      <w:r w:rsidRPr="00E72E6E">
        <w:rPr>
          <w:i/>
          <w:iCs/>
        </w:rPr>
        <w:t>supra</w:t>
      </w:r>
      <w:r w:rsidRPr="00E72E6E">
        <w:t xml:space="preserve">, </w:t>
      </w:r>
      <w:r w:rsidR="00A8763E">
        <w:t xml:space="preserve">at </w:t>
      </w:r>
      <w:r w:rsidRPr="00E72E6E">
        <w:t xml:space="preserve">911-12; </w:t>
      </w:r>
      <w:proofErr w:type="spellStart"/>
      <w:r w:rsidRPr="00E72E6E">
        <w:t>Linthorst</w:t>
      </w:r>
      <w:proofErr w:type="spellEnd"/>
      <w:r w:rsidRPr="00E72E6E">
        <w:t xml:space="preserve">, </w:t>
      </w:r>
      <w:r w:rsidRPr="00E72E6E">
        <w:rPr>
          <w:i/>
          <w:iCs/>
        </w:rPr>
        <w:t>supra</w:t>
      </w:r>
      <w:r w:rsidRPr="00E72E6E">
        <w:t xml:space="preserve">, </w:t>
      </w:r>
      <w:r w:rsidR="00A8763E">
        <w:t xml:space="preserve">at </w:t>
      </w:r>
      <w:r w:rsidRPr="00E72E6E">
        <w:t xml:space="preserve">79; Trammell, </w:t>
      </w:r>
      <w:r w:rsidRPr="00E72E6E">
        <w:rPr>
          <w:i/>
          <w:iCs/>
        </w:rPr>
        <w:t>supra</w:t>
      </w:r>
      <w:r w:rsidRPr="00E72E6E">
        <w:t xml:space="preserve">, </w:t>
      </w:r>
      <w:r w:rsidR="00A8763E">
        <w:t xml:space="preserve">at </w:t>
      </w:r>
      <w:r w:rsidRPr="00E72E6E">
        <w:t xml:space="preserve">74-78. Proponents of such relief have relied on procedural joinder rules, like Rule 24, to argue that an avenue exists for motivated nonparties to participate. </w:t>
      </w:r>
      <w:proofErr w:type="spellStart"/>
      <w:r w:rsidRPr="00E72E6E">
        <w:t>Rendleman</w:t>
      </w:r>
      <w:proofErr w:type="spellEnd"/>
      <w:r w:rsidRPr="00E72E6E">
        <w:t xml:space="preserve">, </w:t>
      </w:r>
      <w:r w:rsidR="00A8763E">
        <w:rPr>
          <w:i/>
          <w:iCs/>
        </w:rPr>
        <w:t>supra</w:t>
      </w:r>
      <w:r w:rsidR="00A8763E">
        <w:t>,</w:t>
      </w:r>
      <w:r w:rsidR="00A8763E">
        <w:rPr>
          <w:i/>
          <w:iCs/>
        </w:rPr>
        <w:t xml:space="preserve"> </w:t>
      </w:r>
      <w:r w:rsidR="00A8763E">
        <w:t xml:space="preserve">at </w:t>
      </w:r>
      <w:r w:rsidRPr="00E72E6E">
        <w:t xml:space="preserve">954 (“A nonparty suffering under a defendant’s illegal post-injunction policy has two alternatives. First, she can intervene in the original lawsuit.”); </w:t>
      </w:r>
      <w:r w:rsidRPr="00E72E6E">
        <w:rPr>
          <w:i/>
          <w:iCs/>
        </w:rPr>
        <w:t>id.</w:t>
      </w:r>
      <w:r w:rsidRPr="00E72E6E">
        <w:t xml:space="preserve"> at 963 (“Other procedural techniques that broaden participation on the plaintiff side are intervention as a party to express supporting claims.”); Clopton, </w:t>
      </w:r>
      <w:r w:rsidR="008E1B11">
        <w:rPr>
          <w:i/>
          <w:iCs/>
        </w:rPr>
        <w:t>supra</w:t>
      </w:r>
      <w:r w:rsidR="008E1B11">
        <w:t>,</w:t>
      </w:r>
      <w:r w:rsidR="008E1B11">
        <w:rPr>
          <w:i/>
          <w:iCs/>
        </w:rPr>
        <w:t xml:space="preserve"> </w:t>
      </w:r>
      <w:r w:rsidR="008E1B11" w:rsidRPr="008E1B11">
        <w:t>at</w:t>
      </w:r>
      <w:r w:rsidRPr="00E72E6E">
        <w:t xml:space="preserve"> 38-39 (suggesting that nationwide injunctions “involve numerous interveners and amici curiae” whose arguments “provide the functional equivalent of district-court percolation” so that courts and commentators should not be concerned that nationwide injunctions prevent multiple court opinions on a subject); Wheeler, </w:t>
      </w:r>
      <w:r w:rsidR="008E1B11">
        <w:rPr>
          <w:i/>
          <w:iCs/>
        </w:rPr>
        <w:t>supra</w:t>
      </w:r>
      <w:r w:rsidRPr="00E72E6E">
        <w:t xml:space="preserve">, </w:t>
      </w:r>
      <w:r w:rsidR="008E1B11">
        <w:t xml:space="preserve">at </w:t>
      </w:r>
      <w:r w:rsidRPr="00E72E6E">
        <w:t xml:space="preserve">224 (“One such reform includes the creation of a system of notice for parties who may be affected by a nationwide injunction. This type of system would allow parties who would be affected by a nationwide preliminary injunction to have an opportunity to become involved in the action, giving them the chance to represent their interests.”); </w:t>
      </w:r>
      <w:r w:rsidRPr="00E72E6E">
        <w:rPr>
          <w:i/>
          <w:iCs/>
        </w:rPr>
        <w:t>see also California v. Azar</w:t>
      </w:r>
      <w:r w:rsidRPr="00E72E6E">
        <w:t xml:space="preserve">, 911 F.3d 558, 583 (9th Cir. 2018) (“Short of intervening in a case, non-parties [affected by a nationwide injunction] are essentially deprived of their ability to participate, and these collateral consequences are not minimal.”); </w:t>
      </w:r>
      <w:proofErr w:type="spellStart"/>
      <w:r w:rsidRPr="00E72E6E">
        <w:rPr>
          <w:i/>
          <w:iCs/>
        </w:rPr>
        <w:t>cf</w:t>
      </w:r>
      <w:proofErr w:type="spellEnd"/>
      <w:r w:rsidRPr="00E72E6E">
        <w:t xml:space="preserve"> Frost, </w:t>
      </w:r>
      <w:r w:rsidR="004240E6">
        <w:rPr>
          <w:i/>
          <w:iCs/>
        </w:rPr>
        <w:t>supra</w:t>
      </w:r>
      <w:r w:rsidRPr="00E72E6E">
        <w:t xml:space="preserve">, </w:t>
      </w:r>
      <w:r w:rsidR="004240E6">
        <w:t xml:space="preserve">at </w:t>
      </w:r>
      <w:r w:rsidRPr="00E72E6E">
        <w:t>1110 (suggesting that any harm to nonparties can be potentially alleviated by amici curiae participation).</w:t>
      </w:r>
      <w:r>
        <w:t xml:space="preserve"> Intervention has also been </w:t>
      </w:r>
      <w:r w:rsidR="004240E6">
        <w:t>referenced</w:t>
      </w:r>
      <w:r>
        <w:t xml:space="preserve"> </w:t>
      </w:r>
      <w:r w:rsidR="00802474">
        <w:t xml:space="preserve">as a </w:t>
      </w:r>
      <w:proofErr w:type="gramStart"/>
      <w:r w:rsidR="00802474">
        <w:t>reason courts</w:t>
      </w:r>
      <w:proofErr w:type="gramEnd"/>
      <w:r w:rsidR="00802474">
        <w:t xml:space="preserve"> should avoid issuing </w:t>
      </w:r>
      <w:r>
        <w:t xml:space="preserve">nationwide injunctions—since “nonparties with similar interests” can intervene “to seek the protection of injunctive relief” without needing a nationwide injunction to protect them. </w:t>
      </w:r>
      <w:r w:rsidRPr="0074503B">
        <w:rPr>
          <w:i/>
          <w:iCs/>
        </w:rPr>
        <w:t>Georgia v. President of the United States</w:t>
      </w:r>
      <w:r>
        <w:t>, 46 F.4th 1283, 1306 (11th Cir. 2022).</w:t>
      </w:r>
    </w:p>
  </w:footnote>
  <w:footnote w:id="25">
    <w:p w14:paraId="7B54690A" w14:textId="30AEC6F3" w:rsidR="0000045D" w:rsidRPr="00E72E6E" w:rsidRDefault="0000045D" w:rsidP="0067230F">
      <w:pPr>
        <w:pStyle w:val="FootnoteText"/>
        <w:jc w:val="both"/>
      </w:pPr>
      <w:r w:rsidRPr="00E72E6E">
        <w:rPr>
          <w:rStyle w:val="FootnoteReference"/>
        </w:rPr>
        <w:footnoteRef/>
      </w:r>
      <w:r w:rsidRPr="00E72E6E">
        <w:t xml:space="preserve"> </w:t>
      </w:r>
      <w:r w:rsidRPr="00E72E6E">
        <w:rPr>
          <w:i/>
          <w:iCs/>
        </w:rPr>
        <w:t xml:space="preserve">See </w:t>
      </w:r>
      <w:r w:rsidRPr="00E72E6E">
        <w:t xml:space="preserve">Judith Resnik, </w:t>
      </w:r>
      <w:r w:rsidRPr="00E72E6E">
        <w:rPr>
          <w:i/>
          <w:iCs/>
        </w:rPr>
        <w:t>Managerial Judges</w:t>
      </w:r>
      <w:r w:rsidRPr="00E72E6E">
        <w:t>, 96 Harv. L. Rev. 374, 425-26 (1982).</w:t>
      </w:r>
    </w:p>
  </w:footnote>
  <w:footnote w:id="26">
    <w:p w14:paraId="66B5C8C1" w14:textId="177FD89C" w:rsidR="001C539D" w:rsidRPr="00E071D1" w:rsidRDefault="001C539D" w:rsidP="0067230F">
      <w:pPr>
        <w:pStyle w:val="FootnoteText"/>
        <w:jc w:val="both"/>
        <w:rPr>
          <w:i/>
          <w:iCs/>
        </w:rPr>
      </w:pPr>
      <w:r w:rsidRPr="00E071D1">
        <w:rPr>
          <w:rStyle w:val="FootnoteReference"/>
        </w:rPr>
        <w:footnoteRef/>
      </w:r>
      <w:r w:rsidRPr="00E071D1">
        <w:t xml:space="preserve"> </w:t>
      </w:r>
      <w:r w:rsidRPr="00E071D1">
        <w:rPr>
          <w:i/>
          <w:iCs/>
        </w:rPr>
        <w:t xml:space="preserve">See infra </w:t>
      </w:r>
      <w:r w:rsidR="008768DB">
        <w:t>section I</w:t>
      </w:r>
      <w:r w:rsidR="004C12E6">
        <w:t>.</w:t>
      </w:r>
      <w:r w:rsidR="00E071D1">
        <w:t xml:space="preserve"> </w:t>
      </w:r>
    </w:p>
  </w:footnote>
  <w:footnote w:id="27">
    <w:p w14:paraId="08C8014B" w14:textId="49EB6CA0" w:rsidR="00213EE9" w:rsidRPr="00E72E6E" w:rsidRDefault="00213EE9" w:rsidP="0067230F">
      <w:pPr>
        <w:pStyle w:val="FootnoteText"/>
        <w:jc w:val="both"/>
      </w:pPr>
      <w:r w:rsidRPr="00E72E6E">
        <w:rPr>
          <w:rStyle w:val="FootnoteReference"/>
        </w:rPr>
        <w:footnoteRef/>
      </w:r>
      <w:r w:rsidRPr="00E72E6E">
        <w:t xml:space="preserve"> </w:t>
      </w:r>
      <w:r w:rsidR="003C7CA4" w:rsidRPr="00E72E6E">
        <w:rPr>
          <w:i/>
          <w:iCs/>
        </w:rPr>
        <w:t>See</w:t>
      </w:r>
      <w:r w:rsidR="003C7CA4" w:rsidRPr="00E72E6E">
        <w:t xml:space="preserve"> Alexander M. Bickel, </w:t>
      </w:r>
      <w:r w:rsidR="003C7CA4" w:rsidRPr="00E72E6E">
        <w:rPr>
          <w:i/>
          <w:iCs/>
        </w:rPr>
        <w:t>The Supreme Court 1960 Term—Foreword: The Passive Virtues</w:t>
      </w:r>
      <w:r w:rsidR="003C7CA4" w:rsidRPr="00E72E6E">
        <w:t xml:space="preserve">, 75 Harv. L. Rev. 40-47 (1961). </w:t>
      </w:r>
    </w:p>
  </w:footnote>
  <w:footnote w:id="28">
    <w:p w14:paraId="260CE256" w14:textId="55388DFA" w:rsidR="00141822" w:rsidRPr="00E72E6E" w:rsidRDefault="00141822" w:rsidP="0067230F">
      <w:pPr>
        <w:pStyle w:val="FootnoteText"/>
        <w:jc w:val="both"/>
      </w:pPr>
      <w:r w:rsidRPr="00E72E6E">
        <w:rPr>
          <w:rStyle w:val="FootnoteReference"/>
        </w:rPr>
        <w:footnoteRef/>
      </w:r>
      <w:r w:rsidRPr="00E72E6E">
        <w:t xml:space="preserve"> </w:t>
      </w:r>
      <w:r w:rsidR="00003155" w:rsidRPr="00E72E6E">
        <w:rPr>
          <w:i/>
          <w:iCs/>
        </w:rPr>
        <w:t>See</w:t>
      </w:r>
      <w:r w:rsidR="00003155" w:rsidRPr="00E72E6E">
        <w:t xml:space="preserve"> Stephen N. </w:t>
      </w:r>
      <w:proofErr w:type="spellStart"/>
      <w:r w:rsidR="00003155" w:rsidRPr="00E72E6E">
        <w:t>Subrin</w:t>
      </w:r>
      <w:proofErr w:type="spellEnd"/>
      <w:r w:rsidR="00003155" w:rsidRPr="00E72E6E">
        <w:t xml:space="preserve"> &amp; Thomas O. Main, </w:t>
      </w:r>
      <w:r w:rsidR="00003155" w:rsidRPr="00E72E6E">
        <w:rPr>
          <w:i/>
          <w:iCs/>
        </w:rPr>
        <w:t>The Fourth Era of American Civil Procedure</w:t>
      </w:r>
      <w:r w:rsidR="00003155" w:rsidRPr="00E72E6E">
        <w:t xml:space="preserve">, 162 U. Pa. L. </w:t>
      </w:r>
      <w:r w:rsidR="00FB3CD8">
        <w:t>R</w:t>
      </w:r>
      <w:r w:rsidR="00003155" w:rsidRPr="00E72E6E">
        <w:t xml:space="preserve">ev. 1839, 1856-77 (2014); Stephen N. </w:t>
      </w:r>
      <w:proofErr w:type="spellStart"/>
      <w:r w:rsidR="00003155" w:rsidRPr="00E72E6E">
        <w:t>Subrin</w:t>
      </w:r>
      <w:proofErr w:type="spellEnd"/>
      <w:r w:rsidR="00003155" w:rsidRPr="00E72E6E">
        <w:t xml:space="preserve">, </w:t>
      </w:r>
      <w:r w:rsidR="00003155" w:rsidRPr="00E72E6E">
        <w:rPr>
          <w:i/>
          <w:iCs/>
        </w:rPr>
        <w:t>How Equity Conquered Common Law: The Federal Rules of Civil Procedure in Historical Perspective</w:t>
      </w:r>
      <w:r w:rsidR="00003155" w:rsidRPr="00E72E6E">
        <w:t>, 135 U. Pa. L. Rev. 909 (1987)</w:t>
      </w:r>
      <w:r w:rsidR="00636B45">
        <w:t>.</w:t>
      </w:r>
    </w:p>
  </w:footnote>
  <w:footnote w:id="29">
    <w:p w14:paraId="6A3FD6B3" w14:textId="542D528B" w:rsidR="00DF1387" w:rsidRPr="00E72E6E" w:rsidRDefault="00DF1387" w:rsidP="0067230F">
      <w:pPr>
        <w:pStyle w:val="FootnoteText"/>
        <w:jc w:val="both"/>
      </w:pPr>
      <w:r w:rsidRPr="00E72E6E">
        <w:rPr>
          <w:rStyle w:val="FootnoteReference"/>
        </w:rPr>
        <w:footnoteRef/>
      </w:r>
      <w:r w:rsidRPr="00E72E6E">
        <w:t xml:space="preserve"> </w:t>
      </w:r>
      <w:r w:rsidR="00DE288B" w:rsidRPr="00E72E6E">
        <w:rPr>
          <w:i/>
          <w:iCs/>
        </w:rPr>
        <w:t>See</w:t>
      </w:r>
      <w:r w:rsidR="00DE288B" w:rsidRPr="00E72E6E">
        <w:t xml:space="preserve">, </w:t>
      </w:r>
      <w:r w:rsidR="00DE288B" w:rsidRPr="00E72E6E">
        <w:rPr>
          <w:i/>
          <w:iCs/>
        </w:rPr>
        <w:t>e.g.</w:t>
      </w:r>
      <w:r w:rsidR="00DE288B" w:rsidRPr="00E72E6E">
        <w:t xml:space="preserve">, Bray, </w:t>
      </w:r>
      <w:r w:rsidR="00DE288B" w:rsidRPr="00E72E6E">
        <w:rPr>
          <w:i/>
          <w:iCs/>
        </w:rPr>
        <w:t>supra</w:t>
      </w:r>
      <w:r w:rsidR="00DE288B" w:rsidRPr="00E72E6E">
        <w:t xml:space="preserve">, </w:t>
      </w:r>
      <w:r w:rsidR="00294D6A">
        <w:t xml:space="preserve">at </w:t>
      </w:r>
      <w:r w:rsidR="00DE288B" w:rsidRPr="00E72E6E">
        <w:t xml:space="preserve">445-457; </w:t>
      </w:r>
      <w:proofErr w:type="spellStart"/>
      <w:r w:rsidR="00A970B8" w:rsidRPr="00E72E6E">
        <w:t>Ahdout</w:t>
      </w:r>
      <w:proofErr w:type="spellEnd"/>
      <w:r w:rsidR="00A970B8" w:rsidRPr="00E72E6E">
        <w:t xml:space="preserve">, </w:t>
      </w:r>
      <w:r w:rsidR="00A970B8" w:rsidRPr="00E72E6E">
        <w:rPr>
          <w:i/>
          <w:iCs/>
        </w:rPr>
        <w:t>supra</w:t>
      </w:r>
      <w:r w:rsidR="00A970B8" w:rsidRPr="00E72E6E">
        <w:t xml:space="preserve">, </w:t>
      </w:r>
      <w:r w:rsidR="00294D6A">
        <w:t xml:space="preserve">at </w:t>
      </w:r>
      <w:r w:rsidR="00CD6B26" w:rsidRPr="00E72E6E">
        <w:t xml:space="preserve">948-956; Nash, </w:t>
      </w:r>
      <w:r w:rsidR="00CD6B26" w:rsidRPr="00E72E6E">
        <w:rPr>
          <w:i/>
          <w:iCs/>
        </w:rPr>
        <w:t>supra</w:t>
      </w:r>
      <w:r w:rsidR="00CD6B26" w:rsidRPr="00E72E6E">
        <w:t xml:space="preserve">, </w:t>
      </w:r>
      <w:r w:rsidR="00294D6A">
        <w:t xml:space="preserve">at </w:t>
      </w:r>
      <w:r w:rsidR="00CD6B26" w:rsidRPr="00E72E6E">
        <w:t xml:space="preserve">1990-91; Huddleston, </w:t>
      </w:r>
      <w:r w:rsidR="00CD6B26" w:rsidRPr="00E72E6E">
        <w:rPr>
          <w:i/>
          <w:iCs/>
        </w:rPr>
        <w:t>supra</w:t>
      </w:r>
      <w:r w:rsidR="00CD6B26" w:rsidRPr="00E72E6E">
        <w:t xml:space="preserve">, </w:t>
      </w:r>
      <w:r w:rsidR="00294D6A">
        <w:t xml:space="preserve">at </w:t>
      </w:r>
      <w:r w:rsidR="00CD6B26" w:rsidRPr="00E72E6E">
        <w:t xml:space="preserve">248-49; Young, </w:t>
      </w:r>
      <w:r w:rsidR="00CD6B26" w:rsidRPr="00E72E6E">
        <w:rPr>
          <w:i/>
          <w:iCs/>
        </w:rPr>
        <w:t>supra</w:t>
      </w:r>
      <w:r w:rsidR="00CD6B26" w:rsidRPr="00E72E6E">
        <w:t xml:space="preserve">, </w:t>
      </w:r>
      <w:r w:rsidR="00294D6A">
        <w:t xml:space="preserve">at </w:t>
      </w:r>
      <w:r w:rsidR="00CD6B26" w:rsidRPr="00E72E6E">
        <w:t>880.</w:t>
      </w:r>
      <w:r w:rsidR="00DE288B" w:rsidRPr="00E72E6E">
        <w:rPr>
          <w:i/>
          <w:iCs/>
        </w:rPr>
        <w:t xml:space="preserve"> </w:t>
      </w:r>
    </w:p>
  </w:footnote>
  <w:footnote w:id="30">
    <w:p w14:paraId="020A57D1" w14:textId="2820000D" w:rsidR="00AB5CE0" w:rsidRPr="00E72E6E" w:rsidRDefault="00AB5CE0" w:rsidP="0067230F">
      <w:pPr>
        <w:pStyle w:val="FootnoteText"/>
        <w:jc w:val="both"/>
      </w:pPr>
      <w:r w:rsidRPr="00E72E6E">
        <w:rPr>
          <w:rStyle w:val="FootnoteReference"/>
        </w:rPr>
        <w:footnoteRef/>
      </w:r>
      <w:r w:rsidRPr="00E72E6E">
        <w:t xml:space="preserve"> </w:t>
      </w:r>
      <w:r w:rsidR="006E1CEC" w:rsidRPr="00E72E6E">
        <w:rPr>
          <w:i/>
          <w:iCs/>
        </w:rPr>
        <w:t>City &amp; C</w:t>
      </w:r>
      <w:r w:rsidR="00D82AE5">
        <w:rPr>
          <w:i/>
          <w:iCs/>
        </w:rPr>
        <w:t>ounty</w:t>
      </w:r>
      <w:r w:rsidR="006E1CEC" w:rsidRPr="00E72E6E">
        <w:rPr>
          <w:i/>
          <w:iCs/>
        </w:rPr>
        <w:t xml:space="preserve"> of San Francisco v. Trump</w:t>
      </w:r>
      <w:r w:rsidR="006E1CEC" w:rsidRPr="00E72E6E">
        <w:t>, 897 F.3d 1225, 1245 (9th Cir. 2018) (vacating injunction “because the record is insufficiently developed as to the question of the national</w:t>
      </w:r>
      <w:r w:rsidR="0086556A">
        <w:t xml:space="preserve"> </w:t>
      </w:r>
      <w:r w:rsidR="006E1CEC" w:rsidRPr="00E72E6E">
        <w:t xml:space="preserve">scope of the injunction”); </w:t>
      </w:r>
      <w:r w:rsidR="00F41DB0" w:rsidRPr="00E72E6E">
        <w:rPr>
          <w:i/>
          <w:iCs/>
        </w:rPr>
        <w:t>California v. Azar</w:t>
      </w:r>
      <w:r w:rsidR="00F41DB0" w:rsidRPr="00E72E6E">
        <w:t>, 911 F.3d 558, 584 (9th Cir. 2018)</w:t>
      </w:r>
      <w:r w:rsidR="00A7540B" w:rsidRPr="00E72E6E">
        <w:t xml:space="preserve">; Sam Bray, </w:t>
      </w:r>
      <w:r w:rsidR="00A7540B" w:rsidRPr="00E72E6E">
        <w:rPr>
          <w:i/>
          <w:iCs/>
        </w:rPr>
        <w:t>Finally, a Court Defends the National Injunction</w:t>
      </w:r>
      <w:r w:rsidR="00A7540B" w:rsidRPr="00E72E6E">
        <w:t xml:space="preserve">, Volokh Conspiracy (Dec. 14, 2017) (criticizing courts for failing to provide a thorough analysis to justify nationwide injunctions), </w:t>
      </w:r>
      <w:hyperlink r:id="rId1" w:history="1">
        <w:r w:rsidR="00A7540B" w:rsidRPr="00E72E6E">
          <w:rPr>
            <w:rStyle w:val="Hyperlink"/>
          </w:rPr>
          <w:t>https://www.washingtonpost.com/news/volokh-conspiracy/wp/2017/10/14/finally-a-court-defends-the-national-injunction/</w:t>
        </w:r>
      </w:hyperlink>
      <w:r w:rsidR="00A7540B" w:rsidRPr="00E72E6E">
        <w:t>.</w:t>
      </w:r>
    </w:p>
  </w:footnote>
  <w:footnote w:id="31">
    <w:p w14:paraId="55E668A3" w14:textId="1EF680BE" w:rsidR="00C9720E" w:rsidRPr="00C9720E" w:rsidRDefault="00C9720E" w:rsidP="0067230F">
      <w:pPr>
        <w:pStyle w:val="FootnoteText"/>
        <w:jc w:val="both"/>
      </w:pPr>
      <w:r>
        <w:rPr>
          <w:rStyle w:val="FootnoteReference"/>
        </w:rPr>
        <w:footnoteRef/>
      </w:r>
      <w:r>
        <w:t xml:space="preserve"> </w:t>
      </w:r>
      <w:r w:rsidR="00A12DA0">
        <w:t xml:space="preserve">This section analyzes intervention doctrine independent of the substantive or institutional features of each case, as courts have purported to do, though there are limited exceptions. For commentary on how Rule 24’s interpretation in particular contexts </w:t>
      </w:r>
      <w:proofErr w:type="gramStart"/>
      <w:r w:rsidR="00A12DA0">
        <w:t>has</w:t>
      </w:r>
      <w:proofErr w:type="gramEnd"/>
      <w:r w:rsidR="00A12DA0">
        <w:t xml:space="preserve"> had “spill over” effects in the understanding of the rule as a whole, </w:t>
      </w:r>
      <w:r w:rsidR="00A12DA0">
        <w:rPr>
          <w:i/>
          <w:iCs/>
        </w:rPr>
        <w:t xml:space="preserve">see </w:t>
      </w:r>
      <w:r w:rsidR="00A12DA0">
        <w:t xml:space="preserve">Mila </w:t>
      </w:r>
      <w:proofErr w:type="spellStart"/>
      <w:r w:rsidR="00A12DA0">
        <w:t>Sohoni</w:t>
      </w:r>
      <w:proofErr w:type="spellEnd"/>
      <w:r w:rsidR="00A12DA0">
        <w:t xml:space="preserve">, </w:t>
      </w:r>
      <w:r w:rsidR="00A12DA0">
        <w:rPr>
          <w:i/>
          <w:iCs/>
        </w:rPr>
        <w:t xml:space="preserve">Equity and the </w:t>
      </w:r>
      <w:r w:rsidR="00A12DA0" w:rsidRPr="00C9720E">
        <w:rPr>
          <w:i/>
          <w:iCs/>
        </w:rPr>
        <w:t>Sovereign</w:t>
      </w:r>
      <w:r w:rsidR="00A12DA0">
        <w:t xml:space="preserve">, 97 Notre Dame L. Rev. 2019, </w:t>
      </w:r>
      <w:r w:rsidR="00A12DA0" w:rsidRPr="00C9720E">
        <w:t>2044</w:t>
      </w:r>
      <w:r w:rsidR="00A12DA0">
        <w:t>-46 (2022).</w:t>
      </w:r>
    </w:p>
  </w:footnote>
  <w:footnote w:id="32">
    <w:p w14:paraId="2695804B" w14:textId="77E584E0" w:rsidR="00C0298D" w:rsidRDefault="00C0298D">
      <w:pPr>
        <w:pStyle w:val="FootnoteText"/>
      </w:pPr>
      <w:r>
        <w:rPr>
          <w:rStyle w:val="FootnoteReference"/>
        </w:rPr>
        <w:footnoteRef/>
      </w:r>
      <w:r>
        <w:t xml:space="preserve"> Fed. R. Civ. P. 24(a) (emphasis added).</w:t>
      </w:r>
    </w:p>
  </w:footnote>
  <w:footnote w:id="33">
    <w:p w14:paraId="3969153E" w14:textId="6D70B6C9" w:rsidR="00C0298D" w:rsidRDefault="00C0298D" w:rsidP="00C0298D">
      <w:pPr>
        <w:pStyle w:val="FootnoteText"/>
        <w:jc w:val="both"/>
      </w:pPr>
      <w:r>
        <w:rPr>
          <w:rStyle w:val="FootnoteReference"/>
        </w:rPr>
        <w:footnoteRef/>
      </w:r>
      <w:r>
        <w:t xml:space="preserve"> Fed. R. Civ. P. 24(b) (emphasis added). </w:t>
      </w:r>
    </w:p>
  </w:footnote>
  <w:footnote w:id="34">
    <w:p w14:paraId="3533B20C" w14:textId="49630055" w:rsidR="00DE722C" w:rsidRPr="00E72E6E" w:rsidRDefault="00DE722C" w:rsidP="0067230F">
      <w:pPr>
        <w:pStyle w:val="FootnoteText"/>
        <w:jc w:val="both"/>
      </w:pPr>
      <w:r w:rsidRPr="00E72E6E">
        <w:rPr>
          <w:rStyle w:val="FootnoteReference"/>
        </w:rPr>
        <w:footnoteRef/>
      </w:r>
      <w:r w:rsidRPr="00E72E6E">
        <w:t xml:space="preserve"> Rule 24(a)(2). </w:t>
      </w:r>
      <w:r w:rsidR="005A6605">
        <w:t>An</w:t>
      </w:r>
      <w:r w:rsidR="00514C5D" w:rsidRPr="00096438">
        <w:t xml:space="preserve"> additional factor—whether the motion is timely—is widely accepted as discretionary,</w:t>
      </w:r>
      <w:r w:rsidR="00514C5D">
        <w:t xml:space="preserve"> so will not be discussed further here. </w:t>
      </w:r>
      <w:r w:rsidR="00514C5D">
        <w:rPr>
          <w:i/>
          <w:iCs/>
        </w:rPr>
        <w:t xml:space="preserve">See </w:t>
      </w:r>
      <w:r w:rsidR="00F23560" w:rsidRPr="00E72E6E">
        <w:t>13A Charles Alan Wright, Arthur R. Miller &amp; Edward H. Cooper, Federal Practice and Procedure § 19</w:t>
      </w:r>
      <w:r w:rsidR="00F23560">
        <w:t>02</w:t>
      </w:r>
      <w:r w:rsidR="00F23560" w:rsidRPr="00E72E6E">
        <w:t xml:space="preserve"> (3d ed. 2021).</w:t>
      </w:r>
    </w:p>
  </w:footnote>
  <w:footnote w:id="35">
    <w:p w14:paraId="5B6196CF" w14:textId="46DE06BF" w:rsidR="00DE722C" w:rsidRPr="00E72E6E" w:rsidRDefault="00DE722C" w:rsidP="0067230F">
      <w:pPr>
        <w:pStyle w:val="FootnoteText"/>
        <w:jc w:val="both"/>
      </w:pPr>
      <w:r w:rsidRPr="00E72E6E">
        <w:rPr>
          <w:rStyle w:val="FootnoteReference"/>
        </w:rPr>
        <w:footnoteRef/>
      </w:r>
      <w:r w:rsidRPr="00E72E6E">
        <w:t xml:space="preserve"> The distinction has arguably </w:t>
      </w:r>
      <w:r w:rsidR="00883CE7">
        <w:t>long</w:t>
      </w:r>
      <w:r w:rsidRPr="00E72E6E">
        <w:t xml:space="preserve"> been illusory</w:t>
      </w:r>
      <w:r w:rsidR="00E52363">
        <w:t>, even in private</w:t>
      </w:r>
      <w:r w:rsidR="00BD6A15">
        <w:t>-</w:t>
      </w:r>
      <w:r w:rsidR="00E52363">
        <w:t>law cases</w:t>
      </w:r>
      <w:r w:rsidRPr="00E72E6E">
        <w:t xml:space="preserve">. </w:t>
      </w:r>
      <w:r w:rsidRPr="00E72E6E">
        <w:rPr>
          <w:i/>
          <w:iCs/>
        </w:rPr>
        <w:t>See</w:t>
      </w:r>
      <w:r w:rsidRPr="00E72E6E">
        <w:t xml:space="preserve">, </w:t>
      </w:r>
      <w:r w:rsidRPr="00E72E6E">
        <w:rPr>
          <w:i/>
          <w:iCs/>
        </w:rPr>
        <w:t>e.g.</w:t>
      </w:r>
      <w:r w:rsidRPr="00E72E6E">
        <w:t xml:space="preserve">, John E. Kennedy, </w:t>
      </w:r>
      <w:r w:rsidRPr="00E72E6E">
        <w:rPr>
          <w:i/>
          <w:iCs/>
        </w:rPr>
        <w:t>Let’s All Join In: Intervention under Federal Rule 24</w:t>
      </w:r>
      <w:r w:rsidRPr="00E72E6E">
        <w:t xml:space="preserve">, 57 Ky. L.J. 329, 375 (1968) (“Distinctions between intervention of right and permissive intervention are artificial and have led to a precedential tangle of analytical distinctions.”). </w:t>
      </w:r>
    </w:p>
  </w:footnote>
  <w:footnote w:id="36">
    <w:p w14:paraId="49E364E8" w14:textId="595362A2" w:rsidR="00DE722C" w:rsidRPr="00E72E6E" w:rsidRDefault="00DE722C" w:rsidP="0067230F">
      <w:pPr>
        <w:pStyle w:val="FootnoteText"/>
        <w:jc w:val="both"/>
        <w:rPr>
          <w:i/>
          <w:iCs/>
        </w:rPr>
      </w:pPr>
      <w:r w:rsidRPr="00E72E6E">
        <w:rPr>
          <w:rStyle w:val="FootnoteReference"/>
        </w:rPr>
        <w:footnoteRef/>
      </w:r>
      <w:r w:rsidRPr="00E72E6E">
        <w:t xml:space="preserve"> </w:t>
      </w:r>
      <w:r w:rsidRPr="00E72E6E">
        <w:rPr>
          <w:i/>
          <w:iCs/>
        </w:rPr>
        <w:t>See, e.g.</w:t>
      </w:r>
      <w:r w:rsidRPr="00E72E6E">
        <w:t>,</w:t>
      </w:r>
      <w:r w:rsidRPr="00E72E6E">
        <w:rPr>
          <w:i/>
          <w:iCs/>
        </w:rPr>
        <w:t xml:space="preserve"> Planned Parenthood of Wisconsin, Inc. v. Kaul</w:t>
      </w:r>
      <w:r w:rsidRPr="00E72E6E">
        <w:t xml:space="preserve">, 942 F.3d 793, 804 (7th Cir. 2019) (cautioning that Rule 24(b)(1) “is not just a repeat of Rule 24(a)(2)” but acknowledging that courts may “consider[] … the elements of intervention as of right as discretionary factors” and does not need to “explicitly break out its reasoning” between the two); </w:t>
      </w:r>
      <w:r w:rsidRPr="00E72E6E">
        <w:rPr>
          <w:i/>
          <w:iCs/>
        </w:rPr>
        <w:t xml:space="preserve">Tri-State Generation &amp; Transmission </w:t>
      </w:r>
      <w:proofErr w:type="spellStart"/>
      <w:r w:rsidRPr="00E72E6E">
        <w:rPr>
          <w:i/>
          <w:iCs/>
        </w:rPr>
        <w:t>Ass’n</w:t>
      </w:r>
      <w:proofErr w:type="spellEnd"/>
      <w:r w:rsidRPr="00E72E6E">
        <w:rPr>
          <w:i/>
          <w:iCs/>
        </w:rPr>
        <w:t xml:space="preserve">, Inc. v. New Mexico Pub. </w:t>
      </w:r>
      <w:proofErr w:type="spellStart"/>
      <w:r w:rsidRPr="00E72E6E">
        <w:rPr>
          <w:i/>
          <w:iCs/>
        </w:rPr>
        <w:t>Regul</w:t>
      </w:r>
      <w:proofErr w:type="spellEnd"/>
      <w:r w:rsidRPr="00E72E6E">
        <w:rPr>
          <w:i/>
          <w:iCs/>
        </w:rPr>
        <w:t>. Comm’n</w:t>
      </w:r>
      <w:r w:rsidRPr="00E72E6E">
        <w:t xml:space="preserve">, 787 F.3d 1068, 1075 (10th Cir. 2015) (affirming the district court’s denial of permissive intervention in part because the proposed intervenor’s interests were already adequate represented even though “Rule 24(b) does not provide for consideration of adequate representation” and collecting cites where other courts </w:t>
      </w:r>
      <w:r w:rsidR="00E2627A">
        <w:t>did the same</w:t>
      </w:r>
      <w:r w:rsidRPr="00E72E6E">
        <w:t>).</w:t>
      </w:r>
    </w:p>
  </w:footnote>
  <w:footnote w:id="37">
    <w:p w14:paraId="6A107545" w14:textId="3BFDBDC9" w:rsidR="000F27D2" w:rsidRPr="00E72E6E" w:rsidRDefault="000F27D2" w:rsidP="000F27D2">
      <w:pPr>
        <w:pStyle w:val="FootnoteText"/>
        <w:jc w:val="both"/>
      </w:pPr>
      <w:r w:rsidRPr="00E72E6E">
        <w:rPr>
          <w:rStyle w:val="FootnoteReference"/>
        </w:rPr>
        <w:footnoteRef/>
      </w:r>
      <w:r w:rsidRPr="00E72E6E">
        <w:t xml:space="preserve"> </w:t>
      </w:r>
      <w:r>
        <w:t xml:space="preserve">James Wm. </w:t>
      </w:r>
      <w:r w:rsidRPr="00E72E6E">
        <w:t xml:space="preserve">Moore &amp; </w:t>
      </w:r>
      <w:r>
        <w:t xml:space="preserve">Edward H. </w:t>
      </w:r>
      <w:r w:rsidRPr="00E72E6E">
        <w:t xml:space="preserve">Levi, </w:t>
      </w:r>
      <w:r>
        <w:rPr>
          <w:i/>
          <w:iCs/>
        </w:rPr>
        <w:t>Federal Intervention I. The Right to Intervene and Reorganization</w:t>
      </w:r>
      <w:r>
        <w:t>, 45 Yale L. J. 565, 581 (1936) (hereinafter “</w:t>
      </w:r>
      <w:r>
        <w:rPr>
          <w:i/>
          <w:iCs/>
        </w:rPr>
        <w:t>Federal Intervention I</w:t>
      </w:r>
      <w:r>
        <w:t>”)</w:t>
      </w:r>
      <w:r w:rsidRPr="00E72E6E">
        <w:t xml:space="preserve">; Nelson, </w:t>
      </w:r>
      <w:r w:rsidRPr="00E72E6E">
        <w:rPr>
          <w:i/>
          <w:iCs/>
        </w:rPr>
        <w:t>supra</w:t>
      </w:r>
      <w:r w:rsidRPr="00E72E6E">
        <w:t xml:space="preserve">, at 316; Shapiro, </w:t>
      </w:r>
      <w:r w:rsidRPr="00E72E6E">
        <w:rPr>
          <w:i/>
          <w:iCs/>
        </w:rPr>
        <w:t xml:space="preserve">supra, </w:t>
      </w:r>
      <w:r w:rsidRPr="00E72E6E">
        <w:t>at 749.</w:t>
      </w:r>
      <w:r>
        <w:t xml:space="preserve"> </w:t>
      </w:r>
      <w:r w:rsidRPr="00E72E6E">
        <w:t xml:space="preserve">Courts are still split on what standard of review applies on appeal for intervention as of right. </w:t>
      </w:r>
      <w:r w:rsidRPr="00E72E6E">
        <w:rPr>
          <w:i/>
          <w:iCs/>
        </w:rPr>
        <w:t>Compare</w:t>
      </w:r>
      <w:r w:rsidRPr="00E72E6E">
        <w:t xml:space="preserve"> </w:t>
      </w:r>
      <w:r w:rsidRPr="00E72E6E">
        <w:rPr>
          <w:i/>
          <w:iCs/>
        </w:rPr>
        <w:t>W. Energy All. v. Zinke</w:t>
      </w:r>
      <w:r w:rsidRPr="00E72E6E">
        <w:t xml:space="preserve">, 877 F.3d 1157, 1164 (10th Cir. 2017) (reviewing de novo), </w:t>
      </w:r>
      <w:r w:rsidRPr="00E72E6E">
        <w:rPr>
          <w:i/>
          <w:iCs/>
        </w:rPr>
        <w:t>with In re New York City Policing During Summer 2020 Demonstrations</w:t>
      </w:r>
      <w:r w:rsidRPr="00E72E6E">
        <w:t xml:space="preserve">, 27 F.4th 792, 799 (2d Cir. 2022) (reviewing for abuse of discretion); </w:t>
      </w:r>
      <w:r w:rsidRPr="00E72E6E">
        <w:rPr>
          <w:i/>
          <w:iCs/>
        </w:rPr>
        <w:t>see also</w:t>
      </w:r>
      <w:r w:rsidRPr="00E72E6E">
        <w:t xml:space="preserve"> </w:t>
      </w:r>
      <w:r w:rsidRPr="00E72E6E">
        <w:rPr>
          <w:i/>
          <w:iCs/>
        </w:rPr>
        <w:t>Berger v. North Carolina State Conference of the NAACP</w:t>
      </w:r>
      <w:r w:rsidRPr="00E72E6E">
        <w:t xml:space="preserve">, 142 S. Ct. 2191, 2206 n.* (2022) (noting that the “parties disagree whether our review of this case should be governed by a </w:t>
      </w:r>
      <w:r w:rsidRPr="00E72E6E">
        <w:rPr>
          <w:i/>
          <w:iCs/>
        </w:rPr>
        <w:t>de novo</w:t>
      </w:r>
      <w:r w:rsidRPr="00E72E6E">
        <w:t xml:space="preserve"> or abuse-of-discretion standard” but “find[</w:t>
      </w:r>
      <w:proofErr w:type="spellStart"/>
      <w:r w:rsidRPr="00E72E6E">
        <w:t>ing</w:t>
      </w:r>
      <w:proofErr w:type="spellEnd"/>
      <w:r w:rsidRPr="00E72E6E">
        <w:t xml:space="preserve">] it unnecessary to resolve”). </w:t>
      </w:r>
    </w:p>
  </w:footnote>
  <w:footnote w:id="38">
    <w:p w14:paraId="35E9E071" w14:textId="77777777" w:rsidR="00DE722C" w:rsidRPr="00E72E6E" w:rsidRDefault="00DE722C" w:rsidP="0067230F">
      <w:pPr>
        <w:pStyle w:val="FootnoteText"/>
        <w:jc w:val="both"/>
      </w:pPr>
      <w:r w:rsidRPr="00E72E6E">
        <w:rPr>
          <w:rStyle w:val="FootnoteReference"/>
        </w:rPr>
        <w:footnoteRef/>
      </w:r>
      <w:r w:rsidRPr="00E72E6E">
        <w:t xml:space="preserve"> For example, one court recently cautioned that courts “must be careful not to collapse the two inquiries—the inquiry under Rule 24(a) and the inquiry under Rule 24(b)—into the single question whether intervention is sensible from a practical standpoint” because “the standard of appellate review is more deferential … under Rule 24(b).” </w:t>
      </w:r>
      <w:r w:rsidRPr="00E72E6E">
        <w:rPr>
          <w:i/>
          <w:iCs/>
        </w:rPr>
        <w:t>City of Chicago v. Fed. Emergency Mgmt. Agency</w:t>
      </w:r>
      <w:r w:rsidRPr="00E72E6E">
        <w:t xml:space="preserve">, 660 F.3d 980, 987 (7th Cir. 2011); </w:t>
      </w:r>
      <w:r w:rsidRPr="00E72E6E">
        <w:rPr>
          <w:i/>
          <w:iCs/>
        </w:rPr>
        <w:t>see also id.</w:t>
      </w:r>
      <w:r w:rsidRPr="00E72E6E">
        <w:t xml:space="preserve"> (noting that it was “[o]dd that the circuits can’t agree” on the standard of review for intervention). </w:t>
      </w:r>
    </w:p>
  </w:footnote>
  <w:footnote w:id="39">
    <w:p w14:paraId="68540E70" w14:textId="77777777"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See, e.g.</w:t>
      </w:r>
      <w:r w:rsidRPr="00E72E6E">
        <w:t xml:space="preserve">, </w:t>
      </w:r>
      <w:r w:rsidRPr="00E72E6E">
        <w:rPr>
          <w:i/>
          <w:iCs/>
        </w:rPr>
        <w:t>Commonwealth of Pennsylvania v. President United States of Am.</w:t>
      </w:r>
      <w:r w:rsidRPr="00E72E6E">
        <w:t xml:space="preserve">, 888 F.3d 52, 57 (3d Cir. 2018) (applying abuse of discretion to review a denial of both forms of intervention). </w:t>
      </w:r>
    </w:p>
  </w:footnote>
  <w:footnote w:id="40">
    <w:p w14:paraId="39A86409" w14:textId="016C47C6" w:rsidR="0022124F" w:rsidRPr="005C4543" w:rsidRDefault="0022124F" w:rsidP="0067230F">
      <w:pPr>
        <w:pStyle w:val="FootnoteText"/>
        <w:jc w:val="both"/>
        <w:rPr>
          <w:i/>
          <w:iCs/>
        </w:rPr>
      </w:pPr>
      <w:r w:rsidRPr="00E72E6E">
        <w:rPr>
          <w:rStyle w:val="FootnoteReference"/>
        </w:rPr>
        <w:footnoteRef/>
      </w:r>
      <w:r w:rsidRPr="00E72E6E">
        <w:t xml:space="preserve"> </w:t>
      </w:r>
      <w:r w:rsidR="005C4543">
        <w:rPr>
          <w:i/>
          <w:iCs/>
        </w:rPr>
        <w:t>See, e.g.</w:t>
      </w:r>
      <w:r w:rsidR="005C4543" w:rsidRPr="005C4543">
        <w:t>,</w:t>
      </w:r>
      <w:r w:rsidR="005C4543">
        <w:rPr>
          <w:i/>
          <w:iCs/>
        </w:rPr>
        <w:t xml:space="preserve"> </w:t>
      </w:r>
      <w:r w:rsidR="005C4543" w:rsidRPr="005C4543">
        <w:rPr>
          <w:i/>
          <w:iCs/>
        </w:rPr>
        <w:t>United States v. Michigan</w:t>
      </w:r>
      <w:r w:rsidR="005C4543" w:rsidRPr="005C4543">
        <w:t xml:space="preserve">, 68 F.4th 1021, </w:t>
      </w:r>
      <w:r w:rsidR="000C70C5">
        <w:t>1024-</w:t>
      </w:r>
      <w:r w:rsidR="005C4543" w:rsidRPr="005C4543">
        <w:t>29 (6th Cir. 2023)</w:t>
      </w:r>
      <w:r w:rsidR="000C70C5">
        <w:t xml:space="preserve">. </w:t>
      </w:r>
    </w:p>
  </w:footnote>
  <w:footnote w:id="41">
    <w:p w14:paraId="77759079" w14:textId="77777777" w:rsidR="00DE722C" w:rsidRPr="00E72E6E" w:rsidRDefault="00DE722C" w:rsidP="0067230F">
      <w:pPr>
        <w:pStyle w:val="FootnoteText"/>
        <w:jc w:val="both"/>
      </w:pPr>
      <w:r w:rsidRPr="00E72E6E">
        <w:rPr>
          <w:rStyle w:val="FootnoteReference"/>
        </w:rPr>
        <w:footnoteRef/>
      </w:r>
      <w:r w:rsidRPr="00E72E6E">
        <w:t xml:space="preserve"> </w:t>
      </w:r>
      <w:proofErr w:type="spellStart"/>
      <w:r w:rsidRPr="00E72E6E">
        <w:rPr>
          <w:i/>
          <w:iCs/>
        </w:rPr>
        <w:t>Stringfellow</w:t>
      </w:r>
      <w:proofErr w:type="spellEnd"/>
      <w:r w:rsidRPr="00E72E6E">
        <w:rPr>
          <w:i/>
          <w:iCs/>
        </w:rPr>
        <w:t xml:space="preserve"> v. Concerned Neighbors in Action</w:t>
      </w:r>
      <w:r w:rsidRPr="00E72E6E">
        <w:t>, 480 U.S. 370, 375 (1987) (“We conclude that because CNA is now a party to the suit by virtue of its permissive intervention, it can obtain effective review of its claims on appeal from the final judgment.”).</w:t>
      </w:r>
    </w:p>
  </w:footnote>
  <w:footnote w:id="42">
    <w:p w14:paraId="74347395" w14:textId="6750D3E0" w:rsidR="00DE722C" w:rsidRPr="00E72E6E" w:rsidRDefault="00DE722C" w:rsidP="0067230F">
      <w:pPr>
        <w:pStyle w:val="FootnoteText"/>
        <w:jc w:val="both"/>
      </w:pPr>
      <w:r w:rsidRPr="00E72E6E">
        <w:rPr>
          <w:rStyle w:val="FootnoteReference"/>
        </w:rPr>
        <w:footnoteRef/>
      </w:r>
      <w:r w:rsidRPr="00E72E6E">
        <w:t xml:space="preserve"> </w:t>
      </w:r>
      <w:r w:rsidR="007E77E5">
        <w:rPr>
          <w:i/>
          <w:iCs/>
        </w:rPr>
        <w:t>See, e.g.</w:t>
      </w:r>
      <w:r w:rsidR="007E77E5" w:rsidRPr="007E77E5">
        <w:t>,</w:t>
      </w:r>
      <w:r w:rsidR="007E77E5">
        <w:rPr>
          <w:i/>
          <w:iCs/>
        </w:rPr>
        <w:t xml:space="preserve"> </w:t>
      </w:r>
      <w:r w:rsidRPr="00E72E6E">
        <w:rPr>
          <w:i/>
          <w:iCs/>
        </w:rPr>
        <w:t>Planned Parenthood of Wisconsin, Inc. v. Kaul</w:t>
      </w:r>
      <w:r w:rsidRPr="00E72E6E">
        <w:t xml:space="preserve">, 942 F.3d 793, 797 (7th Cir. 2019) (“A party granted leave to intervene as of right under this rule has the ‘full rights of a party.’”); </w:t>
      </w:r>
      <w:r w:rsidRPr="00E72E6E">
        <w:rPr>
          <w:i/>
          <w:iCs/>
        </w:rPr>
        <w:t xml:space="preserve">id. </w:t>
      </w:r>
      <w:r w:rsidRPr="00E72E6E">
        <w:t>at 803 (“The court can even place conditions on the scope of permissive intervention, allowing more voices to be heard without overcomplicating the case with additional claims, defenses, discovery, and conflicting positions.”)</w:t>
      </w:r>
      <w:r w:rsidR="00E753DB">
        <w:t>.</w:t>
      </w:r>
      <w:r w:rsidRPr="00E72E6E">
        <w:t xml:space="preserve"> </w:t>
      </w:r>
    </w:p>
  </w:footnote>
  <w:footnote w:id="43">
    <w:p w14:paraId="74210FCD" w14:textId="2D137D25"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 xml:space="preserve">Cotter v. Massachusetts </w:t>
      </w:r>
      <w:proofErr w:type="spellStart"/>
      <w:r w:rsidRPr="00E72E6E">
        <w:rPr>
          <w:i/>
          <w:iCs/>
        </w:rPr>
        <w:t>Ass’n</w:t>
      </w:r>
      <w:proofErr w:type="spellEnd"/>
      <w:r w:rsidRPr="00E72E6E">
        <w:rPr>
          <w:i/>
          <w:iCs/>
        </w:rPr>
        <w:t xml:space="preserve"> of Minority L. </w:t>
      </w:r>
      <w:proofErr w:type="spellStart"/>
      <w:r w:rsidRPr="00E72E6E">
        <w:rPr>
          <w:i/>
          <w:iCs/>
        </w:rPr>
        <w:t>Enf’t</w:t>
      </w:r>
      <w:proofErr w:type="spellEnd"/>
      <w:r w:rsidRPr="00E72E6E">
        <w:rPr>
          <w:i/>
          <w:iCs/>
        </w:rPr>
        <w:t xml:space="preserve"> Officers</w:t>
      </w:r>
      <w:r w:rsidRPr="00E72E6E">
        <w:t>, 219 F.3d 31, 36 n.2 (1st Cir. 2000) (“The traditional sense was that courts could not impose conditions on an intervention as of right.”)</w:t>
      </w:r>
      <w:r w:rsidR="00E753DB">
        <w:t>.</w:t>
      </w:r>
      <w:r w:rsidR="00510D92">
        <w:t xml:space="preserve"> </w:t>
      </w:r>
      <w:r w:rsidRPr="00C21140">
        <w:t xml:space="preserve">A rule </w:t>
      </w:r>
      <w:r w:rsidR="00510D92">
        <w:t xml:space="preserve">prohibiting limits on intervention of right </w:t>
      </w:r>
      <w:r w:rsidRPr="00C21140">
        <w:t xml:space="preserve">makes sense given that </w:t>
      </w:r>
      <w:r w:rsidR="00510D92">
        <w:t xml:space="preserve">they </w:t>
      </w:r>
      <w:r w:rsidRPr="00C21140">
        <w:t>are usually bound by the judgment.</w:t>
      </w:r>
      <w:r w:rsidRPr="00E72E6E">
        <w:t xml:space="preserve"> </w:t>
      </w:r>
      <w:r w:rsidR="00510D92">
        <w:rPr>
          <w:i/>
          <w:iCs/>
        </w:rPr>
        <w:t xml:space="preserve">See </w:t>
      </w:r>
      <w:r w:rsidRPr="00510D92">
        <w:rPr>
          <w:i/>
          <w:iCs/>
        </w:rPr>
        <w:t>D.C. v. Merit Sys. Prot. Bd.</w:t>
      </w:r>
      <w:r w:rsidRPr="00E72E6E">
        <w:t xml:space="preserve">, 762 F.2d 129, 132 (D.C. Cir. 1985) (“By successfully intervening, a party makes herself ‘vulnerable to complete adjudication by the federal court of the issues in litigation between the intervenor and the adverse party.’”) (quoting 3B Moore’s Federal Practice § 24.16[6], at 181). </w:t>
      </w:r>
    </w:p>
  </w:footnote>
  <w:footnote w:id="44">
    <w:p w14:paraId="336825E8" w14:textId="480DFBB8" w:rsidR="00DE722C" w:rsidRPr="00E72E6E" w:rsidRDefault="00DE722C" w:rsidP="0067230F">
      <w:pPr>
        <w:pStyle w:val="FootnoteText"/>
        <w:jc w:val="both"/>
      </w:pPr>
      <w:r w:rsidRPr="00E72E6E">
        <w:rPr>
          <w:rStyle w:val="FootnoteReference"/>
        </w:rPr>
        <w:footnoteRef/>
      </w:r>
      <w:r w:rsidRPr="00E72E6E">
        <w:t xml:space="preserve"> Wright &amp; Miller, </w:t>
      </w:r>
      <w:r w:rsidRPr="00E72E6E">
        <w:rPr>
          <w:i/>
          <w:iCs/>
        </w:rPr>
        <w:t>supra</w:t>
      </w:r>
      <w:r w:rsidRPr="00E72E6E">
        <w:t xml:space="preserve">, § 1922; </w:t>
      </w:r>
      <w:r w:rsidR="00F40690" w:rsidRPr="00F40690">
        <w:rPr>
          <w:i/>
          <w:iCs/>
        </w:rPr>
        <w:t>Beauregard, Inc. v. Sword Servs. L.L.C.</w:t>
      </w:r>
      <w:r w:rsidR="00F40690">
        <w:t>, 107 F.3d 351, 352 n.2 (5th Cir. 1997) (“</w:t>
      </w:r>
      <w:r w:rsidRPr="00E72E6E">
        <w:t xml:space="preserve">It is undisputed that virtually any condition may be attached to a grant of permissive intervention.”). </w:t>
      </w:r>
    </w:p>
  </w:footnote>
  <w:footnote w:id="45">
    <w:p w14:paraId="57F4FF1B" w14:textId="5AE01035" w:rsidR="00DE722C" w:rsidRPr="00E72E6E" w:rsidRDefault="00DE722C" w:rsidP="0067230F">
      <w:pPr>
        <w:pStyle w:val="FootnoteText"/>
        <w:jc w:val="both"/>
      </w:pPr>
      <w:r w:rsidRPr="00E72E6E">
        <w:rPr>
          <w:rStyle w:val="FootnoteReference"/>
        </w:rPr>
        <w:footnoteRef/>
      </w:r>
      <w:r w:rsidRPr="00E72E6E">
        <w:t xml:space="preserve"> </w:t>
      </w:r>
      <w:r w:rsidR="00DC18B9">
        <w:rPr>
          <w:i/>
          <w:iCs/>
        </w:rPr>
        <w:t>See, e.g.</w:t>
      </w:r>
      <w:r w:rsidR="00DC18B9" w:rsidRPr="00DC18B9">
        <w:t xml:space="preserve">, </w:t>
      </w:r>
      <w:r w:rsidR="00DC18B9" w:rsidRPr="00E72E6E">
        <w:rPr>
          <w:i/>
          <w:iCs/>
        </w:rPr>
        <w:t>Fund for Animals, Inc. v. Norton</w:t>
      </w:r>
      <w:r w:rsidR="00DC18B9" w:rsidRPr="00E72E6E">
        <w:t>, 322 F.3d 728, 737 n.11 (D.C. Cir. 2003) (</w:t>
      </w:r>
      <w:r w:rsidR="00DC18B9">
        <w:t xml:space="preserve">asserting that </w:t>
      </w:r>
      <w:r w:rsidR="00DC18B9" w:rsidRPr="00E72E6E">
        <w:t>courts may bar intervenors of right from raising additional claims</w:t>
      </w:r>
      <w:r w:rsidR="00DC18B9">
        <w:t>, but recognizing that this power is limited to conditions “of a housekeeping nature”</w:t>
      </w:r>
      <w:r w:rsidR="00DC18B9" w:rsidRPr="00E72E6E">
        <w:t xml:space="preserve">). Most courts have not embraced, for instance, </w:t>
      </w:r>
      <w:r w:rsidR="004E03D2">
        <w:t>David</w:t>
      </w:r>
      <w:r w:rsidR="00DC18B9" w:rsidRPr="00E72E6E">
        <w:t xml:space="preserve"> Shapiro’s suggestion that intervenors of right could be prevented from appealing adverse decisions. </w:t>
      </w:r>
      <w:r w:rsidR="00DC18B9" w:rsidRPr="00C21140">
        <w:t>Shapiro</w:t>
      </w:r>
      <w:r w:rsidR="00DC18B9" w:rsidRPr="00E72E6E">
        <w:t>,</w:t>
      </w:r>
      <w:r w:rsidR="00DC18B9">
        <w:t xml:space="preserve"> </w:t>
      </w:r>
      <w:r w:rsidR="00DC18B9">
        <w:rPr>
          <w:i/>
          <w:iCs/>
        </w:rPr>
        <w:t>supra</w:t>
      </w:r>
      <w:r w:rsidR="00DC18B9">
        <w:t>, at 754.</w:t>
      </w:r>
    </w:p>
  </w:footnote>
  <w:footnote w:id="46">
    <w:p w14:paraId="6CEB960F" w14:textId="7741C748" w:rsidR="00DE722C" w:rsidRPr="00E72E6E" w:rsidRDefault="00DE722C" w:rsidP="0067230F">
      <w:pPr>
        <w:pStyle w:val="FootnoteText"/>
        <w:jc w:val="both"/>
      </w:pPr>
      <w:r w:rsidRPr="00E72E6E">
        <w:rPr>
          <w:rStyle w:val="FootnoteReference"/>
        </w:rPr>
        <w:footnoteRef/>
      </w:r>
      <w:r w:rsidRPr="00E72E6E">
        <w:t xml:space="preserve"> For example, the Supreme Court has held that courts can prevent intervenors from blocking settlements or consent decrees. </w:t>
      </w:r>
      <w:r w:rsidRPr="00E72E6E">
        <w:rPr>
          <w:i/>
          <w:iCs/>
        </w:rPr>
        <w:t>Loc. No. 93, Int’l Ass. of Firefighters, AFL-CIO C.L.C. v. City of Cleveland</w:t>
      </w:r>
      <w:r w:rsidRPr="00E72E6E">
        <w:t xml:space="preserve">, 478 U.S. 501, 528-29 (1986). But the Court specified that this limit could apply to any party, “whether an original party, a party that was joined later, or an intervenor.” </w:t>
      </w:r>
      <w:r w:rsidRPr="00E72E6E">
        <w:rPr>
          <w:i/>
          <w:iCs/>
        </w:rPr>
        <w:t>Id.</w:t>
      </w:r>
      <w:r w:rsidRPr="00E72E6E">
        <w:t xml:space="preserve"> And the court later specified that, “[a] court’s approval of a consent decree between some parties … cannot dispose of the valid claims of nonconsenting intervenors; if properly raised, these claims remain and may be litigated by the intervenor.” </w:t>
      </w:r>
      <w:r w:rsidRPr="00E72E6E">
        <w:rPr>
          <w:i/>
          <w:iCs/>
        </w:rPr>
        <w:t>Id.</w:t>
      </w:r>
      <w:r w:rsidRPr="00E72E6E">
        <w:t xml:space="preserve"> at 529. </w:t>
      </w:r>
    </w:p>
  </w:footnote>
  <w:footnote w:id="47">
    <w:p w14:paraId="24E8A2D4" w14:textId="05CFCEB1" w:rsidR="00DE722C" w:rsidRPr="00E72E6E" w:rsidRDefault="00DE722C" w:rsidP="0067230F">
      <w:pPr>
        <w:pStyle w:val="FootnoteText"/>
        <w:jc w:val="both"/>
      </w:pPr>
      <w:r w:rsidRPr="00E72E6E">
        <w:rPr>
          <w:rStyle w:val="FootnoteReference"/>
        </w:rPr>
        <w:footnoteRef/>
      </w:r>
      <w:r w:rsidRPr="00E72E6E">
        <w:t xml:space="preserve"> </w:t>
      </w:r>
      <w:r w:rsidR="00CA6EDB">
        <w:rPr>
          <w:i/>
          <w:iCs/>
        </w:rPr>
        <w:t>See, e.g.</w:t>
      </w:r>
      <w:r w:rsidR="00CA6EDB">
        <w:t>,</w:t>
      </w:r>
      <w:r w:rsidR="00CA6EDB">
        <w:rPr>
          <w:i/>
          <w:iCs/>
        </w:rPr>
        <w:t xml:space="preserve"> </w:t>
      </w:r>
      <w:r w:rsidRPr="00E72E6E">
        <w:rPr>
          <w:i/>
          <w:iCs/>
        </w:rPr>
        <w:t>San Juan County, Utah v. United States</w:t>
      </w:r>
      <w:r w:rsidRPr="00E72E6E">
        <w:t>, 503 F.3d 1163, 1189 (10th Cir.</w:t>
      </w:r>
      <w:r w:rsidR="00AC6AA1">
        <w:t xml:space="preserve"> </w:t>
      </w:r>
      <w:r w:rsidRPr="00E72E6E">
        <w:t xml:space="preserve">2007). </w:t>
      </w:r>
    </w:p>
  </w:footnote>
  <w:footnote w:id="48">
    <w:p w14:paraId="0BBB6FB8" w14:textId="4B80152F" w:rsidR="00DE722C" w:rsidRPr="00E72E6E" w:rsidRDefault="00DE722C" w:rsidP="0067230F">
      <w:pPr>
        <w:pStyle w:val="FootnoteText"/>
        <w:jc w:val="both"/>
      </w:pPr>
      <w:r w:rsidRPr="00E72E6E">
        <w:rPr>
          <w:rStyle w:val="FootnoteReference"/>
        </w:rPr>
        <w:footnoteRef/>
      </w:r>
      <w:r w:rsidRPr="00E72E6E">
        <w:t xml:space="preserve"> </w:t>
      </w:r>
      <w:r w:rsidR="00D30652">
        <w:rPr>
          <w:i/>
          <w:iCs/>
        </w:rPr>
        <w:t>See, e.g.</w:t>
      </w:r>
      <w:r w:rsidR="00D30652" w:rsidRPr="00D30652">
        <w:t xml:space="preserve">, </w:t>
      </w:r>
      <w:r w:rsidRPr="00E72E6E">
        <w:rPr>
          <w:i/>
          <w:iCs/>
        </w:rPr>
        <w:t>Radford Iron Co. v. Appalachian Elec. Power Co.</w:t>
      </w:r>
      <w:r w:rsidRPr="00E72E6E">
        <w:t xml:space="preserve">, 62 F.2d 940, 942 (4th Cir. 1933) (“It is well </w:t>
      </w:r>
      <w:proofErr w:type="gramStart"/>
      <w:r w:rsidRPr="00E72E6E">
        <w:t>settle</w:t>
      </w:r>
      <w:proofErr w:type="gramEnd"/>
      <w:r w:rsidRPr="00E72E6E">
        <w:t xml:space="preserve">[d] that the only interest which will entitle a person to the right of intervention in a case is a legal interest as distinguished from interests of a general and indefinite character which do not give rise to definite legal rights.”). </w:t>
      </w:r>
    </w:p>
  </w:footnote>
  <w:footnote w:id="49">
    <w:p w14:paraId="5916A929" w14:textId="77777777" w:rsidR="00DE722C" w:rsidRPr="00E72E6E" w:rsidRDefault="00DE722C" w:rsidP="0067230F">
      <w:pPr>
        <w:pStyle w:val="FootnoteText"/>
        <w:jc w:val="both"/>
      </w:pPr>
      <w:r w:rsidRPr="00E72E6E">
        <w:rPr>
          <w:rStyle w:val="FootnoteReference"/>
        </w:rPr>
        <w:footnoteRef/>
      </w:r>
      <w:r w:rsidRPr="00E72E6E">
        <w:t xml:space="preserve"> Nelson, </w:t>
      </w:r>
      <w:r w:rsidRPr="00E72E6E">
        <w:rPr>
          <w:i/>
          <w:iCs/>
        </w:rPr>
        <w:t>supra</w:t>
      </w:r>
      <w:r w:rsidRPr="00E72E6E">
        <w:t xml:space="preserve">, at 318. </w:t>
      </w:r>
    </w:p>
  </w:footnote>
  <w:footnote w:id="50">
    <w:p w14:paraId="23456077" w14:textId="767DF09E" w:rsidR="0031222E" w:rsidRDefault="0031222E" w:rsidP="0067230F">
      <w:pPr>
        <w:pStyle w:val="FootnoteText"/>
        <w:jc w:val="both"/>
      </w:pPr>
      <w:r>
        <w:rPr>
          <w:rStyle w:val="FootnoteReference"/>
        </w:rPr>
        <w:footnoteRef/>
      </w:r>
      <w:r>
        <w:t xml:space="preserve"> </w:t>
      </w:r>
      <w:r w:rsidRPr="0031222E">
        <w:t>Now, among other factors, a third party has a right to intervene when they “</w:t>
      </w:r>
      <w:proofErr w:type="gramStart"/>
      <w:r w:rsidRPr="0031222E">
        <w:t>claim[</w:t>
      </w:r>
      <w:proofErr w:type="gramEnd"/>
      <w:r w:rsidRPr="0031222E">
        <w:t xml:space="preserve">] an interest relating to the property or transaction that is the subject of the action.” </w:t>
      </w:r>
      <w:r w:rsidRPr="00E72E6E">
        <w:t>Fed. R. Civ. P. 24(a)(2).</w:t>
      </w:r>
    </w:p>
  </w:footnote>
  <w:footnote w:id="51">
    <w:p w14:paraId="7E6B2CE9" w14:textId="77777777" w:rsidR="0031222E" w:rsidRPr="00E72E6E" w:rsidRDefault="0031222E" w:rsidP="0067230F">
      <w:pPr>
        <w:pStyle w:val="FootnoteText"/>
        <w:jc w:val="both"/>
      </w:pPr>
      <w:r w:rsidRPr="00E72E6E">
        <w:rPr>
          <w:rStyle w:val="FootnoteReference"/>
        </w:rPr>
        <w:footnoteRef/>
      </w:r>
      <w:r w:rsidRPr="00E72E6E">
        <w:t xml:space="preserve"> </w:t>
      </w:r>
      <w:r w:rsidRPr="00E72E6E">
        <w:rPr>
          <w:i/>
          <w:iCs/>
        </w:rPr>
        <w:t>Donaldson v. United States</w:t>
      </w:r>
      <w:r w:rsidRPr="00E72E6E">
        <w:t xml:space="preserve">, 400 U.S. 517, 531 (1971). </w:t>
      </w:r>
    </w:p>
  </w:footnote>
  <w:footnote w:id="52">
    <w:p w14:paraId="493732CA" w14:textId="72621633" w:rsidR="00DE722C" w:rsidRPr="00E72E6E" w:rsidRDefault="00DE722C" w:rsidP="0067230F">
      <w:pPr>
        <w:pStyle w:val="FootnoteText"/>
        <w:jc w:val="both"/>
      </w:pPr>
      <w:r w:rsidRPr="00E72E6E">
        <w:rPr>
          <w:rStyle w:val="FootnoteReference"/>
        </w:rPr>
        <w:footnoteRef/>
      </w:r>
      <w:r w:rsidRPr="00E72E6E">
        <w:t xml:space="preserve"> Nelson, </w:t>
      </w:r>
      <w:r w:rsidR="003617D0">
        <w:rPr>
          <w:i/>
          <w:iCs/>
        </w:rPr>
        <w:t>supra</w:t>
      </w:r>
      <w:r w:rsidRPr="00E72E6E">
        <w:t xml:space="preserve">, </w:t>
      </w:r>
      <w:r w:rsidR="003617D0">
        <w:t xml:space="preserve">at </w:t>
      </w:r>
      <w:r w:rsidRPr="00E72E6E">
        <w:t>347</w:t>
      </w:r>
      <w:r w:rsidR="00E77CE4">
        <w:t xml:space="preserve">; </w:t>
      </w:r>
      <w:r w:rsidR="00E77CE4">
        <w:rPr>
          <w:i/>
          <w:iCs/>
        </w:rPr>
        <w:t xml:space="preserve">see also </w:t>
      </w:r>
      <w:r w:rsidRPr="00E72E6E">
        <w:t>7A Charles Alan Wright &amp; Arthur R. Miller, Federal Practice and Procedure § 1908 at 502 (1972) (“‘[S]</w:t>
      </w:r>
      <w:proofErr w:type="spellStart"/>
      <w:r w:rsidRPr="00E72E6E">
        <w:t>ignificantly</w:t>
      </w:r>
      <w:proofErr w:type="spellEnd"/>
      <w:r w:rsidRPr="00E72E6E">
        <w:t xml:space="preserve"> protectable interest’ has not been a term of art in the law and there is sufficient room for disagreement about what it means so that this gloss on the rule is not likely to provide any more guidance than does the bare term ‘interest’ used in Rule 24 itself.”). </w:t>
      </w:r>
    </w:p>
  </w:footnote>
  <w:footnote w:id="53">
    <w:p w14:paraId="25339EFE" w14:textId="0B8FCC6C" w:rsidR="003617D0" w:rsidRPr="00E72E6E" w:rsidRDefault="003617D0" w:rsidP="0067230F">
      <w:pPr>
        <w:pStyle w:val="FootnoteText"/>
        <w:jc w:val="both"/>
      </w:pPr>
      <w:r w:rsidRPr="00E72E6E">
        <w:rPr>
          <w:rStyle w:val="FootnoteReference"/>
        </w:rPr>
        <w:footnoteRef/>
      </w:r>
      <w:r w:rsidRPr="00E72E6E">
        <w:t xml:space="preserve"> 404 U.S. 528</w:t>
      </w:r>
      <w:r>
        <w:t>, 539</w:t>
      </w:r>
      <w:r w:rsidRPr="00E72E6E">
        <w:t xml:space="preserve"> (1972) (quoting </w:t>
      </w:r>
      <w:r w:rsidRPr="00E72E6E">
        <w:rPr>
          <w:i/>
          <w:iCs/>
        </w:rPr>
        <w:t xml:space="preserve">Wirtz v. Local 153, Glass Bottle Blowers </w:t>
      </w:r>
      <w:proofErr w:type="spellStart"/>
      <w:r w:rsidRPr="00E72E6E">
        <w:rPr>
          <w:i/>
          <w:iCs/>
        </w:rPr>
        <w:t>Ass’n</w:t>
      </w:r>
      <w:proofErr w:type="spellEnd"/>
      <w:r w:rsidRPr="00E72E6E">
        <w:t xml:space="preserve">, 389 U.S. 463, 475 (1968)). </w:t>
      </w:r>
    </w:p>
  </w:footnote>
  <w:footnote w:id="54">
    <w:p w14:paraId="3A53ED9C" w14:textId="1E953274" w:rsidR="00DE722C" w:rsidRPr="00E72E6E" w:rsidRDefault="00DE722C" w:rsidP="0067230F">
      <w:pPr>
        <w:pStyle w:val="FootnoteText"/>
        <w:jc w:val="both"/>
        <w:rPr>
          <w:i/>
          <w:iCs/>
        </w:rPr>
      </w:pPr>
      <w:r w:rsidRPr="00E72E6E">
        <w:rPr>
          <w:rStyle w:val="FootnoteReference"/>
        </w:rPr>
        <w:footnoteRef/>
      </w:r>
      <w:r w:rsidRPr="00E72E6E">
        <w:t xml:space="preserve"> </w:t>
      </w:r>
      <w:r w:rsidRPr="00E72E6E">
        <w:rPr>
          <w:i/>
          <w:iCs/>
        </w:rPr>
        <w:t>See</w:t>
      </w:r>
      <w:r w:rsidRPr="007425C1">
        <w:rPr>
          <w:i/>
          <w:iCs/>
        </w:rPr>
        <w:t>,</w:t>
      </w:r>
      <w:r w:rsidRPr="00E72E6E">
        <w:t xml:space="preserve"> </w:t>
      </w:r>
      <w:r w:rsidRPr="00E72E6E">
        <w:rPr>
          <w:i/>
          <w:iCs/>
        </w:rPr>
        <w:t>e.g.</w:t>
      </w:r>
      <w:r w:rsidRPr="00E72E6E">
        <w:t xml:space="preserve">, </w:t>
      </w:r>
      <w:r w:rsidRPr="00E72E6E">
        <w:rPr>
          <w:i/>
          <w:iCs/>
        </w:rPr>
        <w:t>Brumfield v. Dodd</w:t>
      </w:r>
      <w:r w:rsidRPr="00E72E6E">
        <w:t>, 749 F.3d 339, 344 (5th Cir. 2014)</w:t>
      </w:r>
      <w:r w:rsidR="007425C1">
        <w:t xml:space="preserve"> </w:t>
      </w:r>
      <w:r w:rsidRPr="00E72E6E">
        <w:t xml:space="preserve">(explaining that the interest should be judged by a “more lenient standard” because “the case involves a public interest question or is brought by a public interest group”); </w:t>
      </w:r>
      <w:r w:rsidRPr="00E72E6E">
        <w:rPr>
          <w:i/>
          <w:iCs/>
        </w:rPr>
        <w:t>Grutter v. Bollinger</w:t>
      </w:r>
      <w:r w:rsidRPr="00E72E6E">
        <w:t>, 188 F.3d 394, 398 (6th Cir. 1999) (noting that the “Sixth Circuit subscribes to a rather expansive notion of the interest sufficient to invoke intervention of right”).</w:t>
      </w:r>
    </w:p>
  </w:footnote>
  <w:footnote w:id="55">
    <w:p w14:paraId="40CF52E9" w14:textId="53D42E8F"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N.Y. Pub. Int. Research Grp, Inc. v. Regents of Univ. of State of N.Y.</w:t>
      </w:r>
      <w:r w:rsidRPr="00E72E6E">
        <w:t>, 516 F.2d 350, 351–52 (2d. Cir. 1975) (pharmacists have an interest in a regulation that affects the economic interests of members of the pharmacy profession</w:t>
      </w:r>
      <w:r w:rsidR="00C02D6A">
        <w:t xml:space="preserve"> and that might change how they do business</w:t>
      </w:r>
      <w:r w:rsidRPr="00E72E6E">
        <w:t xml:space="preserve">); </w:t>
      </w:r>
      <w:r w:rsidRPr="00E72E6E">
        <w:rPr>
          <w:i/>
          <w:iCs/>
        </w:rPr>
        <w:t xml:space="preserve">Flying J, Inc. v. Van </w:t>
      </w:r>
      <w:proofErr w:type="spellStart"/>
      <w:r w:rsidRPr="00E72E6E">
        <w:rPr>
          <w:i/>
          <w:iCs/>
        </w:rPr>
        <w:t>Hollen</w:t>
      </w:r>
      <w:proofErr w:type="spellEnd"/>
      <w:r w:rsidRPr="00E72E6E">
        <w:t xml:space="preserve">, 578 F.3d 569, 572 (7th Cir. 2009). </w:t>
      </w:r>
    </w:p>
  </w:footnote>
  <w:footnote w:id="56">
    <w:p w14:paraId="6CAC9B4B" w14:textId="090372F5"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 xml:space="preserve">Idaho Farm Bureau </w:t>
      </w:r>
      <w:proofErr w:type="spellStart"/>
      <w:r w:rsidRPr="00E72E6E">
        <w:rPr>
          <w:i/>
          <w:iCs/>
        </w:rPr>
        <w:t>Fed’n</w:t>
      </w:r>
      <w:proofErr w:type="spellEnd"/>
      <w:r w:rsidRPr="00E72E6E">
        <w:rPr>
          <w:i/>
          <w:iCs/>
        </w:rPr>
        <w:t xml:space="preserve"> v. Babbitt</w:t>
      </w:r>
      <w:r w:rsidRPr="00E72E6E">
        <w:t xml:space="preserve">, 58 F.3d 1392, 1397 (9th Cir. 1995); </w:t>
      </w:r>
      <w:r w:rsidRPr="00E72E6E">
        <w:rPr>
          <w:i/>
          <w:iCs/>
        </w:rPr>
        <w:t>City of Houston v. Am. Traffic Solutions, Inc.</w:t>
      </w:r>
      <w:r w:rsidRPr="00E72E6E">
        <w:t>, 668 F.3d 291, 294 (5th Cir. 2012) (holding that a “public spirited” civic organization that successfully petition</w:t>
      </w:r>
      <w:r w:rsidR="00C02D6A">
        <w:t>ed</w:t>
      </w:r>
      <w:r w:rsidRPr="00E72E6E">
        <w:t xml:space="preserve"> for a law may intervene to vindicate their “particular interest” in protecting that law). Similarly, some courts hold that those who previously challenged and changed a law have an interest in “protect[</w:t>
      </w:r>
      <w:proofErr w:type="spellStart"/>
      <w:r w:rsidRPr="00E72E6E">
        <w:t>ing</w:t>
      </w:r>
      <w:proofErr w:type="spellEnd"/>
      <w:r w:rsidRPr="00E72E6E">
        <w:t xml:space="preserve">] the fruits of their earlier litigation.” </w:t>
      </w:r>
      <w:r w:rsidRPr="00E72E6E">
        <w:rPr>
          <w:i/>
          <w:iCs/>
        </w:rPr>
        <w:t>Bitterroot Ridge Runners Snowmobile Club</w:t>
      </w:r>
      <w:r w:rsidRPr="00E72E6E">
        <w:t xml:space="preserve">, </w:t>
      </w:r>
      <w:r w:rsidR="00C02D6A">
        <w:t xml:space="preserve">No. 16-cv-00158, </w:t>
      </w:r>
      <w:r w:rsidRPr="00E72E6E">
        <w:t>2017 WL 11612499</w:t>
      </w:r>
      <w:r w:rsidR="00C02D6A">
        <w:t>, at *1</w:t>
      </w:r>
      <w:r w:rsidRPr="00E72E6E">
        <w:t xml:space="preserve"> (D. Mont. May 9, 2017). </w:t>
      </w:r>
    </w:p>
  </w:footnote>
  <w:footnote w:id="57">
    <w:p w14:paraId="34CE869B" w14:textId="652A16CE"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Morgan v. McDonough,</w:t>
      </w:r>
      <w:r w:rsidRPr="00E72E6E">
        <w:t xml:space="preserve"> 726 F.2d 11</w:t>
      </w:r>
      <w:r w:rsidR="00E5195D">
        <w:t>, 13</w:t>
      </w:r>
      <w:r w:rsidRPr="00E72E6E">
        <w:t xml:space="preserve"> (1st Cir. 1984)</w:t>
      </w:r>
      <w:r w:rsidR="00E5195D">
        <w:t xml:space="preserve"> (collecting cases)</w:t>
      </w:r>
      <w:r w:rsidR="00E77CE4">
        <w:t>.</w:t>
      </w:r>
      <w:r w:rsidRPr="00E72E6E">
        <w:t xml:space="preserve"> </w:t>
      </w:r>
    </w:p>
  </w:footnote>
  <w:footnote w:id="58">
    <w:p w14:paraId="720EB39C" w14:textId="1C76ACF5" w:rsidR="00DE722C" w:rsidRPr="000943DB" w:rsidRDefault="00DE722C" w:rsidP="0067230F">
      <w:pPr>
        <w:pStyle w:val="FootnoteText"/>
        <w:jc w:val="both"/>
        <w:rPr>
          <w:i/>
          <w:iCs/>
        </w:rPr>
      </w:pPr>
      <w:r w:rsidRPr="00E72E6E">
        <w:rPr>
          <w:rStyle w:val="FootnoteReference"/>
        </w:rPr>
        <w:footnoteRef/>
      </w:r>
      <w:r w:rsidRPr="00E72E6E">
        <w:t xml:space="preserve"> </w:t>
      </w:r>
      <w:r w:rsidR="000943DB" w:rsidRPr="000943DB">
        <w:rPr>
          <w:i/>
          <w:iCs/>
        </w:rPr>
        <w:t xml:space="preserve">La Union del Pueblo </w:t>
      </w:r>
      <w:proofErr w:type="spellStart"/>
      <w:r w:rsidR="000943DB" w:rsidRPr="000943DB">
        <w:rPr>
          <w:i/>
          <w:iCs/>
        </w:rPr>
        <w:t>Entero</w:t>
      </w:r>
      <w:proofErr w:type="spellEnd"/>
      <w:r w:rsidR="000943DB" w:rsidRPr="000943DB">
        <w:rPr>
          <w:i/>
          <w:iCs/>
        </w:rPr>
        <w:t xml:space="preserve"> v. Abbott</w:t>
      </w:r>
      <w:r w:rsidR="000943DB" w:rsidRPr="000943DB">
        <w:t>, 29 F.4th 299, 306 (5th Cir. 2022)</w:t>
      </w:r>
      <w:r w:rsidR="000943DB">
        <w:t xml:space="preserve">. </w:t>
      </w:r>
    </w:p>
  </w:footnote>
  <w:footnote w:id="59">
    <w:p w14:paraId="390D5691" w14:textId="3D466E2F"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Commissioner, Alabama Dept. of Corr. v. Advance Local Media</w:t>
      </w:r>
      <w:r w:rsidRPr="00E72E6E">
        <w:t xml:space="preserve">, </w:t>
      </w:r>
      <w:r w:rsidR="00A03CBA" w:rsidRPr="00A03CBA">
        <w:t>918 F.3d 1161</w:t>
      </w:r>
      <w:r w:rsidR="00A03CBA">
        <w:t>, 1172-73</w:t>
      </w:r>
      <w:r w:rsidR="00A03CBA" w:rsidRPr="00A03CBA">
        <w:t xml:space="preserve"> </w:t>
      </w:r>
      <w:r w:rsidRPr="00E72E6E">
        <w:t xml:space="preserve">(11th Cir. 2019). </w:t>
      </w:r>
    </w:p>
  </w:footnote>
  <w:footnote w:id="60">
    <w:p w14:paraId="4FBECBEC" w14:textId="077B68FB"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New York v. Scalia</w:t>
      </w:r>
      <w:r w:rsidRPr="00E72E6E">
        <w:t>, No. 1:20-</w:t>
      </w:r>
      <w:r w:rsidR="00484C6E">
        <w:t>cv</w:t>
      </w:r>
      <w:r w:rsidRPr="00E72E6E">
        <w:t>-</w:t>
      </w:r>
      <w:r w:rsidR="00A03CBA">
        <w:t>0</w:t>
      </w:r>
      <w:r w:rsidRPr="00E72E6E">
        <w:t xml:space="preserve">1689, 2020 WL 3498755, at *1 (S.D.N.Y. June 29, 2020). </w:t>
      </w:r>
    </w:p>
  </w:footnote>
  <w:footnote w:id="61">
    <w:p w14:paraId="65A1EF01" w14:textId="55AF5CD5"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 xml:space="preserve">Utah </w:t>
      </w:r>
      <w:proofErr w:type="spellStart"/>
      <w:r w:rsidRPr="00E72E6E">
        <w:rPr>
          <w:i/>
          <w:iCs/>
        </w:rPr>
        <w:t>Ass</w:t>
      </w:r>
      <w:r w:rsidR="00A03CBA">
        <w:rPr>
          <w:i/>
          <w:iCs/>
        </w:rPr>
        <w:t>’</w:t>
      </w:r>
      <w:r w:rsidRPr="00E72E6E">
        <w:rPr>
          <w:i/>
          <w:iCs/>
        </w:rPr>
        <w:t>n</w:t>
      </w:r>
      <w:proofErr w:type="spellEnd"/>
      <w:r w:rsidRPr="00E72E6E">
        <w:rPr>
          <w:i/>
          <w:iCs/>
        </w:rPr>
        <w:t xml:space="preserve"> of </w:t>
      </w:r>
      <w:proofErr w:type="spellStart"/>
      <w:r w:rsidRPr="00E72E6E">
        <w:rPr>
          <w:i/>
          <w:iCs/>
        </w:rPr>
        <w:t>Ctys</w:t>
      </w:r>
      <w:proofErr w:type="spellEnd"/>
      <w:r w:rsidRPr="00E72E6E">
        <w:rPr>
          <w:i/>
          <w:iCs/>
        </w:rPr>
        <w:t>. v. Clinton</w:t>
      </w:r>
      <w:r w:rsidRPr="00E72E6E">
        <w:t>, 255 F.3d 1246, 1252 (10th Cir. 2001)</w:t>
      </w:r>
      <w:r w:rsidRPr="00E753DB">
        <w:t xml:space="preserve">; </w:t>
      </w:r>
      <w:proofErr w:type="spellStart"/>
      <w:r w:rsidRPr="00E753DB">
        <w:rPr>
          <w:i/>
          <w:iCs/>
        </w:rPr>
        <w:t>Mausolf</w:t>
      </w:r>
      <w:proofErr w:type="spellEnd"/>
      <w:r w:rsidRPr="00E753DB">
        <w:rPr>
          <w:i/>
          <w:iCs/>
        </w:rPr>
        <w:t xml:space="preserve"> v. Babbitt</w:t>
      </w:r>
      <w:r w:rsidRPr="00E753DB">
        <w:t xml:space="preserve">, 85 F.3d 1295, 1302 (8th Cir. 1996); </w:t>
      </w:r>
      <w:r w:rsidRPr="00E753DB">
        <w:rPr>
          <w:i/>
          <w:iCs/>
        </w:rPr>
        <w:t>Sagebrush Rebellion, Inc. v. Watt</w:t>
      </w:r>
      <w:r w:rsidRPr="00E753DB">
        <w:t xml:space="preserve">, 713 F.2d 525, 527–28 (9th Cir. 1983); </w:t>
      </w:r>
      <w:r w:rsidRPr="00E753DB">
        <w:rPr>
          <w:i/>
          <w:iCs/>
        </w:rPr>
        <w:t>but see Sierra Club, Inc. v. EPA</w:t>
      </w:r>
      <w:r w:rsidRPr="00E753DB">
        <w:t>, 358 F.3d 516, 518 (7th Cir. 2004) (rejecting the Chamber of Commerce from intervening because they asserted a “political or programmatic” interest rather than a “legal ‘interest’”).</w:t>
      </w:r>
    </w:p>
  </w:footnote>
  <w:footnote w:id="62">
    <w:p w14:paraId="105AE424" w14:textId="054AF2F9" w:rsidR="00DE722C" w:rsidRPr="00D400D3" w:rsidRDefault="00DE722C" w:rsidP="0067230F">
      <w:pPr>
        <w:pStyle w:val="FootnoteText"/>
        <w:jc w:val="both"/>
      </w:pPr>
      <w:r w:rsidRPr="00E72E6E">
        <w:rPr>
          <w:rStyle w:val="FootnoteReference"/>
        </w:rPr>
        <w:footnoteRef/>
      </w:r>
      <w:r w:rsidRPr="00E72E6E">
        <w:t xml:space="preserve"> Many </w:t>
      </w:r>
      <w:r w:rsidR="00D400D3">
        <w:t>scholars</w:t>
      </w:r>
      <w:r w:rsidRPr="00E72E6E">
        <w:t xml:space="preserve"> have noted this trend. </w:t>
      </w:r>
      <w:r w:rsidRPr="00E72E6E">
        <w:rPr>
          <w:i/>
          <w:iCs/>
        </w:rPr>
        <w:t>See, e.g.</w:t>
      </w:r>
      <w:r w:rsidRPr="00E72E6E">
        <w:t xml:space="preserve">, </w:t>
      </w:r>
      <w:r w:rsidR="00EE7032">
        <w:t xml:space="preserve">Nelson, </w:t>
      </w:r>
      <w:r w:rsidR="00EE7032">
        <w:rPr>
          <w:i/>
          <w:iCs/>
        </w:rPr>
        <w:t>supra</w:t>
      </w:r>
      <w:r w:rsidR="00EE7032">
        <w:t xml:space="preserve">, </w:t>
      </w:r>
      <w:r w:rsidR="00294D6A">
        <w:t xml:space="preserve">at </w:t>
      </w:r>
      <w:r w:rsidR="00EE7032">
        <w:t>274</w:t>
      </w:r>
      <w:r w:rsidR="00D400D3">
        <w:t>-75 &amp; n.10;</w:t>
      </w:r>
      <w:r w:rsidR="00EE7032">
        <w:t xml:space="preserve"> </w:t>
      </w:r>
      <w:r w:rsidR="00D400D3">
        <w:t xml:space="preserve">Note, Justin P. Gunter, </w:t>
      </w:r>
      <w:r w:rsidR="00D400D3">
        <w:rPr>
          <w:i/>
          <w:iCs/>
        </w:rPr>
        <w:t>Dual Standards for Third-Party Intervenors: Distinguishing Between Public-Law and Private-Law Intervention</w:t>
      </w:r>
      <w:r w:rsidR="00D400D3">
        <w:t xml:space="preserve">, 66 </w:t>
      </w:r>
      <w:proofErr w:type="spellStart"/>
      <w:r w:rsidR="00D400D3">
        <w:t>Vand</w:t>
      </w:r>
      <w:proofErr w:type="spellEnd"/>
      <w:r w:rsidR="00D400D3">
        <w:t>. L. Rev. 645,</w:t>
      </w:r>
      <w:r w:rsidR="00D400D3">
        <w:rPr>
          <w:i/>
          <w:iCs/>
        </w:rPr>
        <w:t xml:space="preserve"> </w:t>
      </w:r>
      <w:r w:rsidR="00D400D3">
        <w:t xml:space="preserve">657 (2013); Carl Tobias, </w:t>
      </w:r>
      <w:r w:rsidR="00D400D3">
        <w:rPr>
          <w:i/>
          <w:iCs/>
        </w:rPr>
        <w:t>Standing to Intervene</w:t>
      </w:r>
      <w:r w:rsidR="00D400D3">
        <w:t>, 1991 Wis. L. Rev. 415, 434 (1991);</w:t>
      </w:r>
      <w:r w:rsidR="00D400D3">
        <w:rPr>
          <w:i/>
          <w:iCs/>
        </w:rPr>
        <w:t xml:space="preserve"> </w:t>
      </w:r>
      <w:r w:rsidR="00D400D3">
        <w:t xml:space="preserve">Susan </w:t>
      </w:r>
      <w:proofErr w:type="spellStart"/>
      <w:r w:rsidR="00D400D3">
        <w:t>Bandes</w:t>
      </w:r>
      <w:proofErr w:type="spellEnd"/>
      <w:r w:rsidR="00D400D3">
        <w:t xml:space="preserve">, </w:t>
      </w:r>
      <w:r w:rsidR="00D400D3">
        <w:rPr>
          <w:i/>
          <w:iCs/>
        </w:rPr>
        <w:t>The Idea of a Case</w:t>
      </w:r>
      <w:r w:rsidR="00D400D3">
        <w:t xml:space="preserve">, 42 Stan. L. Rev. 227, 251, 254-55 (1990). </w:t>
      </w:r>
    </w:p>
  </w:footnote>
  <w:footnote w:id="63">
    <w:p w14:paraId="09EEE657" w14:textId="247706C1"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Ross v. Marshall</w:t>
      </w:r>
      <w:r w:rsidRPr="00E72E6E">
        <w:t xml:space="preserve">, 426 F.3d 745, 757 (5th Cir. 2005). </w:t>
      </w:r>
    </w:p>
  </w:footnote>
  <w:footnote w:id="64">
    <w:p w14:paraId="0A2EC972" w14:textId="6D40B250" w:rsidR="00DE722C" w:rsidRPr="00E72E6E" w:rsidRDefault="00DE722C" w:rsidP="0067230F">
      <w:pPr>
        <w:pStyle w:val="FootnoteText"/>
        <w:jc w:val="both"/>
      </w:pPr>
      <w:r w:rsidRPr="00E72E6E">
        <w:rPr>
          <w:rStyle w:val="FootnoteReference"/>
        </w:rPr>
        <w:footnoteRef/>
      </w:r>
      <w:r w:rsidRPr="00E72E6E">
        <w:t xml:space="preserve"> </w:t>
      </w:r>
      <w:r w:rsidR="002F6AE9" w:rsidRPr="002F6AE9">
        <w:rPr>
          <w:i/>
          <w:iCs/>
        </w:rPr>
        <w:t>Wal–Mart Stores, Inc. v. Texas Alcoholic Beverage Comm</w:t>
      </w:r>
      <w:r w:rsidR="002F6AE9">
        <w:rPr>
          <w:i/>
          <w:iCs/>
        </w:rPr>
        <w:t>’</w:t>
      </w:r>
      <w:r w:rsidR="002F6AE9" w:rsidRPr="002F6AE9">
        <w:rPr>
          <w:i/>
          <w:iCs/>
        </w:rPr>
        <w:t>n</w:t>
      </w:r>
      <w:r w:rsidR="002F6AE9">
        <w:t xml:space="preserve">, 834 F.3d 562, 568 (5th Cir. 2016) </w:t>
      </w:r>
      <w:r w:rsidRPr="00E72E6E">
        <w:t>(“[E]</w:t>
      </w:r>
      <w:proofErr w:type="spellStart"/>
      <w:r w:rsidRPr="00E72E6E">
        <w:t>conomic</w:t>
      </w:r>
      <w:proofErr w:type="spellEnd"/>
      <w:r w:rsidRPr="00E72E6E">
        <w:t xml:space="preserve"> interests can justify intervention.”); </w:t>
      </w:r>
      <w:r w:rsidRPr="00E72E6E">
        <w:rPr>
          <w:i/>
          <w:iCs/>
        </w:rPr>
        <w:t>Texas v. United States</w:t>
      </w:r>
      <w:r w:rsidRPr="00E72E6E">
        <w:t>, 805 F.3d 653, 658 (5th Cir. 2015) (“</w:t>
      </w:r>
      <w:r w:rsidR="00484C6E">
        <w:t>[W]</w:t>
      </w:r>
      <w:r w:rsidRPr="00E72E6E">
        <w:t xml:space="preserve">e held that the officials’ generalized, ‘purely economic interest’ was insufficient.”). </w:t>
      </w:r>
    </w:p>
  </w:footnote>
  <w:footnote w:id="65">
    <w:p w14:paraId="3FF2C98B" w14:textId="77777777"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 xml:space="preserve">San Juan </w:t>
      </w:r>
      <w:proofErr w:type="spellStart"/>
      <w:r w:rsidRPr="00E72E6E">
        <w:rPr>
          <w:i/>
          <w:iCs/>
        </w:rPr>
        <w:t>Cnty</w:t>
      </w:r>
      <w:proofErr w:type="spellEnd"/>
      <w:r w:rsidRPr="00E72E6E">
        <w:rPr>
          <w:i/>
          <w:iCs/>
        </w:rPr>
        <w:t>., Utah v. United States</w:t>
      </w:r>
      <w:r w:rsidRPr="00E72E6E">
        <w:t>, 503 F.3d 1163, 1193 (10th Cir. 2007) (</w:t>
      </w:r>
      <w:proofErr w:type="spellStart"/>
      <w:r w:rsidRPr="00E72E6E">
        <w:t>en</w:t>
      </w:r>
      <w:proofErr w:type="spellEnd"/>
      <w:r w:rsidRPr="00E72E6E">
        <w:t xml:space="preserve"> banc); </w:t>
      </w:r>
      <w:r w:rsidRPr="00E72E6E">
        <w:rPr>
          <w:i/>
          <w:iCs/>
        </w:rPr>
        <w:t>see also Wal-Mart Stores, Inc.</w:t>
      </w:r>
      <w:r w:rsidRPr="00E72E6E">
        <w:t xml:space="preserve">, 834 F.3d at 568 (“Often, this is a tautological exercise—a party may intervene if its interest is legally protectable and its interest is legally protectable if it can intervene.”). </w:t>
      </w:r>
    </w:p>
  </w:footnote>
  <w:footnote w:id="66">
    <w:p w14:paraId="052E1BC7" w14:textId="77777777" w:rsidR="00E319CA" w:rsidRPr="00E72E6E" w:rsidRDefault="00E319CA" w:rsidP="0067230F">
      <w:pPr>
        <w:pStyle w:val="FootnoteText"/>
        <w:jc w:val="both"/>
      </w:pPr>
      <w:r w:rsidRPr="00E72E6E">
        <w:rPr>
          <w:rStyle w:val="FootnoteReference"/>
        </w:rPr>
        <w:footnoteRef/>
      </w:r>
      <w:r w:rsidRPr="00E72E6E">
        <w:t xml:space="preserve"> As Judge Silberman put it, if standing were not required for intervention, “then any organization or individual with only a philosophic identification with a defendant—or a concern with a possible unfavorable precedent—could attempt to intervene and influence the course of litigation.” </w:t>
      </w:r>
      <w:r w:rsidRPr="00E72E6E">
        <w:rPr>
          <w:i/>
          <w:iCs/>
        </w:rPr>
        <w:t>Deutsche Bank Nat. Tr. Co. v. F.D.I.C.</w:t>
      </w:r>
      <w:r w:rsidRPr="00E72E6E">
        <w:t>, 717 F.3d 189, 195 (D.C. Cir. 2013) (Silberman, J., concurring).</w:t>
      </w:r>
    </w:p>
  </w:footnote>
  <w:footnote w:id="67">
    <w:p w14:paraId="62A18B3B" w14:textId="621CDD1F"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 xml:space="preserve">See </w:t>
      </w:r>
      <w:r w:rsidRPr="00E72E6E">
        <w:t xml:space="preserve">Nelson, </w:t>
      </w:r>
      <w:r w:rsidRPr="00E72E6E">
        <w:rPr>
          <w:i/>
          <w:iCs/>
        </w:rPr>
        <w:t>supra</w:t>
      </w:r>
      <w:r w:rsidRPr="00E72E6E">
        <w:t xml:space="preserve">, </w:t>
      </w:r>
      <w:r w:rsidR="00294D6A">
        <w:t xml:space="preserve">at </w:t>
      </w:r>
      <w:r w:rsidRPr="00E72E6E">
        <w:t xml:space="preserve">284-300; Zachary N. Ferguson, </w:t>
      </w:r>
      <w:r w:rsidR="00E319CA">
        <w:t xml:space="preserve">Note, </w:t>
      </w:r>
      <w:r w:rsidRPr="00E72E6E">
        <w:rPr>
          <w:i/>
          <w:iCs/>
        </w:rPr>
        <w:t>Rule 24 Notwithstanding: Why Article III Should Not Limit Intervention of Right</w:t>
      </w:r>
      <w:r w:rsidRPr="00E72E6E">
        <w:t xml:space="preserve">, 67 Duke L.J. 189 (2017); Gregory R. </w:t>
      </w:r>
      <w:proofErr w:type="spellStart"/>
      <w:r w:rsidRPr="00E72E6E">
        <w:t>Manring</w:t>
      </w:r>
      <w:proofErr w:type="spellEnd"/>
      <w:r w:rsidRPr="00E72E6E">
        <w:t xml:space="preserve">, </w:t>
      </w:r>
      <w:r w:rsidR="00E319CA">
        <w:t xml:space="preserve">Note, </w:t>
      </w:r>
      <w:r w:rsidRPr="00E72E6E">
        <w:rPr>
          <w:i/>
          <w:iCs/>
        </w:rPr>
        <w:t>It’s Time for an Intervention!: Resolving the Conflict Between Rule 24(a)(2) and Article III Standing</w:t>
      </w:r>
      <w:r w:rsidRPr="00E72E6E">
        <w:t xml:space="preserve">, 85 Fordham L. Rev. 2525 (2017); Matthew I. Hall, </w:t>
      </w:r>
      <w:r w:rsidRPr="00E72E6E">
        <w:rPr>
          <w:i/>
          <w:iCs/>
        </w:rPr>
        <w:t>Standing of Intervenor-Defendants in Public Law Litigation</w:t>
      </w:r>
      <w:r w:rsidRPr="00E72E6E">
        <w:t xml:space="preserve">, 80 Fordham L. Rev. 1539 (2012). So far, the Supreme Court has declined to address </w:t>
      </w:r>
      <w:r w:rsidR="002301D2">
        <w:t xml:space="preserve">an </w:t>
      </w:r>
      <w:r w:rsidRPr="00E72E6E">
        <w:t xml:space="preserve">entrenched circuit split over </w:t>
      </w:r>
      <w:r w:rsidR="002301D2">
        <w:t xml:space="preserve">this question. </w:t>
      </w:r>
      <w:r w:rsidRPr="00E72E6E">
        <w:rPr>
          <w:i/>
          <w:iCs/>
        </w:rPr>
        <w:t xml:space="preserve">See </w:t>
      </w:r>
      <w:r w:rsidRPr="00E72E6E">
        <w:rPr>
          <w:i/>
        </w:rPr>
        <w:t xml:space="preserve">Dillard v. Chilton </w:t>
      </w:r>
      <w:proofErr w:type="spellStart"/>
      <w:r w:rsidRPr="00E72E6E">
        <w:rPr>
          <w:i/>
        </w:rPr>
        <w:t>Cty</w:t>
      </w:r>
      <w:proofErr w:type="spellEnd"/>
      <w:r w:rsidRPr="00E72E6E">
        <w:rPr>
          <w:i/>
        </w:rPr>
        <w:t xml:space="preserve"> </w:t>
      </w:r>
      <w:proofErr w:type="spellStart"/>
      <w:r w:rsidRPr="00E72E6E">
        <w:rPr>
          <w:i/>
        </w:rPr>
        <w:t>Com’n</w:t>
      </w:r>
      <w:proofErr w:type="spellEnd"/>
      <w:r w:rsidRPr="00E72E6E">
        <w:t>, 495 F.3d 1324 (2007) (summarizing cases in split).</w:t>
      </w:r>
    </w:p>
  </w:footnote>
  <w:footnote w:id="68">
    <w:p w14:paraId="6A67354A" w14:textId="77777777"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City of Chicago v. Fed. Emergency Mgmt. Agency</w:t>
      </w:r>
      <w:r w:rsidRPr="00E72E6E">
        <w:t>, 660 F.3d 980, 985 (7th Cir. 2011).</w:t>
      </w:r>
    </w:p>
  </w:footnote>
  <w:footnote w:id="69">
    <w:p w14:paraId="14745671" w14:textId="77777777" w:rsidR="00DE722C" w:rsidRPr="00E72E6E" w:rsidRDefault="00DE722C" w:rsidP="0067230F">
      <w:pPr>
        <w:pStyle w:val="FootnoteText"/>
        <w:jc w:val="both"/>
      </w:pPr>
      <w:r w:rsidRPr="00E72E6E">
        <w:rPr>
          <w:rStyle w:val="FootnoteReference"/>
        </w:rPr>
        <w:footnoteRef/>
      </w:r>
      <w:r w:rsidRPr="00E72E6E">
        <w:t xml:space="preserve"> </w:t>
      </w:r>
      <w:proofErr w:type="spellStart"/>
      <w:r w:rsidRPr="00E72E6E">
        <w:rPr>
          <w:i/>
          <w:iCs/>
        </w:rPr>
        <w:t>Uzuegbunam</w:t>
      </w:r>
      <w:proofErr w:type="spellEnd"/>
      <w:r w:rsidRPr="00E72E6E">
        <w:rPr>
          <w:i/>
          <w:iCs/>
        </w:rPr>
        <w:t xml:space="preserve"> v. </w:t>
      </w:r>
      <w:proofErr w:type="spellStart"/>
      <w:r w:rsidRPr="00E72E6E">
        <w:rPr>
          <w:i/>
          <w:iCs/>
        </w:rPr>
        <w:t>Preczewksi</w:t>
      </w:r>
      <w:proofErr w:type="spellEnd"/>
      <w:r w:rsidRPr="00E72E6E">
        <w:t>, 141 S. Ct. 792, 802 (2021).</w:t>
      </w:r>
    </w:p>
  </w:footnote>
  <w:footnote w:id="70">
    <w:p w14:paraId="4E24D882" w14:textId="77777777" w:rsidR="00DE722C" w:rsidRPr="00E72E6E" w:rsidRDefault="00DE722C" w:rsidP="0067230F">
      <w:pPr>
        <w:pStyle w:val="FootnoteText"/>
        <w:jc w:val="both"/>
      </w:pPr>
      <w:r w:rsidRPr="00E72E6E">
        <w:rPr>
          <w:rStyle w:val="FootnoteReference"/>
        </w:rPr>
        <w:footnoteRef/>
      </w:r>
      <w:r w:rsidRPr="00E72E6E">
        <w:t xml:space="preserve"> Rule 24(a)(2). </w:t>
      </w:r>
    </w:p>
  </w:footnote>
  <w:footnote w:id="71">
    <w:p w14:paraId="41FED368" w14:textId="422252D3" w:rsidR="00D66C84" w:rsidRPr="00E72E6E" w:rsidRDefault="00D66C84" w:rsidP="0067230F">
      <w:pPr>
        <w:pStyle w:val="FootnoteText"/>
        <w:jc w:val="both"/>
      </w:pPr>
      <w:r w:rsidRPr="00E72E6E">
        <w:rPr>
          <w:rStyle w:val="FootnoteReference"/>
        </w:rPr>
        <w:footnoteRef/>
      </w:r>
      <w:r w:rsidRPr="00E72E6E">
        <w:t xml:space="preserve"> </w:t>
      </w:r>
      <w:r w:rsidRPr="00E72E6E">
        <w:rPr>
          <w:i/>
          <w:iCs/>
        </w:rPr>
        <w:t>Compare United States v. LULAC</w:t>
      </w:r>
      <w:r w:rsidRPr="00E72E6E">
        <w:t xml:space="preserve">, 793 F.2d 636, 644 (5th Cir. 1986) (outsiders had no right to intervene in part because they </w:t>
      </w:r>
      <w:r w:rsidR="00551A0B">
        <w:t xml:space="preserve">could </w:t>
      </w:r>
      <w:r w:rsidRPr="00E72E6E">
        <w:t xml:space="preserve">bring a separate action to protect any of their rights), </w:t>
      </w:r>
      <w:r w:rsidRPr="00E72E6E">
        <w:rPr>
          <w:i/>
          <w:iCs/>
        </w:rPr>
        <w:t>with City of Chicago v. Fed. Emergency Mgmt. Agency</w:t>
      </w:r>
      <w:r w:rsidRPr="00E72E6E">
        <w:t>, 660 F.3d 980, 985</w:t>
      </w:r>
      <w:r>
        <w:t>-</w:t>
      </w:r>
      <w:r w:rsidRPr="00E72E6E">
        <w:t xml:space="preserve">86 (7th Cir. 2011) (“But the possibility that the would-be intervenor if refused intervention might have an opportunity in the future to litigate his claim has been held not to be an automatic bar to intervention.”). </w:t>
      </w:r>
    </w:p>
  </w:footnote>
  <w:footnote w:id="72">
    <w:p w14:paraId="411935A0" w14:textId="62CD61C1" w:rsidR="00D66C84" w:rsidRPr="00E72E6E" w:rsidRDefault="00D66C84" w:rsidP="0067230F">
      <w:pPr>
        <w:pStyle w:val="FootnoteText"/>
        <w:jc w:val="both"/>
        <w:rPr>
          <w:i/>
          <w:iCs/>
        </w:rPr>
      </w:pPr>
      <w:r w:rsidRPr="00E72E6E">
        <w:rPr>
          <w:rStyle w:val="FootnoteReference"/>
        </w:rPr>
        <w:footnoteRef/>
      </w:r>
      <w:r w:rsidRPr="00E72E6E">
        <w:t xml:space="preserve"> </w:t>
      </w:r>
      <w:r w:rsidRPr="00E72E6E">
        <w:rPr>
          <w:i/>
          <w:iCs/>
        </w:rPr>
        <w:t xml:space="preserve">Compare </w:t>
      </w:r>
      <w:r w:rsidRPr="00D66C84">
        <w:rPr>
          <w:i/>
          <w:iCs/>
        </w:rPr>
        <w:t>Bethune Plaza, Inc. v. Lumpkin</w:t>
      </w:r>
      <w:r w:rsidRPr="00E72E6E">
        <w:t xml:space="preserve">, 863 F.2d 525, 532-33 (7th Cir. 1988); </w:t>
      </w:r>
      <w:r w:rsidRPr="00E72E6E">
        <w:rPr>
          <w:i/>
          <w:iCs/>
        </w:rPr>
        <w:t>N.E. Ohio Coalition for the Homeless v. Blackwell</w:t>
      </w:r>
      <w:r w:rsidRPr="00E72E6E">
        <w:t xml:space="preserve">, 467 F.3d 999, 1007-08 (6th Cir. 2006), </w:t>
      </w:r>
      <w:r w:rsidRPr="00E72E6E">
        <w:rPr>
          <w:i/>
          <w:iCs/>
        </w:rPr>
        <w:t xml:space="preserve">with Martin v. Travelers </w:t>
      </w:r>
      <w:proofErr w:type="spellStart"/>
      <w:r w:rsidRPr="00E72E6E">
        <w:rPr>
          <w:i/>
          <w:iCs/>
        </w:rPr>
        <w:t>Indem</w:t>
      </w:r>
      <w:proofErr w:type="spellEnd"/>
      <w:r w:rsidRPr="00E72E6E">
        <w:rPr>
          <w:i/>
          <w:iCs/>
        </w:rPr>
        <w:t>. Co.</w:t>
      </w:r>
      <w:r w:rsidRPr="00E72E6E">
        <w:t xml:space="preserve">, 450 F.2d 542, 554 (5th Cir. 1971); </w:t>
      </w:r>
      <w:r w:rsidRPr="00E72E6E">
        <w:rPr>
          <w:i/>
          <w:iCs/>
        </w:rPr>
        <w:t xml:space="preserve">Black Fire Fighters </w:t>
      </w:r>
      <w:proofErr w:type="spellStart"/>
      <w:r w:rsidRPr="00E72E6E">
        <w:rPr>
          <w:i/>
          <w:iCs/>
        </w:rPr>
        <w:t>Ass’n</w:t>
      </w:r>
      <w:proofErr w:type="spellEnd"/>
      <w:r w:rsidRPr="00E72E6E">
        <w:rPr>
          <w:i/>
          <w:iCs/>
        </w:rPr>
        <w:t xml:space="preserve"> of Dallas v. City of Dallas</w:t>
      </w:r>
      <w:r w:rsidRPr="00E72E6E">
        <w:t>, 19 F.3d 992, 994 (5th Cir. 1994).</w:t>
      </w:r>
      <w:r>
        <w:t xml:space="preserve"> Adding more confusion to the mix, some courts say that an adverse ruling can lead to sufficient impairment only when there is an unspecified “exceptional circumstance” present. </w:t>
      </w:r>
      <w:r w:rsidRPr="00E72E6E">
        <w:rPr>
          <w:i/>
          <w:iCs/>
        </w:rPr>
        <w:t>Whitecap Inv. Corp. v. Putnam Lumber &amp; Exp. Co.</w:t>
      </w:r>
      <w:r w:rsidRPr="00E72E6E">
        <w:t>, No. 2010-139, 2012 WL 5997710, at *6 (D.V.I. Nov. 29, 2012) (explaining that “stare decisis can furnish the practical disadvantage required for the applicant to be entitled to intervention as of right,” but requiring “additional exceptional circumstances [to] be present”).</w:t>
      </w:r>
    </w:p>
  </w:footnote>
  <w:footnote w:id="73">
    <w:p w14:paraId="01305F5A" w14:textId="77777777" w:rsidR="00DE722C" w:rsidRPr="00E72E6E" w:rsidRDefault="00DE722C" w:rsidP="0067230F">
      <w:pPr>
        <w:pStyle w:val="FootnoteText"/>
        <w:jc w:val="both"/>
      </w:pPr>
      <w:r w:rsidRPr="00E72E6E">
        <w:rPr>
          <w:rStyle w:val="FootnoteReference"/>
        </w:rPr>
        <w:footnoteRef/>
      </w:r>
      <w:r w:rsidRPr="00E72E6E">
        <w:t xml:space="preserve"> Rule 24(a)(2).</w:t>
      </w:r>
    </w:p>
  </w:footnote>
  <w:footnote w:id="74">
    <w:p w14:paraId="1DC716D0" w14:textId="66B72347"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See, e.g.</w:t>
      </w:r>
      <w:r w:rsidRPr="00E72E6E">
        <w:t xml:space="preserve">, </w:t>
      </w:r>
      <w:r w:rsidRPr="00E72E6E">
        <w:rPr>
          <w:i/>
          <w:iCs/>
        </w:rPr>
        <w:t xml:space="preserve">Allen Calculators v. </w:t>
      </w:r>
      <w:proofErr w:type="spellStart"/>
      <w:r w:rsidRPr="00E72E6E">
        <w:rPr>
          <w:i/>
          <w:iCs/>
        </w:rPr>
        <w:t>Nat</w:t>
      </w:r>
      <w:r w:rsidR="00767417">
        <w:rPr>
          <w:i/>
          <w:iCs/>
        </w:rPr>
        <w:t>’</w:t>
      </w:r>
      <w:r w:rsidRPr="00E72E6E">
        <w:rPr>
          <w:i/>
          <w:iCs/>
        </w:rPr>
        <w:t>l</w:t>
      </w:r>
      <w:proofErr w:type="spellEnd"/>
      <w:r w:rsidRPr="00E72E6E">
        <w:rPr>
          <w:i/>
          <w:iCs/>
        </w:rPr>
        <w:t xml:space="preserve"> Cash Reg. Co.</w:t>
      </w:r>
      <w:r w:rsidRPr="00E72E6E">
        <w:t xml:space="preserve">, 322 U.S. 137, 138 (1944) (financial interest adequately represented by federal government acting on behalf of the public). </w:t>
      </w:r>
    </w:p>
  </w:footnote>
  <w:footnote w:id="75">
    <w:p w14:paraId="79C2E880" w14:textId="6CB69924" w:rsidR="00DE722C" w:rsidRPr="00E72E6E" w:rsidRDefault="00DE722C" w:rsidP="0067230F">
      <w:pPr>
        <w:pStyle w:val="FootnoteText"/>
        <w:jc w:val="both"/>
      </w:pPr>
      <w:r w:rsidRPr="00E72E6E">
        <w:rPr>
          <w:rStyle w:val="FootnoteReference"/>
        </w:rPr>
        <w:footnoteRef/>
      </w:r>
      <w:r w:rsidRPr="00E72E6E">
        <w:t xml:space="preserve"> Moore &amp; Levi, </w:t>
      </w:r>
      <w:r w:rsidR="002D62B6">
        <w:rPr>
          <w:i/>
          <w:iCs/>
        </w:rPr>
        <w:t xml:space="preserve">Federal </w:t>
      </w:r>
      <w:r w:rsidR="002D62B6" w:rsidRPr="00E72E6E">
        <w:rPr>
          <w:i/>
          <w:iCs/>
        </w:rPr>
        <w:t>Intervention I</w:t>
      </w:r>
      <w:r w:rsidR="002D62B6">
        <w:t>,</w:t>
      </w:r>
      <w:r w:rsidR="002D62B6">
        <w:rPr>
          <w:i/>
          <w:iCs/>
        </w:rPr>
        <w:t xml:space="preserve"> </w:t>
      </w:r>
      <w:r w:rsidR="0022124F">
        <w:rPr>
          <w:i/>
          <w:iCs/>
        </w:rPr>
        <w:t>supra</w:t>
      </w:r>
      <w:r w:rsidR="0022124F" w:rsidRPr="0022124F">
        <w:t>,</w:t>
      </w:r>
      <w:r w:rsidR="0022124F">
        <w:rPr>
          <w:i/>
          <w:iCs/>
        </w:rPr>
        <w:t xml:space="preserve"> </w:t>
      </w:r>
      <w:r w:rsidRPr="00E72E6E">
        <w:t xml:space="preserve">at 594; Shapiro, </w:t>
      </w:r>
      <w:r w:rsidR="00767417">
        <w:rPr>
          <w:i/>
          <w:iCs/>
        </w:rPr>
        <w:t>supra</w:t>
      </w:r>
      <w:r w:rsidR="00767417" w:rsidRPr="00767417">
        <w:t>,</w:t>
      </w:r>
      <w:r w:rsidR="00767417">
        <w:rPr>
          <w:i/>
          <w:iCs/>
        </w:rPr>
        <w:t xml:space="preserve"> </w:t>
      </w:r>
      <w:r w:rsidR="00767417">
        <w:t xml:space="preserve">at </w:t>
      </w:r>
      <w:r w:rsidRPr="00E72E6E">
        <w:t xml:space="preserve">742; Kaplan, </w:t>
      </w:r>
      <w:r w:rsidR="00E930CB">
        <w:rPr>
          <w:i/>
          <w:iCs/>
        </w:rPr>
        <w:t>supra</w:t>
      </w:r>
      <w:r w:rsidRPr="00E72E6E">
        <w:t xml:space="preserve">, at 405. </w:t>
      </w:r>
    </w:p>
  </w:footnote>
  <w:footnote w:id="76">
    <w:p w14:paraId="455E6685" w14:textId="2C17846C" w:rsidR="00DE722C" w:rsidRPr="00E72E6E" w:rsidRDefault="00DE722C" w:rsidP="0067230F">
      <w:pPr>
        <w:pStyle w:val="FootnoteText"/>
        <w:jc w:val="both"/>
      </w:pPr>
      <w:r w:rsidRPr="00E72E6E">
        <w:rPr>
          <w:rStyle w:val="FootnoteReference"/>
        </w:rPr>
        <w:footnoteRef/>
      </w:r>
      <w:r w:rsidRPr="00E72E6E">
        <w:t xml:space="preserve"> The rule before the amendment provided that: “Intervention as a matter of right is permitted only if the representation of the applicant’s interest by existing parties is, or may be, inadequate.” 308 U.S. 645, 690 (1937). The amendment did, however, excise the requirement that the intervenor be “bound” by the decision, which </w:t>
      </w:r>
      <w:r w:rsidRPr="00E72E6E">
        <w:rPr>
          <w:i/>
          <w:iCs/>
        </w:rPr>
        <w:t>was</w:t>
      </w:r>
      <w:r w:rsidRPr="00E72E6E">
        <w:t xml:space="preserve"> a significant change and arguably refocused attention to the adequate-representation requirement. Shapiro, </w:t>
      </w:r>
      <w:r w:rsidRPr="00E72E6E">
        <w:rPr>
          <w:i/>
          <w:iCs/>
        </w:rPr>
        <w:t>supra</w:t>
      </w:r>
      <w:r w:rsidRPr="00E72E6E">
        <w:t xml:space="preserve">, at 731-32 n.46; Kaplan, </w:t>
      </w:r>
      <w:r w:rsidRPr="00E72E6E">
        <w:rPr>
          <w:i/>
          <w:iCs/>
        </w:rPr>
        <w:t>supra</w:t>
      </w:r>
      <w:r w:rsidRPr="00E72E6E">
        <w:t xml:space="preserve">, </w:t>
      </w:r>
      <w:r w:rsidR="00767417">
        <w:t xml:space="preserve">at </w:t>
      </w:r>
      <w:r w:rsidRPr="00E72E6E">
        <w:t>401-02.</w:t>
      </w:r>
    </w:p>
  </w:footnote>
  <w:footnote w:id="77">
    <w:p w14:paraId="6A00EB35" w14:textId="77777777" w:rsidR="00DE722C" w:rsidRPr="00E72E6E" w:rsidRDefault="00DE722C" w:rsidP="0067230F">
      <w:pPr>
        <w:pStyle w:val="FootnoteText"/>
        <w:jc w:val="both"/>
      </w:pPr>
      <w:r w:rsidRPr="00E72E6E">
        <w:rPr>
          <w:rStyle w:val="FootnoteReference"/>
        </w:rPr>
        <w:footnoteRef/>
      </w:r>
      <w:r w:rsidRPr="00E72E6E">
        <w:t xml:space="preserve"> </w:t>
      </w:r>
      <w:bookmarkStart w:id="7" w:name="OLE_LINK31"/>
      <w:r w:rsidRPr="00E72E6E">
        <w:t xml:space="preserve">386 U.S. 129 </w:t>
      </w:r>
      <w:bookmarkEnd w:id="7"/>
      <w:r w:rsidRPr="00E72E6E">
        <w:t>(1967).</w:t>
      </w:r>
    </w:p>
  </w:footnote>
  <w:footnote w:id="78">
    <w:p w14:paraId="404C3C27" w14:textId="341DFB1B"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Id.</w:t>
      </w:r>
      <w:r w:rsidRPr="00E72E6E">
        <w:t xml:space="preserve"> at 136. Despite the dearth of analysis, the majority’s opinion prompted a dissent by Justice Stewart, joined by Justice Harlan, who objected to the majority’s “radical extensions of intervention doctrine.” </w:t>
      </w:r>
      <w:r w:rsidRPr="00E72E6E">
        <w:rPr>
          <w:i/>
          <w:iCs/>
        </w:rPr>
        <w:t>Id.</w:t>
      </w:r>
      <w:r w:rsidRPr="00E72E6E">
        <w:t xml:space="preserve"> at 160 (Stewart, J., dissenting). According to Justice Stewart, “</w:t>
      </w:r>
      <w:proofErr w:type="gramStart"/>
      <w:r w:rsidRPr="00E72E6E">
        <w:t>It</w:t>
      </w:r>
      <w:proofErr w:type="gramEnd"/>
      <w:r w:rsidRPr="00E72E6E">
        <w:t xml:space="preserve"> </w:t>
      </w:r>
      <w:proofErr w:type="spellStart"/>
      <w:r w:rsidRPr="00E72E6E">
        <w:t>ha</w:t>
      </w:r>
      <w:proofErr w:type="spellEnd"/>
      <w:r w:rsidRPr="00E72E6E">
        <w:t xml:space="preserve">[d] been the consistent policy of this Court to deny intervention to a person seeking to assert some general public interest in a suit in which a public authority charged with the vindication of that interest is already a party.” </w:t>
      </w:r>
      <w:r w:rsidRPr="00E72E6E">
        <w:rPr>
          <w:i/>
          <w:iCs/>
        </w:rPr>
        <w:t>Id.</w:t>
      </w:r>
      <w:r w:rsidRPr="00E72E6E">
        <w:t xml:space="preserve"> at 149-50. </w:t>
      </w:r>
    </w:p>
  </w:footnote>
  <w:footnote w:id="79">
    <w:p w14:paraId="47AC6D39" w14:textId="480B505E" w:rsidR="00DE722C" w:rsidRPr="00E72E6E" w:rsidRDefault="00DE722C" w:rsidP="0067230F">
      <w:pPr>
        <w:pStyle w:val="FootnoteText"/>
        <w:jc w:val="both"/>
      </w:pPr>
      <w:r w:rsidRPr="00E72E6E">
        <w:rPr>
          <w:rStyle w:val="FootnoteReference"/>
        </w:rPr>
        <w:footnoteRef/>
      </w:r>
      <w:r w:rsidRPr="00E72E6E">
        <w:t xml:space="preserve"> 404 U.S. 528 (1972). </w:t>
      </w:r>
    </w:p>
  </w:footnote>
  <w:footnote w:id="80">
    <w:p w14:paraId="3CE7015E" w14:textId="77777777" w:rsidR="00DE722C" w:rsidRPr="00E72E6E" w:rsidRDefault="00DE722C" w:rsidP="0067230F">
      <w:pPr>
        <w:pStyle w:val="FootnoteText"/>
        <w:jc w:val="both"/>
      </w:pPr>
      <w:r w:rsidRPr="00E72E6E">
        <w:rPr>
          <w:rStyle w:val="FootnoteReference"/>
        </w:rPr>
        <w:footnoteRef/>
      </w:r>
      <w:r w:rsidRPr="00E72E6E">
        <w:t xml:space="preserve"> </w:t>
      </w:r>
      <w:proofErr w:type="spellStart"/>
      <w:r w:rsidRPr="00E72E6E">
        <w:rPr>
          <w:i/>
          <w:iCs/>
        </w:rPr>
        <w:t>Trbovich</w:t>
      </w:r>
      <w:proofErr w:type="spellEnd"/>
      <w:r w:rsidRPr="00E72E6E">
        <w:t xml:space="preserve">, 404 U.S. at 529-30. </w:t>
      </w:r>
    </w:p>
  </w:footnote>
  <w:footnote w:id="81">
    <w:p w14:paraId="052C4EF1" w14:textId="77777777"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Id.</w:t>
      </w:r>
      <w:r w:rsidRPr="00E72E6E">
        <w:t xml:space="preserve"> at 538. </w:t>
      </w:r>
    </w:p>
  </w:footnote>
  <w:footnote w:id="82">
    <w:p w14:paraId="2144A841" w14:textId="77777777" w:rsidR="00FA6B22" w:rsidRPr="00E72E6E" w:rsidRDefault="00FA6B22" w:rsidP="0067230F">
      <w:pPr>
        <w:pStyle w:val="FootnoteText"/>
        <w:jc w:val="both"/>
      </w:pPr>
      <w:r w:rsidRPr="00E72E6E">
        <w:rPr>
          <w:rStyle w:val="FootnoteReference"/>
        </w:rPr>
        <w:footnoteRef/>
      </w:r>
      <w:r w:rsidRPr="00E72E6E">
        <w:t xml:space="preserve"> </w:t>
      </w:r>
      <w:r w:rsidRPr="00E72E6E">
        <w:rPr>
          <w:i/>
          <w:iCs/>
        </w:rPr>
        <w:t>Id.</w:t>
      </w:r>
      <w:r w:rsidRPr="00E72E6E">
        <w:t xml:space="preserve"> at 538-39. </w:t>
      </w:r>
    </w:p>
  </w:footnote>
  <w:footnote w:id="83">
    <w:p w14:paraId="13B59F61" w14:textId="72EF3F58" w:rsidR="00FA6B22" w:rsidRPr="00E72E6E" w:rsidRDefault="00FA6B22" w:rsidP="0067230F">
      <w:pPr>
        <w:pStyle w:val="FootnoteText"/>
        <w:jc w:val="both"/>
      </w:pPr>
      <w:r w:rsidRPr="00E72E6E">
        <w:rPr>
          <w:rStyle w:val="FootnoteReference"/>
        </w:rPr>
        <w:footnoteRef/>
      </w:r>
      <w:r w:rsidRPr="00E72E6E">
        <w:t xml:space="preserve"> </w:t>
      </w:r>
      <w:r w:rsidRPr="00E72E6E">
        <w:rPr>
          <w:i/>
          <w:iCs/>
        </w:rPr>
        <w:t>Id.</w:t>
      </w:r>
      <w:r w:rsidRPr="00E72E6E">
        <w:t xml:space="preserve"> </w:t>
      </w:r>
    </w:p>
  </w:footnote>
  <w:footnote w:id="84">
    <w:p w14:paraId="2F5D89AD" w14:textId="77777777"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Id.</w:t>
      </w:r>
      <w:r w:rsidRPr="00E72E6E">
        <w:t xml:space="preserve"> at 539. </w:t>
      </w:r>
    </w:p>
  </w:footnote>
  <w:footnote w:id="85">
    <w:p w14:paraId="327789D1" w14:textId="269DFA58"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Id.</w:t>
      </w:r>
      <w:r w:rsidRPr="00E72E6E">
        <w:t xml:space="preserve"> at 538. </w:t>
      </w:r>
      <w:r w:rsidR="00FA6B22">
        <w:t>Notably, t</w:t>
      </w:r>
      <w:r w:rsidRPr="00E72E6E">
        <w:t xml:space="preserve">he Court did not think full party status was proper—it held that the statute prevented intervenors from raising additional claims left out from the Secretary’s complaint. </w:t>
      </w:r>
      <w:r w:rsidRPr="00E72E6E">
        <w:rPr>
          <w:i/>
          <w:iCs/>
        </w:rPr>
        <w:t>Id.</w:t>
      </w:r>
      <w:r w:rsidRPr="00E72E6E">
        <w:t xml:space="preserve"> at 536-37. But </w:t>
      </w:r>
      <w:r w:rsidR="00A50F63">
        <w:t xml:space="preserve">the limits envisaged by the Court may have been relatively minor, as it </w:t>
      </w:r>
      <w:r w:rsidRPr="00E72E6E">
        <w:t xml:space="preserve">emphasized that </w:t>
      </w:r>
      <w:r w:rsidR="00FA6B22">
        <w:t xml:space="preserve">the </w:t>
      </w:r>
      <w:r w:rsidRPr="00E72E6E">
        <w:t xml:space="preserve">intervenor should have full rights to propose different remedies than those argued for by the Sectary. </w:t>
      </w:r>
      <w:r w:rsidRPr="00E72E6E">
        <w:rPr>
          <w:i/>
          <w:iCs/>
        </w:rPr>
        <w:t>Id.</w:t>
      </w:r>
      <w:r w:rsidRPr="00E72E6E">
        <w:t xml:space="preserve"> at 537 n.8.</w:t>
      </w:r>
    </w:p>
  </w:footnote>
  <w:footnote w:id="86">
    <w:p w14:paraId="2EEED3D8" w14:textId="77777777"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Id.</w:t>
      </w:r>
      <w:r w:rsidRPr="00E72E6E">
        <w:t xml:space="preserve"> at 538 n.10. </w:t>
      </w:r>
    </w:p>
  </w:footnote>
  <w:footnote w:id="87">
    <w:p w14:paraId="2EF156E2" w14:textId="5325FA5E" w:rsidR="0029512B" w:rsidRPr="00E72E6E" w:rsidRDefault="0029512B" w:rsidP="0067230F">
      <w:pPr>
        <w:pStyle w:val="FootnoteText"/>
        <w:jc w:val="both"/>
      </w:pPr>
      <w:r w:rsidRPr="00E72E6E">
        <w:rPr>
          <w:rStyle w:val="FootnoteReference"/>
        </w:rPr>
        <w:footnoteRef/>
      </w:r>
      <w:r w:rsidRPr="00E72E6E">
        <w:t xml:space="preserve"> </w:t>
      </w:r>
      <w:r w:rsidRPr="00E72E6E">
        <w:rPr>
          <w:i/>
          <w:iCs/>
        </w:rPr>
        <w:t>Johnson v. San Francisco Unified Sch. Dist.</w:t>
      </w:r>
      <w:r w:rsidRPr="00E72E6E">
        <w:t>, 500 F.2d 349, 353 (9th Cir. 1974)</w:t>
      </w:r>
      <w:r w:rsidR="00D24894">
        <w:t xml:space="preserve">; </w:t>
      </w:r>
      <w:r w:rsidR="00D24894" w:rsidRPr="00E72E6E">
        <w:rPr>
          <w:i/>
          <w:iCs/>
        </w:rPr>
        <w:t xml:space="preserve">Planned Parenthood of Minnesota, Inc. v. Citizens for </w:t>
      </w:r>
      <w:proofErr w:type="spellStart"/>
      <w:r w:rsidR="00D24894" w:rsidRPr="00E72E6E">
        <w:rPr>
          <w:i/>
          <w:iCs/>
        </w:rPr>
        <w:t>Cmty</w:t>
      </w:r>
      <w:proofErr w:type="spellEnd"/>
      <w:r w:rsidR="00D24894" w:rsidRPr="00E72E6E">
        <w:rPr>
          <w:i/>
          <w:iCs/>
        </w:rPr>
        <w:t>. Action</w:t>
      </w:r>
      <w:r w:rsidR="00D24894" w:rsidRPr="00E72E6E">
        <w:t>, 558 F.2d 861, 870 (8th Cir. 1977)</w:t>
      </w:r>
      <w:r w:rsidR="00D24894">
        <w:t xml:space="preserve">; </w:t>
      </w:r>
      <w:r w:rsidR="00D24894" w:rsidRPr="00E72E6E">
        <w:rPr>
          <w:i/>
          <w:iCs/>
        </w:rPr>
        <w:t xml:space="preserve">Nat. Res. Def. Council v. </w:t>
      </w:r>
      <w:proofErr w:type="spellStart"/>
      <w:r w:rsidR="00D24894" w:rsidRPr="00E72E6E">
        <w:rPr>
          <w:i/>
          <w:iCs/>
        </w:rPr>
        <w:t>Costle</w:t>
      </w:r>
      <w:proofErr w:type="spellEnd"/>
      <w:r w:rsidR="00D24894" w:rsidRPr="00E72E6E">
        <w:t>, 561 F.2d 904, 912 (D.C. Cir. 197</w:t>
      </w:r>
      <w:r w:rsidR="00D24894">
        <w:t>7).</w:t>
      </w:r>
    </w:p>
  </w:footnote>
  <w:footnote w:id="88">
    <w:p w14:paraId="15520FC5" w14:textId="03726387" w:rsidR="00DE722C" w:rsidRPr="00175BB9" w:rsidRDefault="00DE722C" w:rsidP="0067230F">
      <w:pPr>
        <w:pStyle w:val="FootnoteText"/>
        <w:jc w:val="both"/>
      </w:pPr>
      <w:r w:rsidRPr="00E72E6E">
        <w:rPr>
          <w:rStyle w:val="FootnoteReference"/>
        </w:rPr>
        <w:footnoteRef/>
      </w:r>
      <w:r w:rsidRPr="00E72E6E">
        <w:t xml:space="preserve"> </w:t>
      </w:r>
      <w:r w:rsidRPr="00E72E6E">
        <w:rPr>
          <w:i/>
          <w:iCs/>
        </w:rPr>
        <w:t>United States v. Allegheny-Ludlum Indus., Inc.</w:t>
      </w:r>
      <w:r w:rsidRPr="00E72E6E">
        <w:t>, 517 F.2d 826, 845–46 (5th Cir. 1975)</w:t>
      </w:r>
      <w:r w:rsidR="00D24894">
        <w:t xml:space="preserve">; </w:t>
      </w:r>
      <w:r w:rsidR="00175BB9">
        <w:rPr>
          <w:i/>
          <w:iCs/>
        </w:rPr>
        <w:t xml:space="preserve">see also </w:t>
      </w:r>
      <w:bookmarkStart w:id="8" w:name="OLE_LINK27"/>
      <w:r w:rsidR="00175BB9" w:rsidRPr="00E72E6E">
        <w:rPr>
          <w:i/>
          <w:iCs/>
        </w:rPr>
        <w:t>Com. of Pa. v. Rizzo</w:t>
      </w:r>
      <w:r w:rsidR="00175BB9" w:rsidRPr="00E72E6E">
        <w:t>, 530 F.2d 501, 505 (3d Cir. 1976)</w:t>
      </w:r>
      <w:bookmarkEnd w:id="8"/>
      <w:r w:rsidR="00175BB9">
        <w:t xml:space="preserve"> (understanding </w:t>
      </w:r>
      <w:proofErr w:type="spellStart"/>
      <w:r w:rsidR="00175BB9">
        <w:rPr>
          <w:i/>
          <w:iCs/>
        </w:rPr>
        <w:t>Trbovich</w:t>
      </w:r>
      <w:proofErr w:type="spellEnd"/>
      <w:r w:rsidR="00175BB9">
        <w:t xml:space="preserve"> to hold that the adequate-representation requirement was meant to be “minimal,” but then restating that “a presumption of adequate representation generally arises when the representative is a government body or office charged by law with representing the interests of the absentee”); </w:t>
      </w:r>
      <w:r w:rsidR="00175BB9" w:rsidRPr="00E72E6E">
        <w:rPr>
          <w:i/>
          <w:iCs/>
        </w:rPr>
        <w:t>Athens Lumber Co. v. Fed. Election Comm’n</w:t>
      </w:r>
      <w:r w:rsidR="00175BB9" w:rsidRPr="00E72E6E">
        <w:t>, 690 F.2d 1364, 1366 (11th Cir. 1982).</w:t>
      </w:r>
    </w:p>
  </w:footnote>
  <w:footnote w:id="89">
    <w:p w14:paraId="6A05A34F" w14:textId="79C02378" w:rsidR="00105489" w:rsidRPr="00105489" w:rsidRDefault="00105489" w:rsidP="0067230F">
      <w:pPr>
        <w:pStyle w:val="FootnoteText"/>
        <w:jc w:val="both"/>
      </w:pPr>
      <w:r>
        <w:rPr>
          <w:rStyle w:val="FootnoteReference"/>
        </w:rPr>
        <w:footnoteRef/>
      </w:r>
      <w:r>
        <w:t xml:space="preserve"> </w:t>
      </w:r>
      <w:r>
        <w:rPr>
          <w:i/>
          <w:iCs/>
        </w:rPr>
        <w:t>Berger</w:t>
      </w:r>
      <w:r>
        <w:t xml:space="preserve">, 142 S. Ct. at 2204 (recognizing that some courts apply a presumption of adequate representation, and that this might conflict with </w:t>
      </w:r>
      <w:proofErr w:type="spellStart"/>
      <w:r>
        <w:rPr>
          <w:i/>
          <w:iCs/>
        </w:rPr>
        <w:t>Trbovich</w:t>
      </w:r>
      <w:proofErr w:type="spellEnd"/>
      <w:r>
        <w:t>, but declining to decide whether it may “sometimes be appropriate when a private litigant seeks to defend a law alongside the government”).</w:t>
      </w:r>
    </w:p>
  </w:footnote>
  <w:footnote w:id="90">
    <w:p w14:paraId="75BFF4DE" w14:textId="6DCFBF91"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See</w:t>
      </w:r>
      <w:r w:rsidRPr="0025218E">
        <w:rPr>
          <w:i/>
          <w:iCs/>
        </w:rPr>
        <w:t>,</w:t>
      </w:r>
      <w:r w:rsidRPr="00E72E6E">
        <w:t xml:space="preserve"> </w:t>
      </w:r>
      <w:r w:rsidRPr="00E72E6E">
        <w:rPr>
          <w:i/>
          <w:iCs/>
        </w:rPr>
        <w:t>e.g.</w:t>
      </w:r>
      <w:r w:rsidRPr="00E72E6E">
        <w:t xml:space="preserve">, </w:t>
      </w:r>
      <w:r w:rsidRPr="00E72E6E">
        <w:rPr>
          <w:i/>
          <w:iCs/>
        </w:rPr>
        <w:t>Athens Lumber Co. v. Fed. Election Comm’n</w:t>
      </w:r>
      <w:r w:rsidRPr="00E72E6E">
        <w:t>, 690 F.2d 1364, 1367 (11th Cir. 1982</w:t>
      </w:r>
      <w:r w:rsidRPr="00E753DB">
        <w:t xml:space="preserve">); </w:t>
      </w:r>
      <w:proofErr w:type="spellStart"/>
      <w:r w:rsidRPr="00E753DB">
        <w:rPr>
          <w:i/>
          <w:iCs/>
        </w:rPr>
        <w:t>Ruthardt</w:t>
      </w:r>
      <w:proofErr w:type="spellEnd"/>
      <w:r w:rsidRPr="00E753DB">
        <w:rPr>
          <w:i/>
          <w:iCs/>
        </w:rPr>
        <w:t xml:space="preserve"> v. United States</w:t>
      </w:r>
      <w:r w:rsidRPr="00E753DB">
        <w:t xml:space="preserve">, 303 F.3d 375, 379 (1st Cir. 2002); </w:t>
      </w:r>
      <w:r w:rsidR="00E24170" w:rsidRPr="00E753DB">
        <w:rPr>
          <w:i/>
          <w:iCs/>
        </w:rPr>
        <w:t>XTO Energy, Inc. v. ATD, LLC</w:t>
      </w:r>
      <w:r w:rsidR="00E24170" w:rsidRPr="00E753DB">
        <w:t xml:space="preserve">, </w:t>
      </w:r>
      <w:r w:rsidR="003610CD" w:rsidRPr="00E753DB">
        <w:t xml:space="preserve">No. 14-cv-01021, </w:t>
      </w:r>
      <w:r w:rsidR="00E24170" w:rsidRPr="00E753DB">
        <w:t>2016 WL 3148399, at *15 n.9 (D.N.M. Apr. 18, 2016) (</w:t>
      </w:r>
      <w:r w:rsidR="0089282F">
        <w:t>noting the Tenth Circuit’s conflicting precedents on the adequate-representation prong)</w:t>
      </w:r>
      <w:r w:rsidRPr="00E753DB">
        <w:t>.</w:t>
      </w:r>
      <w:r w:rsidRPr="00E72E6E">
        <w:t xml:space="preserve"> </w:t>
      </w:r>
    </w:p>
  </w:footnote>
  <w:footnote w:id="91">
    <w:p w14:paraId="6021E2DB" w14:textId="77777777"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Env’t Def. Fund, Inc. v. Higginson</w:t>
      </w:r>
      <w:r w:rsidRPr="00E72E6E">
        <w:t>, 631 F.2d 738, 740 (D.C. Cir. 1979).</w:t>
      </w:r>
    </w:p>
  </w:footnote>
  <w:footnote w:id="92">
    <w:p w14:paraId="0F08CF4B" w14:textId="355D9B5E"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Forest Conservation Council v. U.S. Forest Serv.</w:t>
      </w:r>
      <w:r w:rsidRPr="00E72E6E">
        <w:t xml:space="preserve">, 66 F.3d 1489, 1499 (9th Cir. 1995), </w:t>
      </w:r>
      <w:r w:rsidRPr="00E72E6E">
        <w:rPr>
          <w:i/>
          <w:iCs/>
        </w:rPr>
        <w:t>abrogated on other grounds by</w:t>
      </w:r>
      <w:r w:rsidRPr="00E72E6E">
        <w:t xml:space="preserve"> </w:t>
      </w:r>
      <w:r w:rsidRPr="00E72E6E">
        <w:rPr>
          <w:i/>
          <w:iCs/>
        </w:rPr>
        <w:t>Wilderness Soc. v. U.S. Forest Serv.</w:t>
      </w:r>
      <w:r w:rsidRPr="00E72E6E">
        <w:t>, 630 F.3d 1173 (9th Cir. 2011)</w:t>
      </w:r>
      <w:r w:rsidR="008D4D79">
        <w:t xml:space="preserve">; </w:t>
      </w:r>
      <w:r w:rsidR="008D4D79" w:rsidRPr="00E72E6E">
        <w:rPr>
          <w:i/>
          <w:iCs/>
        </w:rPr>
        <w:t xml:space="preserve">S. Dakota v. </w:t>
      </w:r>
      <w:proofErr w:type="spellStart"/>
      <w:r w:rsidR="008D4D79" w:rsidRPr="00E72E6E">
        <w:rPr>
          <w:i/>
          <w:iCs/>
        </w:rPr>
        <w:t>Ubbelohde</w:t>
      </w:r>
      <w:proofErr w:type="spellEnd"/>
      <w:r w:rsidR="008D4D79" w:rsidRPr="00E72E6E">
        <w:t>, 330 F.3d 1014, 1025 (8th Cir. 2003)</w:t>
      </w:r>
      <w:r w:rsidR="008D4D79">
        <w:t xml:space="preserve">. Some courts reject this. </w:t>
      </w:r>
      <w:r w:rsidR="008D4D79" w:rsidRPr="00E72E6E">
        <w:rPr>
          <w:i/>
          <w:iCs/>
        </w:rPr>
        <w:t xml:space="preserve">Daggett v. Comm’n on Governmental Ethics &amp; Election </w:t>
      </w:r>
      <w:proofErr w:type="spellStart"/>
      <w:r w:rsidR="008D4D79" w:rsidRPr="00E72E6E">
        <w:rPr>
          <w:i/>
          <w:iCs/>
        </w:rPr>
        <w:t>Pracs</w:t>
      </w:r>
      <w:proofErr w:type="spellEnd"/>
      <w:r w:rsidR="008D4D79" w:rsidRPr="00E72E6E">
        <w:rPr>
          <w:i/>
          <w:iCs/>
        </w:rPr>
        <w:t>.</w:t>
      </w:r>
      <w:r w:rsidR="008D4D79" w:rsidRPr="00E72E6E">
        <w:t xml:space="preserve">, 172 F.3d 104, 112 (1st Cir. 1999) (“The general notion that the Attorney General represents </w:t>
      </w:r>
      <w:r w:rsidR="008D4D79">
        <w:t>‘</w:t>
      </w:r>
      <w:r w:rsidR="008D4D79" w:rsidRPr="00E72E6E">
        <w:t>broader</w:t>
      </w:r>
      <w:r w:rsidR="008D4D79">
        <w:t>’</w:t>
      </w:r>
      <w:r w:rsidR="008D4D79" w:rsidRPr="00E72E6E">
        <w:t xml:space="preserve"> interests at some abstract level is not enough.”).</w:t>
      </w:r>
    </w:p>
  </w:footnote>
  <w:footnote w:id="93">
    <w:p w14:paraId="1F801C16" w14:textId="77777777"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Sagebrush Rebellion, Inc. v. Watt</w:t>
      </w:r>
      <w:r w:rsidRPr="00E72E6E">
        <w:t xml:space="preserve">, 713 F.2d 525, 528 (9th Cir. 1983); </w:t>
      </w:r>
      <w:r w:rsidRPr="00E72E6E">
        <w:rPr>
          <w:i/>
          <w:iCs/>
        </w:rPr>
        <w:t>United Nuclear Corp. v. Cannon</w:t>
      </w:r>
      <w:r w:rsidRPr="00E72E6E">
        <w:t xml:space="preserve">, 696 F.2d 141, 144 (1st Cir. 1982). </w:t>
      </w:r>
    </w:p>
  </w:footnote>
  <w:footnote w:id="94">
    <w:p w14:paraId="07A802A0" w14:textId="77777777"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 xml:space="preserve">Coal. of Arizona/New Mexico </w:t>
      </w:r>
      <w:proofErr w:type="spellStart"/>
      <w:r w:rsidRPr="00E72E6E">
        <w:rPr>
          <w:i/>
          <w:iCs/>
        </w:rPr>
        <w:t>Ctys</w:t>
      </w:r>
      <w:proofErr w:type="spellEnd"/>
      <w:r w:rsidRPr="00E72E6E">
        <w:rPr>
          <w:i/>
          <w:iCs/>
        </w:rPr>
        <w:t xml:space="preserve">. for Stable Econ. Growth v. </w:t>
      </w:r>
      <w:proofErr w:type="spellStart"/>
      <w:r w:rsidRPr="00E72E6E">
        <w:rPr>
          <w:i/>
          <w:iCs/>
        </w:rPr>
        <w:t>Dep’t</w:t>
      </w:r>
      <w:proofErr w:type="spellEnd"/>
      <w:r w:rsidRPr="00E72E6E">
        <w:rPr>
          <w:i/>
          <w:iCs/>
        </w:rPr>
        <w:t xml:space="preserve"> of Interior</w:t>
      </w:r>
      <w:r w:rsidRPr="00E72E6E">
        <w:t xml:space="preserve">, 100 F.3d 837, 845 (10th Cir. 1996); </w:t>
      </w:r>
      <w:r w:rsidRPr="00E72E6E">
        <w:rPr>
          <w:i/>
          <w:iCs/>
        </w:rPr>
        <w:t xml:space="preserve">Sanguine, Ltd. v. U.S. </w:t>
      </w:r>
      <w:proofErr w:type="spellStart"/>
      <w:r w:rsidRPr="00E72E6E">
        <w:rPr>
          <w:i/>
          <w:iCs/>
        </w:rPr>
        <w:t>Dep’t</w:t>
      </w:r>
      <w:proofErr w:type="spellEnd"/>
      <w:r w:rsidRPr="00E72E6E">
        <w:rPr>
          <w:i/>
          <w:iCs/>
        </w:rPr>
        <w:t xml:space="preserve"> of Interior</w:t>
      </w:r>
      <w:r w:rsidRPr="00E72E6E">
        <w:t xml:space="preserve">, 736 F.2d 1416, 1419 (10th Cir. 1984); </w:t>
      </w:r>
      <w:r w:rsidRPr="00E72E6E">
        <w:rPr>
          <w:i/>
          <w:iCs/>
        </w:rPr>
        <w:t>see also Conservation Law Foundation of New England, Inc. v. Mosbacher</w:t>
      </w:r>
      <w:r w:rsidRPr="00E72E6E">
        <w:t>, 966 F.2d 39 (1st Cir. 1992) (acknowledging that the First Circuit has at times required “adversity of interest, collusion, or nonfeasance,” but granting intervention because the interests of the intervenors were different from the government).</w:t>
      </w:r>
    </w:p>
  </w:footnote>
  <w:footnote w:id="95">
    <w:p w14:paraId="537976E3" w14:textId="77777777"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Planned Parenthood of Wisconsin, Inc. v. Kaul</w:t>
      </w:r>
      <w:r w:rsidRPr="00E72E6E">
        <w:t>, 942 F.3d 793, 799 (7th Cir. 2019).</w:t>
      </w:r>
    </w:p>
  </w:footnote>
  <w:footnote w:id="96">
    <w:p w14:paraId="75D2B63B" w14:textId="77777777"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Id.</w:t>
      </w:r>
      <w:r w:rsidRPr="00E72E6E">
        <w:t xml:space="preserve"> at 805 (Sykes, J., concurring). </w:t>
      </w:r>
    </w:p>
  </w:footnote>
  <w:footnote w:id="97">
    <w:p w14:paraId="31495BCB" w14:textId="413516F4" w:rsidR="00A41BFE" w:rsidRPr="00E72E6E" w:rsidRDefault="00A41BFE" w:rsidP="0067230F">
      <w:pPr>
        <w:pStyle w:val="FootnoteText"/>
        <w:jc w:val="both"/>
      </w:pPr>
      <w:r w:rsidRPr="00E72E6E">
        <w:rPr>
          <w:rStyle w:val="FootnoteReference"/>
        </w:rPr>
        <w:footnoteRef/>
      </w:r>
      <w:r w:rsidRPr="00E72E6E">
        <w:t xml:space="preserve"> </w:t>
      </w:r>
      <w:r w:rsidRPr="00E72E6E">
        <w:rPr>
          <w:i/>
          <w:iCs/>
        </w:rPr>
        <w:t xml:space="preserve">Compare </w:t>
      </w:r>
      <w:proofErr w:type="spellStart"/>
      <w:r w:rsidRPr="00E72E6E">
        <w:rPr>
          <w:i/>
          <w:iCs/>
        </w:rPr>
        <w:t>Chiglo</w:t>
      </w:r>
      <w:proofErr w:type="spellEnd"/>
      <w:r w:rsidRPr="00E72E6E">
        <w:rPr>
          <w:i/>
          <w:iCs/>
        </w:rPr>
        <w:t xml:space="preserve"> v. City of Preston</w:t>
      </w:r>
      <w:r w:rsidRPr="00E72E6E">
        <w:t xml:space="preserve">, 104 F.3d 185, 188 (8th Cir. 1997) (“We conclude that the proposed intervenor must show something more than mere failure to appeal.”); </w:t>
      </w:r>
      <w:r w:rsidRPr="00E72E6E">
        <w:rPr>
          <w:i/>
          <w:iCs/>
        </w:rPr>
        <w:t xml:space="preserve">Orange Env’t, Inc. v. </w:t>
      </w:r>
      <w:proofErr w:type="spellStart"/>
      <w:r w:rsidRPr="00E72E6E">
        <w:rPr>
          <w:i/>
          <w:iCs/>
        </w:rPr>
        <w:t>Cty</w:t>
      </w:r>
      <w:proofErr w:type="spellEnd"/>
      <w:r w:rsidRPr="00E72E6E">
        <w:rPr>
          <w:i/>
          <w:iCs/>
        </w:rPr>
        <w:t>. of Orange</w:t>
      </w:r>
      <w:r w:rsidRPr="00E72E6E">
        <w:t>, 817 F. Supp. 1051, 1061 (S.D.N.Y.)</w:t>
      </w:r>
      <w:r w:rsidR="00CF25D9">
        <w:t>,</w:t>
      </w:r>
      <w:r w:rsidRPr="00E72E6E">
        <w:t xml:space="preserve"> </w:t>
      </w:r>
      <w:r w:rsidRPr="00E72E6E">
        <w:rPr>
          <w:i/>
          <w:iCs/>
        </w:rPr>
        <w:t>with</w:t>
      </w:r>
      <w:r w:rsidRPr="00E72E6E">
        <w:t xml:space="preserve"> </w:t>
      </w:r>
      <w:proofErr w:type="spellStart"/>
      <w:r w:rsidRPr="00E72E6E">
        <w:rPr>
          <w:i/>
          <w:iCs/>
        </w:rPr>
        <w:t>Triax</w:t>
      </w:r>
      <w:proofErr w:type="spellEnd"/>
      <w:r w:rsidRPr="00E72E6E">
        <w:rPr>
          <w:i/>
          <w:iCs/>
        </w:rPr>
        <w:t xml:space="preserve"> Co. v. TRW, Inc.</w:t>
      </w:r>
      <w:r w:rsidRPr="00E72E6E">
        <w:t>, 724 F.2d 1224, 1228 (6th Cir. 1984) (“We conclude that, as of the time [the party] decided not to appeal, its representation of [the proposed intervenor’s] interest became inadequate.”)</w:t>
      </w:r>
      <w:r w:rsidR="00DA09A3">
        <w:t xml:space="preserve">; </w:t>
      </w:r>
      <w:r w:rsidRPr="00E72E6E">
        <w:rPr>
          <w:i/>
          <w:iCs/>
        </w:rPr>
        <w:t>United States v. City of Chicago</w:t>
      </w:r>
      <w:r w:rsidRPr="00E72E6E">
        <w:t>, 897 F.2d 243, 244 (7th Cir. 1990) (“In this circuit intervention to take an appeal is permissible only if the original parties’ decision to discontinue the battle reflects ‘gross negligence or bad faith.’”)</w:t>
      </w:r>
      <w:r w:rsidR="00CF25D9">
        <w:t>;</w:t>
      </w:r>
      <w:r w:rsidRPr="00E72E6E">
        <w:t xml:space="preserve"> </w:t>
      </w:r>
      <w:r w:rsidR="00DA09A3" w:rsidRPr="00DA09A3">
        <w:rPr>
          <w:i/>
          <w:iCs/>
        </w:rPr>
        <w:t xml:space="preserve">Fresno </w:t>
      </w:r>
      <w:proofErr w:type="spellStart"/>
      <w:r w:rsidR="00DA09A3" w:rsidRPr="00DA09A3">
        <w:rPr>
          <w:i/>
          <w:iCs/>
        </w:rPr>
        <w:t>Cnty</w:t>
      </w:r>
      <w:proofErr w:type="spellEnd"/>
      <w:r w:rsidR="00DA09A3" w:rsidRPr="00DA09A3">
        <w:rPr>
          <w:i/>
          <w:iCs/>
        </w:rPr>
        <w:t>. v. Andrus</w:t>
      </w:r>
      <w:r w:rsidR="00DA09A3" w:rsidRPr="00DA09A3">
        <w:t>, 622 F.2d 436, 439 (9th Cir. 1980) (“NLP’s arguments in opposition to the motion for a preliminary injunction were virtually identical to the Department of the Interior</w:t>
      </w:r>
      <w:r w:rsidR="00CF25D9">
        <w:t>’</w:t>
      </w:r>
      <w:r w:rsidR="00DA09A3" w:rsidRPr="00DA09A3">
        <w:t>s arguments, but the Department did not pursue these arguments, as NLP would have, by taking an appeal. This unwillingness indicates that the Department does not represent NLP fully.”)</w:t>
      </w:r>
      <w:r w:rsidR="00DA09A3">
        <w:t xml:space="preserve">; </w:t>
      </w:r>
      <w:proofErr w:type="spellStart"/>
      <w:r w:rsidR="00DA09A3" w:rsidRPr="00DA09A3">
        <w:rPr>
          <w:i/>
          <w:iCs/>
        </w:rPr>
        <w:t>Nuesse</w:t>
      </w:r>
      <w:proofErr w:type="spellEnd"/>
      <w:r w:rsidR="00DA09A3" w:rsidRPr="00DA09A3">
        <w:rPr>
          <w:i/>
          <w:iCs/>
        </w:rPr>
        <w:t xml:space="preserve"> v. Camp</w:t>
      </w:r>
      <w:r w:rsidR="00DA09A3" w:rsidRPr="00DA09A3">
        <w:t>, 385 F.2d 694, 704 n.10 (D.C. Cir. 1967)</w:t>
      </w:r>
      <w:r w:rsidR="00DA09A3">
        <w:t xml:space="preserve"> (</w:t>
      </w:r>
      <w:r w:rsidR="00DA09A3" w:rsidRPr="00DA09A3">
        <w:t>“Of course, even where the interests of a person may have been adequately represented at trial, failure to take an appeal from an adverse judgment may introduce the element of inadequacy, entitling the interested person to intervene after judgment to file an appeal.</w:t>
      </w:r>
      <w:r w:rsidR="00DA09A3">
        <w:t xml:space="preserve">”). </w:t>
      </w:r>
    </w:p>
  </w:footnote>
  <w:footnote w:id="98">
    <w:p w14:paraId="53FCC26D" w14:textId="791AE6D1" w:rsidR="00D94C21" w:rsidRDefault="00D94C21" w:rsidP="0067230F">
      <w:pPr>
        <w:pStyle w:val="FootnoteText"/>
        <w:jc w:val="both"/>
      </w:pPr>
      <w:r>
        <w:rPr>
          <w:rStyle w:val="FootnoteReference"/>
        </w:rPr>
        <w:footnoteRef/>
      </w:r>
      <w:r>
        <w:t xml:space="preserve"> </w:t>
      </w:r>
      <w:r w:rsidRPr="00D94C21">
        <w:rPr>
          <w:i/>
          <w:iCs/>
        </w:rPr>
        <w:t>Conservation L. Found. of New England, Inc. v. Mosbacher</w:t>
      </w:r>
      <w:r>
        <w:t>, 966 F.2d 39, 44 (1st Cir. 1992) (“[E]</w:t>
      </w:r>
      <w:proofErr w:type="spellStart"/>
      <w:r>
        <w:t>vidence</w:t>
      </w:r>
      <w:proofErr w:type="spellEnd"/>
      <w:r>
        <w:t xml:space="preserve"> that parties are ‘sleeping on their oars’ or ‘settlement talks are underway’ may be enough to show inadequacy.”). </w:t>
      </w:r>
    </w:p>
  </w:footnote>
  <w:footnote w:id="99">
    <w:p w14:paraId="7145B160" w14:textId="09004F5C" w:rsidR="00DE722C" w:rsidRPr="00E72E6E" w:rsidRDefault="00DE722C" w:rsidP="0067230F">
      <w:pPr>
        <w:pStyle w:val="FootnoteText"/>
        <w:jc w:val="both"/>
      </w:pPr>
      <w:r w:rsidRPr="00E72E6E">
        <w:rPr>
          <w:rStyle w:val="FootnoteReference"/>
        </w:rPr>
        <w:footnoteRef/>
      </w:r>
      <w:r w:rsidRPr="00E72E6E">
        <w:t xml:space="preserve"> Rule 24 is closely tied, in both purpose and form, to other joinder rules like Rule 19 (joinder of necessary parties) and Rule 23 (class actions). </w:t>
      </w:r>
      <w:r w:rsidRPr="00E72E6E">
        <w:rPr>
          <w:i/>
          <w:iCs/>
        </w:rPr>
        <w:t xml:space="preserve">See </w:t>
      </w:r>
      <w:r w:rsidR="00347F9E">
        <w:t xml:space="preserve">Amendments, </w:t>
      </w:r>
      <w:r w:rsidRPr="00E72E6E">
        <w:t xml:space="preserve">39 F.R.D. </w:t>
      </w:r>
      <w:r w:rsidR="00347F9E">
        <w:t xml:space="preserve">at </w:t>
      </w:r>
      <w:r w:rsidRPr="00E72E6E">
        <w:t>88-94, 95-107.</w:t>
      </w:r>
      <w:r w:rsidR="00847628">
        <w:t xml:space="preserve"> </w:t>
      </w:r>
    </w:p>
  </w:footnote>
  <w:footnote w:id="100">
    <w:p w14:paraId="05FDB170" w14:textId="13C3AE2B" w:rsidR="00847628" w:rsidRPr="00E75A6E" w:rsidRDefault="00847628" w:rsidP="0067230F">
      <w:pPr>
        <w:pStyle w:val="FootnoteText"/>
        <w:jc w:val="both"/>
      </w:pPr>
      <w:r>
        <w:rPr>
          <w:rStyle w:val="FootnoteReference"/>
        </w:rPr>
        <w:footnoteRef/>
      </w:r>
      <w:r>
        <w:t xml:space="preserve"> These values also align with </w:t>
      </w:r>
      <w:r w:rsidR="00C57C18">
        <w:t xml:space="preserve">the </w:t>
      </w:r>
      <w:r>
        <w:t xml:space="preserve">pronounced goals of the federal rules </w:t>
      </w:r>
      <w:r w:rsidR="00E75A6E">
        <w:t>to</w:t>
      </w:r>
      <w:r>
        <w:t xml:space="preserve"> make litigation “just, speedy, and inexpensive.” Fed. R. Civ. P. 1</w:t>
      </w:r>
      <w:r w:rsidR="00E75A6E">
        <w:t xml:space="preserve">; </w:t>
      </w:r>
      <w:r w:rsidR="00E75A6E">
        <w:rPr>
          <w:i/>
          <w:iCs/>
        </w:rPr>
        <w:t xml:space="preserve">see </w:t>
      </w:r>
      <w:r w:rsidR="002C46F4">
        <w:rPr>
          <w:i/>
          <w:iCs/>
        </w:rPr>
        <w:t>generally</w:t>
      </w:r>
      <w:r w:rsidR="00E75A6E">
        <w:rPr>
          <w:i/>
          <w:iCs/>
        </w:rPr>
        <w:t xml:space="preserve"> </w:t>
      </w:r>
      <w:r w:rsidR="00E75A6E">
        <w:t xml:space="preserve">Stephen B. Burbank, </w:t>
      </w:r>
      <w:r w:rsidR="00E75A6E">
        <w:rPr>
          <w:i/>
          <w:iCs/>
        </w:rPr>
        <w:t>The Rules Enabling Act of 1934</w:t>
      </w:r>
      <w:r w:rsidR="00E75A6E">
        <w:t xml:space="preserve">, 130 U. Pa. L. Rev. 1015 (1982). </w:t>
      </w:r>
      <w:r w:rsidR="0082776E">
        <w:t>The goals of any procedural rule are disputed. And many disagree both about how to define those values and how to prioritize overlapping and conflicting values. This section provides a brief overview of the three that commonly arise in Rule 24 literature, without taking a position on whether this is the best way to articulate these values or how these values should be properly balanced writ large.</w:t>
      </w:r>
    </w:p>
  </w:footnote>
  <w:footnote w:id="101">
    <w:p w14:paraId="19B2B600" w14:textId="03796FD0" w:rsidR="00DE722C" w:rsidRPr="00E72E6E" w:rsidRDefault="00DE722C" w:rsidP="0067230F">
      <w:pPr>
        <w:pStyle w:val="FootnoteText"/>
        <w:jc w:val="both"/>
      </w:pPr>
      <w:r w:rsidRPr="00E72E6E">
        <w:rPr>
          <w:rStyle w:val="FootnoteReference"/>
        </w:rPr>
        <w:footnoteRef/>
      </w:r>
      <w:r w:rsidRPr="00E72E6E">
        <w:t xml:space="preserve"> Moore &amp; Levi, </w:t>
      </w:r>
      <w:r w:rsidR="002D62B6">
        <w:rPr>
          <w:i/>
          <w:iCs/>
        </w:rPr>
        <w:t xml:space="preserve">Federal </w:t>
      </w:r>
      <w:r w:rsidR="002D62B6" w:rsidRPr="00E72E6E">
        <w:rPr>
          <w:i/>
          <w:iCs/>
        </w:rPr>
        <w:t>Intervention I</w:t>
      </w:r>
      <w:r w:rsidR="002D62B6">
        <w:t>,</w:t>
      </w:r>
      <w:r w:rsidR="002D62B6" w:rsidRPr="00E72E6E">
        <w:rPr>
          <w:i/>
          <w:iCs/>
        </w:rPr>
        <w:t xml:space="preserve"> </w:t>
      </w:r>
      <w:r w:rsidR="0022124F" w:rsidRPr="00E72E6E">
        <w:rPr>
          <w:i/>
          <w:iCs/>
        </w:rPr>
        <w:t>supra</w:t>
      </w:r>
      <w:r w:rsidR="0022124F" w:rsidRPr="00E72E6E">
        <w:t xml:space="preserve">, </w:t>
      </w:r>
      <w:r w:rsidRPr="00E72E6E">
        <w:t>at 565</w:t>
      </w:r>
      <w:r w:rsidR="0082776E">
        <w:t>, 567</w:t>
      </w:r>
      <w:r w:rsidRPr="00E72E6E">
        <w:t>. That value has been continually expressed</w:t>
      </w:r>
      <w:r w:rsidR="00643638">
        <w:t xml:space="preserve"> throughout </w:t>
      </w:r>
      <w:r w:rsidRPr="00E72E6E">
        <w:t>Rule 24</w:t>
      </w:r>
      <w:r w:rsidR="00643638">
        <w:t>’s amendments</w:t>
      </w:r>
      <w:r w:rsidRPr="00E72E6E">
        <w:t xml:space="preserve">. </w:t>
      </w:r>
      <w:r w:rsidRPr="00E72E6E">
        <w:rPr>
          <w:i/>
          <w:iCs/>
        </w:rPr>
        <w:t xml:space="preserve">See </w:t>
      </w:r>
      <w:r w:rsidR="00643638">
        <w:t>Amendments, 39 F.R.D. at 109-110</w:t>
      </w:r>
      <w:r w:rsidRPr="00E72E6E">
        <w:t xml:space="preserve">; </w:t>
      </w:r>
      <w:r w:rsidRPr="00E72E6E">
        <w:rPr>
          <w:i/>
          <w:iCs/>
        </w:rPr>
        <w:t>Hodgson v. United Mine Workers of Am.</w:t>
      </w:r>
      <w:r w:rsidRPr="00E72E6E">
        <w:t>, 473 F.2d 118, 130 (D.C. Cir. 1972) (“The right of intervention conferred by Rule 24 implements the basic jurisprudential assumption that the interest of justice is best served when all parties with a real stake in a controversy are afforded an opportunity to be heard.”).</w:t>
      </w:r>
    </w:p>
  </w:footnote>
  <w:footnote w:id="102">
    <w:p w14:paraId="77FCD6DE" w14:textId="4528077C" w:rsidR="00DE722C" w:rsidRPr="00E72E6E" w:rsidRDefault="00DE722C" w:rsidP="0067230F">
      <w:pPr>
        <w:pStyle w:val="FootnoteText"/>
        <w:jc w:val="both"/>
      </w:pPr>
      <w:r w:rsidRPr="00E72E6E">
        <w:rPr>
          <w:rStyle w:val="FootnoteReference"/>
        </w:rPr>
        <w:footnoteRef/>
      </w:r>
      <w:r w:rsidRPr="00E72E6E">
        <w:t xml:space="preserve"> Nelson, </w:t>
      </w:r>
      <w:r w:rsidRPr="00E72E6E">
        <w:rPr>
          <w:i/>
          <w:iCs/>
        </w:rPr>
        <w:t>supra</w:t>
      </w:r>
      <w:r w:rsidRPr="00E72E6E">
        <w:t xml:space="preserve">, </w:t>
      </w:r>
      <w:r w:rsidR="00294D6A">
        <w:t xml:space="preserve">at </w:t>
      </w:r>
      <w:r w:rsidRPr="00E72E6E">
        <w:t>361 (describing the evolution of public</w:t>
      </w:r>
      <w:r w:rsidR="00DC4299">
        <w:t>-</w:t>
      </w:r>
      <w:r w:rsidRPr="00E72E6E">
        <w:t xml:space="preserve">law litigation and participation in federal court); Tobias, </w:t>
      </w:r>
      <w:r w:rsidR="00DC4299">
        <w:rPr>
          <w:i/>
          <w:iCs/>
        </w:rPr>
        <w:t>Public Law</w:t>
      </w:r>
      <w:r w:rsidR="00DC4299">
        <w:t>,</w:t>
      </w:r>
      <w:r w:rsidR="00DC4299">
        <w:rPr>
          <w:i/>
          <w:iCs/>
        </w:rPr>
        <w:t xml:space="preserve"> </w:t>
      </w:r>
      <w:r w:rsidRPr="00E72E6E">
        <w:rPr>
          <w:i/>
          <w:iCs/>
        </w:rPr>
        <w:t>supra</w:t>
      </w:r>
      <w:r w:rsidRPr="00E72E6E">
        <w:t>,</w:t>
      </w:r>
      <w:r w:rsidRPr="00E72E6E">
        <w:rPr>
          <w:i/>
          <w:iCs/>
        </w:rPr>
        <w:t xml:space="preserve"> </w:t>
      </w:r>
      <w:r w:rsidRPr="00E72E6E">
        <w:t>at 328-29.</w:t>
      </w:r>
    </w:p>
  </w:footnote>
  <w:footnote w:id="103">
    <w:p w14:paraId="39CBFDAE" w14:textId="4A271ECD"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Martin v. Wilks</w:t>
      </w:r>
      <w:r w:rsidRPr="00E72E6E">
        <w:t xml:space="preserve">, 490 U.S. 755, 762 (1989). </w:t>
      </w:r>
    </w:p>
  </w:footnote>
  <w:footnote w:id="104">
    <w:p w14:paraId="61CFDFF0" w14:textId="6F6303EA"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 xml:space="preserve">See </w:t>
      </w:r>
      <w:proofErr w:type="spellStart"/>
      <w:r w:rsidRPr="00E72E6E">
        <w:t>Bayefsky</w:t>
      </w:r>
      <w:proofErr w:type="spellEnd"/>
      <w:r w:rsidRPr="00E72E6E">
        <w:t xml:space="preserve">, </w:t>
      </w:r>
      <w:r w:rsidRPr="00E72E6E">
        <w:rPr>
          <w:i/>
          <w:iCs/>
        </w:rPr>
        <w:t>Remedies and Respect</w:t>
      </w:r>
      <w:r w:rsidR="00DC4299">
        <w:t xml:space="preserve">, </w:t>
      </w:r>
      <w:r w:rsidR="00DC4299">
        <w:rPr>
          <w:i/>
          <w:iCs/>
        </w:rPr>
        <w:t>supra</w:t>
      </w:r>
      <w:r w:rsidR="00DC4299">
        <w:t xml:space="preserve">, at </w:t>
      </w:r>
      <w:r w:rsidRPr="00E72E6E">
        <w:t xml:space="preserve">1303 (2021); Susan P. Sturm, </w:t>
      </w:r>
      <w:r w:rsidRPr="00E72E6E">
        <w:rPr>
          <w:i/>
          <w:iCs/>
        </w:rPr>
        <w:t>A Normative Theory of Public Law Remedies</w:t>
      </w:r>
      <w:r w:rsidRPr="00E72E6E">
        <w:t>, 79 G</w:t>
      </w:r>
      <w:r w:rsidR="00DC4299">
        <w:t>eo</w:t>
      </w:r>
      <w:r w:rsidRPr="00E72E6E">
        <w:t>. L.J. 1355, 1393</w:t>
      </w:r>
      <w:r w:rsidR="00294D6A">
        <w:t>-</w:t>
      </w:r>
      <w:r w:rsidRPr="00E72E6E">
        <w:t>96 (1991)</w:t>
      </w:r>
      <w:r w:rsidR="000F4BF4">
        <w:t xml:space="preserve"> (hereinafter “Public Law”)</w:t>
      </w:r>
      <w:r w:rsidR="002A3838">
        <w:t xml:space="preserve">; </w:t>
      </w:r>
      <w:r w:rsidR="002A3838" w:rsidRPr="002A3838">
        <w:t xml:space="preserve">Richard B. Stewart &amp; Cass R. Sunstein, </w:t>
      </w:r>
      <w:r w:rsidR="002A3838" w:rsidRPr="002A3838">
        <w:rPr>
          <w:i/>
          <w:iCs/>
        </w:rPr>
        <w:t>Public Programs and Private Rights</w:t>
      </w:r>
      <w:r w:rsidR="002A3838" w:rsidRPr="002A3838">
        <w:t xml:space="preserve">, 95 </w:t>
      </w:r>
      <w:r w:rsidR="002A3838">
        <w:t xml:space="preserve">Harv. L. Rev. </w:t>
      </w:r>
      <w:r w:rsidR="002A3838" w:rsidRPr="002A3838">
        <w:t>1193</w:t>
      </w:r>
      <w:r w:rsidR="002A3838">
        <w:t>, 1279-80</w:t>
      </w:r>
      <w:r w:rsidR="002A3838" w:rsidRPr="002A3838">
        <w:t xml:space="preserve"> (1982)</w:t>
      </w:r>
      <w:r w:rsidR="002A3838">
        <w:t xml:space="preserve">; </w:t>
      </w:r>
      <w:r w:rsidR="002A3838" w:rsidRPr="002A3838">
        <w:t xml:space="preserve">Randolph D. Moss, </w:t>
      </w:r>
      <w:r w:rsidR="002A3838" w:rsidRPr="002A3838">
        <w:rPr>
          <w:i/>
          <w:iCs/>
        </w:rPr>
        <w:t>Participation and Department of Justice School Desegregation Consent Decrees</w:t>
      </w:r>
      <w:r w:rsidR="002A3838" w:rsidRPr="002A3838">
        <w:t>, 95 Y</w:t>
      </w:r>
      <w:r w:rsidR="002A3838">
        <w:t>ale</w:t>
      </w:r>
      <w:r w:rsidR="002A3838" w:rsidRPr="002A3838">
        <w:t xml:space="preserve"> L.J. 1811</w:t>
      </w:r>
      <w:r w:rsidR="002A3838">
        <w:t>, 1815-17</w:t>
      </w:r>
      <w:r w:rsidR="002A3838" w:rsidRPr="002A3838">
        <w:t xml:space="preserve"> (1986).</w:t>
      </w:r>
    </w:p>
  </w:footnote>
  <w:footnote w:id="105">
    <w:p w14:paraId="7ECEF152" w14:textId="6066B939" w:rsidR="00DE722C" w:rsidRPr="00E72E6E" w:rsidRDefault="00DE722C" w:rsidP="0067230F">
      <w:pPr>
        <w:pStyle w:val="FootnoteText"/>
        <w:jc w:val="both"/>
      </w:pPr>
      <w:r w:rsidRPr="00E72E6E">
        <w:rPr>
          <w:rStyle w:val="FootnoteReference"/>
        </w:rPr>
        <w:footnoteRef/>
      </w:r>
      <w:r w:rsidRPr="00E72E6E">
        <w:t xml:space="preserve"> Lawrence B. Solum, </w:t>
      </w:r>
      <w:r w:rsidRPr="00E72E6E">
        <w:rPr>
          <w:i/>
          <w:iCs/>
        </w:rPr>
        <w:t>Procedural Justice</w:t>
      </w:r>
      <w:r w:rsidRPr="00E72E6E">
        <w:t xml:space="preserve">, 78 S. Cal. L. Rev. 181, 279 (2004) (“[T]he legitimacy of adjudication depends on affording those who are to be bound a right to participate, either directly or through adequate representation.”); </w:t>
      </w:r>
      <w:r w:rsidRPr="00E72E6E">
        <w:rPr>
          <w:i/>
          <w:iCs/>
        </w:rPr>
        <w:t>id.</w:t>
      </w:r>
      <w:r w:rsidRPr="00E72E6E">
        <w:t xml:space="preserve"> at 262-81, 286-89;</w:t>
      </w:r>
      <w:r w:rsidR="00CA1B0E">
        <w:t xml:space="preserve"> </w:t>
      </w:r>
      <w:r w:rsidRPr="00E72E6E">
        <w:t xml:space="preserve">Robert G. Bone, </w:t>
      </w:r>
      <w:r w:rsidRPr="00E72E6E">
        <w:rPr>
          <w:i/>
          <w:iCs/>
        </w:rPr>
        <w:t>Statistical Adjudication: Rights, Justice, and Utility in a World of Process Scarcity</w:t>
      </w:r>
      <w:r w:rsidRPr="00E72E6E">
        <w:t xml:space="preserve">, 46 </w:t>
      </w:r>
      <w:proofErr w:type="spellStart"/>
      <w:r w:rsidRPr="00E72E6E">
        <w:t>Vand</w:t>
      </w:r>
      <w:proofErr w:type="spellEnd"/>
      <w:r w:rsidRPr="00E72E6E">
        <w:t>. L. Rev. 561,</w:t>
      </w:r>
      <w:r w:rsidRPr="00E72E6E">
        <w:rPr>
          <w:i/>
          <w:iCs/>
        </w:rPr>
        <w:t xml:space="preserve"> </w:t>
      </w:r>
      <w:r w:rsidRPr="00E72E6E">
        <w:t xml:space="preserve">625 (1993) (“A strong participation right can be justified only by a normative theory of process value that grounds the value of participation in the conditions of adjudicate legitimacy, such as respect for a party’s dignity or autonomy.”); </w:t>
      </w:r>
      <w:r w:rsidR="00CA1B0E" w:rsidRPr="00E72E6E">
        <w:t xml:space="preserve">William N. Eskridge, Jr., </w:t>
      </w:r>
      <w:proofErr w:type="spellStart"/>
      <w:r w:rsidR="00CA1B0E" w:rsidRPr="00E72E6E">
        <w:rPr>
          <w:i/>
          <w:iCs/>
        </w:rPr>
        <w:t>Metaprocedure</w:t>
      </w:r>
      <w:proofErr w:type="spellEnd"/>
      <w:r w:rsidR="00CA1B0E" w:rsidRPr="00E72E6E">
        <w:t>, 98 Yale L.J. 945, 952 (1989)</w:t>
      </w:r>
      <w:r w:rsidR="00CA1B0E">
        <w:t xml:space="preserve">; </w:t>
      </w:r>
      <w:r w:rsidR="00CA1B0E" w:rsidRPr="00CA1B0E">
        <w:t xml:space="preserve">Owen M. </w:t>
      </w:r>
      <w:proofErr w:type="spellStart"/>
      <w:r w:rsidR="00CA1B0E" w:rsidRPr="00CA1B0E">
        <w:t>Fiss</w:t>
      </w:r>
      <w:proofErr w:type="spellEnd"/>
      <w:r w:rsidR="00CA1B0E" w:rsidRPr="00CA1B0E">
        <w:t xml:space="preserve">, </w:t>
      </w:r>
      <w:r w:rsidR="00CA1B0E" w:rsidRPr="00CA1B0E">
        <w:rPr>
          <w:i/>
          <w:iCs/>
        </w:rPr>
        <w:t>Foreword: The Forms of Justice</w:t>
      </w:r>
      <w:r w:rsidR="00CA1B0E" w:rsidRPr="00CA1B0E">
        <w:t xml:space="preserve">, 93 Harv. L. Rev. 1, </w:t>
      </w:r>
      <w:r w:rsidR="00CA1B0E">
        <w:t>42</w:t>
      </w:r>
      <w:r w:rsidR="00CA1B0E" w:rsidRPr="00CA1B0E">
        <w:t xml:space="preserve"> (1979)</w:t>
      </w:r>
      <w:r w:rsidR="00CA1B0E">
        <w:t xml:space="preserve">; </w:t>
      </w:r>
      <w:r w:rsidR="00CA1B0E" w:rsidRPr="00CA1B0E">
        <w:t xml:space="preserve">Lon L. Fuller, </w:t>
      </w:r>
      <w:r w:rsidR="00CA1B0E" w:rsidRPr="00CA1B0E">
        <w:rPr>
          <w:i/>
          <w:iCs/>
        </w:rPr>
        <w:t>The Forms and Limits of Adjudication</w:t>
      </w:r>
      <w:r w:rsidR="00CA1B0E" w:rsidRPr="00CA1B0E">
        <w:t>, 92 H</w:t>
      </w:r>
      <w:r w:rsidR="00CA1B0E">
        <w:t>arv</w:t>
      </w:r>
      <w:r w:rsidR="00CA1B0E" w:rsidRPr="00CA1B0E">
        <w:t>. L. R</w:t>
      </w:r>
      <w:r w:rsidR="00CA1B0E">
        <w:t>ev</w:t>
      </w:r>
      <w:r w:rsidR="00CA1B0E" w:rsidRPr="00CA1B0E">
        <w:t>. 353</w:t>
      </w:r>
      <w:r w:rsidR="00CA1B0E">
        <w:t>, 364</w:t>
      </w:r>
      <w:r w:rsidR="00CA1B0E" w:rsidRPr="00CA1B0E">
        <w:t xml:space="preserve"> (1978</w:t>
      </w:r>
      <w:r w:rsidR="00CA1B0E" w:rsidRPr="00E753DB">
        <w:t xml:space="preserve">); </w:t>
      </w:r>
      <w:r w:rsidRPr="00E753DB">
        <w:rPr>
          <w:i/>
          <w:iCs/>
        </w:rPr>
        <w:t xml:space="preserve">see also </w:t>
      </w:r>
      <w:r w:rsidRPr="00E753DB">
        <w:t xml:space="preserve">Christopher J. Peters, </w:t>
      </w:r>
      <w:r w:rsidRPr="00E753DB">
        <w:rPr>
          <w:i/>
          <w:iCs/>
        </w:rPr>
        <w:t>Adjudication as Representation</w:t>
      </w:r>
      <w:r w:rsidRPr="00E753DB">
        <w:t>, 97 Colum. L. Rev. 312</w:t>
      </w:r>
      <w:r w:rsidR="00C91783" w:rsidRPr="00E753DB">
        <w:t>, 320</w:t>
      </w:r>
      <w:r w:rsidRPr="00E753DB">
        <w:t xml:space="preserve"> (1997); </w:t>
      </w:r>
      <w:r w:rsidR="00C91783" w:rsidRPr="00E753DB">
        <w:t xml:space="preserve">Sturm, </w:t>
      </w:r>
      <w:r w:rsidR="00B01C24" w:rsidRPr="00E753DB">
        <w:rPr>
          <w:i/>
          <w:iCs/>
        </w:rPr>
        <w:t>supra</w:t>
      </w:r>
      <w:r w:rsidR="00B01C24" w:rsidRPr="00E753DB">
        <w:t>,</w:t>
      </w:r>
      <w:r w:rsidR="00B01C24" w:rsidRPr="00E753DB">
        <w:rPr>
          <w:i/>
          <w:iCs/>
        </w:rPr>
        <w:t xml:space="preserve"> </w:t>
      </w:r>
      <w:r w:rsidR="00B01C24" w:rsidRPr="00E753DB">
        <w:t xml:space="preserve">at </w:t>
      </w:r>
      <w:r w:rsidR="00C91783" w:rsidRPr="00E753DB">
        <w:t xml:space="preserve">1391-93; Eric K. Yamamoto, </w:t>
      </w:r>
      <w:r w:rsidR="00C91783" w:rsidRPr="00E753DB">
        <w:rPr>
          <w:i/>
          <w:iCs/>
        </w:rPr>
        <w:t>Efficiency’s Threat to the Value of Accessible Courts for Minorities</w:t>
      </w:r>
      <w:r w:rsidR="00C91783" w:rsidRPr="00E753DB">
        <w:t xml:space="preserve">, 25 Harv. C.R.-C.L. L. </w:t>
      </w:r>
      <w:r w:rsidR="00B01C24" w:rsidRPr="00E753DB">
        <w:t>R</w:t>
      </w:r>
      <w:r w:rsidR="00C91783" w:rsidRPr="00E753DB">
        <w:t>ev. 341, 387 (1990)</w:t>
      </w:r>
      <w:r w:rsidR="00CA1B0E" w:rsidRPr="00E753DB">
        <w:t>.</w:t>
      </w:r>
      <w:r w:rsidR="00C91783">
        <w:t xml:space="preserve"> </w:t>
      </w:r>
    </w:p>
  </w:footnote>
  <w:footnote w:id="106">
    <w:p w14:paraId="4077EF36" w14:textId="77777777" w:rsidR="00F0061B" w:rsidRPr="00E72E6E" w:rsidRDefault="00F0061B" w:rsidP="00F0061B">
      <w:pPr>
        <w:pStyle w:val="FootnoteText"/>
        <w:jc w:val="both"/>
      </w:pPr>
      <w:r w:rsidRPr="00E72E6E">
        <w:rPr>
          <w:rStyle w:val="FootnoteReference"/>
        </w:rPr>
        <w:footnoteRef/>
      </w:r>
      <w:r w:rsidRPr="00E72E6E">
        <w:t xml:space="preserve"> </w:t>
      </w:r>
      <w:r w:rsidRPr="00E72E6E">
        <w:rPr>
          <w:i/>
          <w:iCs/>
        </w:rPr>
        <w:t>See, e.g.</w:t>
      </w:r>
      <w:r w:rsidRPr="00E72E6E">
        <w:t xml:space="preserve">, Kennedy, </w:t>
      </w:r>
      <w:r w:rsidRPr="00E72E6E">
        <w:rPr>
          <w:i/>
          <w:iCs/>
        </w:rPr>
        <w:t>supra</w:t>
      </w:r>
      <w:r w:rsidRPr="00E72E6E">
        <w:t>,</w:t>
      </w:r>
      <w:r w:rsidRPr="00E72E6E">
        <w:rPr>
          <w:i/>
          <w:iCs/>
        </w:rPr>
        <w:t xml:space="preserve"> </w:t>
      </w:r>
      <w:r w:rsidRPr="00E72E6E">
        <w:t xml:space="preserve">at 375; Ernest E. Shaver, Note, </w:t>
      </w:r>
      <w:r w:rsidRPr="00E72E6E">
        <w:rPr>
          <w:i/>
          <w:iCs/>
        </w:rPr>
        <w:t>Intervention in the Public Interest Under Rule 24(a)(2) of the Federal Rules of Civil Procedure</w:t>
      </w:r>
      <w:r w:rsidRPr="00E72E6E">
        <w:t>, 45 Wash. &amp; Lee L. Rev. 1549, 1571 (1988).</w:t>
      </w:r>
    </w:p>
  </w:footnote>
  <w:footnote w:id="107">
    <w:p w14:paraId="640CCFA6" w14:textId="24325A96" w:rsidR="00DE722C" w:rsidRPr="00E72E6E" w:rsidRDefault="00DE722C" w:rsidP="0067230F">
      <w:pPr>
        <w:pStyle w:val="FootnoteText"/>
        <w:jc w:val="both"/>
      </w:pPr>
      <w:r w:rsidRPr="00E72E6E">
        <w:rPr>
          <w:rStyle w:val="FootnoteReference"/>
        </w:rPr>
        <w:footnoteRef/>
      </w:r>
      <w:r w:rsidRPr="00E72E6E">
        <w:t xml:space="preserve"> Abram Chayes, </w:t>
      </w:r>
      <w:r w:rsidRPr="00E72E6E">
        <w:rPr>
          <w:i/>
          <w:iCs/>
        </w:rPr>
        <w:t>The Role of the Judge in Public Law Litigation</w:t>
      </w:r>
      <w:r w:rsidRPr="00E72E6E">
        <w:t xml:space="preserve">, 89 Harv. L. Rev. 1281 (1976) </w:t>
      </w:r>
      <w:r w:rsidR="00D92A29">
        <w:t>(hereinafter “Public Law”)</w:t>
      </w:r>
      <w:r w:rsidRPr="00E72E6E">
        <w:t xml:space="preserve">; Appel, </w:t>
      </w:r>
      <w:r w:rsidRPr="00E72E6E">
        <w:rPr>
          <w:i/>
          <w:iCs/>
        </w:rPr>
        <w:t>supra</w:t>
      </w:r>
      <w:r w:rsidRPr="00E72E6E">
        <w:t xml:space="preserve">, </w:t>
      </w:r>
      <w:r w:rsidR="00294D6A">
        <w:t xml:space="preserve">at </w:t>
      </w:r>
      <w:r w:rsidRPr="00E72E6E">
        <w:t>298-99.</w:t>
      </w:r>
    </w:p>
  </w:footnote>
  <w:footnote w:id="108">
    <w:p w14:paraId="053336E5" w14:textId="77777777" w:rsidR="00DE722C" w:rsidRPr="00E72E6E" w:rsidRDefault="00DE722C" w:rsidP="0067230F">
      <w:pPr>
        <w:pStyle w:val="FootnoteText"/>
        <w:jc w:val="both"/>
      </w:pPr>
      <w:r w:rsidRPr="00E72E6E">
        <w:rPr>
          <w:rStyle w:val="FootnoteReference"/>
        </w:rPr>
        <w:footnoteRef/>
      </w:r>
      <w:r w:rsidRPr="00E72E6E">
        <w:t xml:space="preserve"> Shapiro, </w:t>
      </w:r>
      <w:r w:rsidRPr="00E72E6E">
        <w:rPr>
          <w:i/>
          <w:iCs/>
        </w:rPr>
        <w:t>supra</w:t>
      </w:r>
      <w:r w:rsidRPr="00E72E6E">
        <w:t xml:space="preserve">, at 756. </w:t>
      </w:r>
    </w:p>
  </w:footnote>
  <w:footnote w:id="109">
    <w:p w14:paraId="18CD9495" w14:textId="77777777" w:rsidR="00DE722C" w:rsidRPr="00E72E6E" w:rsidRDefault="00DE722C" w:rsidP="0067230F">
      <w:pPr>
        <w:pStyle w:val="FootnoteText"/>
        <w:jc w:val="both"/>
      </w:pPr>
      <w:r w:rsidRPr="00E72E6E">
        <w:rPr>
          <w:rStyle w:val="FootnoteReference"/>
        </w:rPr>
        <w:footnoteRef/>
      </w:r>
      <w:r w:rsidRPr="00E72E6E">
        <w:t xml:space="preserve"> Appel, </w:t>
      </w:r>
      <w:r w:rsidRPr="00E72E6E">
        <w:rPr>
          <w:i/>
          <w:iCs/>
        </w:rPr>
        <w:t>supra</w:t>
      </w:r>
      <w:r w:rsidRPr="00E72E6E">
        <w:t xml:space="preserve">, at 298. </w:t>
      </w:r>
    </w:p>
  </w:footnote>
  <w:footnote w:id="110">
    <w:p w14:paraId="0BC6911E" w14:textId="557E4544" w:rsidR="00D82778" w:rsidRPr="00D82778" w:rsidRDefault="00D82778" w:rsidP="0067230F">
      <w:pPr>
        <w:pStyle w:val="FootnoteText"/>
        <w:jc w:val="both"/>
      </w:pPr>
      <w:r>
        <w:rPr>
          <w:rStyle w:val="FootnoteReference"/>
        </w:rPr>
        <w:footnoteRef/>
      </w:r>
      <w:r>
        <w:t xml:space="preserve"> Jeremy Waldron, </w:t>
      </w:r>
      <w:r>
        <w:rPr>
          <w:i/>
          <w:iCs/>
        </w:rPr>
        <w:t xml:space="preserve">The Rule of </w:t>
      </w:r>
      <w:proofErr w:type="gramStart"/>
      <w:r>
        <w:rPr>
          <w:i/>
          <w:iCs/>
        </w:rPr>
        <w:t>Law</w:t>
      </w:r>
      <w:proofErr w:type="gramEnd"/>
      <w:r>
        <w:rPr>
          <w:i/>
          <w:iCs/>
        </w:rPr>
        <w:t xml:space="preserve"> and Importance of Procedure</w:t>
      </w:r>
      <w:r>
        <w:t>, 50 Nomos: Am. Soc’y Pol. Legal Phil. 3, 26 (2011) (“[P]</w:t>
      </w:r>
      <w:proofErr w:type="spellStart"/>
      <w:r>
        <w:t>eople</w:t>
      </w:r>
      <w:proofErr w:type="spellEnd"/>
      <w:r>
        <w:t xml:space="preserve"> rely on [the court’s] articulated procedures as indicating the points of access at which citizens can hope to influence and participate in their proceedings.”). </w:t>
      </w:r>
    </w:p>
  </w:footnote>
  <w:footnote w:id="111">
    <w:p w14:paraId="5940C0B1" w14:textId="2947E941" w:rsidR="00DE722C" w:rsidRPr="00E72E6E" w:rsidRDefault="00DE722C" w:rsidP="0067230F">
      <w:pPr>
        <w:pStyle w:val="FootnoteText"/>
        <w:jc w:val="both"/>
      </w:pPr>
      <w:r w:rsidRPr="00E72E6E">
        <w:rPr>
          <w:rStyle w:val="FootnoteReference"/>
        </w:rPr>
        <w:footnoteRef/>
      </w:r>
      <w:r w:rsidRPr="00E72E6E">
        <w:t xml:space="preserve"> </w:t>
      </w:r>
      <w:proofErr w:type="spellStart"/>
      <w:r w:rsidRPr="00E72E6E">
        <w:rPr>
          <w:i/>
          <w:iCs/>
        </w:rPr>
        <w:t>Nuesse</w:t>
      </w:r>
      <w:proofErr w:type="spellEnd"/>
      <w:r w:rsidRPr="00E72E6E">
        <w:rPr>
          <w:i/>
          <w:iCs/>
        </w:rPr>
        <w:t xml:space="preserve"> v. Camp</w:t>
      </w:r>
      <w:r w:rsidRPr="00E72E6E">
        <w:t>, 385 F.2d 694, 704 n.10 (D.C. Cir. 1967).</w:t>
      </w:r>
    </w:p>
  </w:footnote>
  <w:footnote w:id="112">
    <w:p w14:paraId="242D1AD2" w14:textId="3074B875" w:rsidR="00DE722C" w:rsidRPr="00E72E6E" w:rsidRDefault="00DE722C" w:rsidP="0067230F">
      <w:pPr>
        <w:pStyle w:val="FootnoteText"/>
        <w:jc w:val="both"/>
      </w:pPr>
      <w:r w:rsidRPr="00E72E6E">
        <w:rPr>
          <w:rStyle w:val="FootnoteReference"/>
        </w:rPr>
        <w:footnoteRef/>
      </w:r>
      <w:r w:rsidRPr="00E72E6E">
        <w:t xml:space="preserve"> </w:t>
      </w:r>
      <w:r w:rsidR="00AF379F">
        <w:rPr>
          <w:i/>
          <w:iCs/>
        </w:rPr>
        <w:t>Id.</w:t>
      </w:r>
      <w:r w:rsidR="00AF379F">
        <w:t xml:space="preserve"> </w:t>
      </w:r>
    </w:p>
  </w:footnote>
  <w:footnote w:id="113">
    <w:p w14:paraId="716ABFEE" w14:textId="686E6524" w:rsidR="00DE722C" w:rsidRPr="00E72E6E" w:rsidRDefault="00DE722C" w:rsidP="0067230F">
      <w:pPr>
        <w:pStyle w:val="FootnoteText"/>
        <w:jc w:val="both"/>
      </w:pPr>
      <w:r w:rsidRPr="00E72E6E">
        <w:rPr>
          <w:rStyle w:val="FootnoteReference"/>
        </w:rPr>
        <w:footnoteRef/>
      </w:r>
      <w:r w:rsidRPr="00E72E6E">
        <w:t xml:space="preserve"> Appel, </w:t>
      </w:r>
      <w:r w:rsidRPr="00E72E6E">
        <w:rPr>
          <w:i/>
          <w:iCs/>
        </w:rPr>
        <w:t>supra</w:t>
      </w:r>
      <w:r w:rsidRPr="00E72E6E">
        <w:t xml:space="preserve">, at 299. </w:t>
      </w:r>
    </w:p>
  </w:footnote>
  <w:footnote w:id="114">
    <w:p w14:paraId="2751FEE7" w14:textId="0ACC5739" w:rsidR="00DE722C" w:rsidRPr="00E72E6E" w:rsidRDefault="00DE722C" w:rsidP="0067230F">
      <w:pPr>
        <w:pStyle w:val="FootnoteText"/>
        <w:jc w:val="both"/>
      </w:pPr>
      <w:r w:rsidRPr="00E72E6E">
        <w:rPr>
          <w:rStyle w:val="FootnoteReference"/>
        </w:rPr>
        <w:footnoteRef/>
      </w:r>
      <w:r w:rsidRPr="00E72E6E">
        <w:t xml:space="preserve"> </w:t>
      </w:r>
      <w:r w:rsidR="00C814A6" w:rsidRPr="00FA09A9">
        <w:rPr>
          <w:i/>
          <w:iCs/>
        </w:rPr>
        <w:t>Lavallee v. Med-1 Sols., LLC</w:t>
      </w:r>
      <w:r w:rsidR="00C814A6" w:rsidRPr="00FA09A9">
        <w:t>, 932 F.3d 1049, 1056 (7th Cir. 2019) (“Moreover, we don’t usually consider arguments introduced on appeal by an amicus.”)</w:t>
      </w:r>
      <w:r w:rsidR="00C814A6">
        <w:t xml:space="preserve">; </w:t>
      </w:r>
      <w:r w:rsidR="008D71FA" w:rsidRPr="00FA09A9">
        <w:rPr>
          <w:i/>
          <w:iCs/>
        </w:rPr>
        <w:t xml:space="preserve">United States v. </w:t>
      </w:r>
      <w:proofErr w:type="spellStart"/>
      <w:r w:rsidR="008D71FA" w:rsidRPr="00FA09A9">
        <w:rPr>
          <w:i/>
          <w:iCs/>
        </w:rPr>
        <w:t>Wahchumwah</w:t>
      </w:r>
      <w:proofErr w:type="spellEnd"/>
      <w:r w:rsidR="008D71FA" w:rsidRPr="00FA09A9">
        <w:t>, 710 F.3d 862, 868 (9th Cir. 2013)</w:t>
      </w:r>
      <w:r w:rsidR="00E753DB">
        <w:t>.</w:t>
      </w:r>
    </w:p>
  </w:footnote>
  <w:footnote w:id="115">
    <w:p w14:paraId="0FACBE0F" w14:textId="1D37540F" w:rsidR="00DE722C" w:rsidRPr="00E72E6E" w:rsidRDefault="00DE722C" w:rsidP="0067230F">
      <w:pPr>
        <w:pStyle w:val="FootnoteText"/>
        <w:jc w:val="both"/>
      </w:pPr>
      <w:r w:rsidRPr="00E72E6E">
        <w:rPr>
          <w:rStyle w:val="FootnoteReference"/>
        </w:rPr>
        <w:footnoteRef/>
      </w:r>
      <w:r w:rsidRPr="00E72E6E">
        <w:t xml:space="preserve"> Moore &amp; Levi, </w:t>
      </w:r>
      <w:r w:rsidR="002D62B6">
        <w:rPr>
          <w:i/>
          <w:iCs/>
        </w:rPr>
        <w:t xml:space="preserve">Federal </w:t>
      </w:r>
      <w:r w:rsidR="002D62B6" w:rsidRPr="00E72E6E">
        <w:rPr>
          <w:i/>
          <w:iCs/>
        </w:rPr>
        <w:t>Intervention I</w:t>
      </w:r>
      <w:r w:rsidR="002D62B6">
        <w:t xml:space="preserve">, </w:t>
      </w:r>
      <w:r w:rsidR="0022124F">
        <w:rPr>
          <w:i/>
          <w:iCs/>
        </w:rPr>
        <w:t>supra</w:t>
      </w:r>
      <w:r w:rsidR="0022124F">
        <w:t>,</w:t>
      </w:r>
      <w:r w:rsidR="0022124F">
        <w:rPr>
          <w:i/>
          <w:iCs/>
        </w:rPr>
        <w:t xml:space="preserve"> </w:t>
      </w:r>
      <w:r w:rsidRPr="00E72E6E">
        <w:t xml:space="preserve">at 607; </w:t>
      </w:r>
      <w:r w:rsidR="00427F27">
        <w:rPr>
          <w:i/>
          <w:iCs/>
        </w:rPr>
        <w:t xml:space="preserve">see also </w:t>
      </w:r>
      <w:r w:rsidR="00A36368" w:rsidRPr="00A36368">
        <w:t xml:space="preserve">Scott Dodson, </w:t>
      </w:r>
      <w:r w:rsidR="00A36368" w:rsidRPr="00A36368">
        <w:rPr>
          <w:i/>
          <w:iCs/>
        </w:rPr>
        <w:t>Personal Jurisdiction and Aggregation</w:t>
      </w:r>
      <w:r w:rsidR="00A36368" w:rsidRPr="00A36368">
        <w:t>, 113 N</w:t>
      </w:r>
      <w:r w:rsidR="00A36368">
        <w:t>w</w:t>
      </w:r>
      <w:r w:rsidR="00A36368" w:rsidRPr="00A36368">
        <w:t>. U. L. R</w:t>
      </w:r>
      <w:r w:rsidR="00A36368">
        <w:t>ev</w:t>
      </w:r>
      <w:r w:rsidR="00A36368" w:rsidRPr="00A36368">
        <w:t>. 1</w:t>
      </w:r>
      <w:r w:rsidR="00A36368">
        <w:t>, 6-7</w:t>
      </w:r>
      <w:r w:rsidR="00A36368" w:rsidRPr="00A36368">
        <w:t xml:space="preserve"> (2018)</w:t>
      </w:r>
      <w:r w:rsidR="004976AC">
        <w:t xml:space="preserve"> (“Courts and parties benefit from increased efficiency, the avoidance of duplicative litigation, and consistency in judgments and precedents.”)</w:t>
      </w:r>
      <w:r w:rsidR="00427F27">
        <w:t xml:space="preserve">; </w:t>
      </w:r>
      <w:r w:rsidR="00427F27" w:rsidRPr="00427F27">
        <w:t xml:space="preserve">Richard D. Freer, </w:t>
      </w:r>
      <w:r w:rsidR="00427F27" w:rsidRPr="00427F27">
        <w:rPr>
          <w:i/>
          <w:iCs/>
        </w:rPr>
        <w:t>Avoiding Duplicative Litigation: Rethinking Plaintiff Autonomy and the Court</w:t>
      </w:r>
      <w:r w:rsidR="00427F27">
        <w:rPr>
          <w:i/>
          <w:iCs/>
        </w:rPr>
        <w:t>’</w:t>
      </w:r>
      <w:r w:rsidR="00427F27" w:rsidRPr="00427F27">
        <w:rPr>
          <w:i/>
          <w:iCs/>
        </w:rPr>
        <w:t>s Role in Defining the Litigative Unit</w:t>
      </w:r>
      <w:r w:rsidR="00427F27" w:rsidRPr="00427F27">
        <w:t>, 50 U. P</w:t>
      </w:r>
      <w:r w:rsidR="00427F27">
        <w:t>itt</w:t>
      </w:r>
      <w:r w:rsidR="00427F27" w:rsidRPr="00427F27">
        <w:t>. L. R</w:t>
      </w:r>
      <w:r w:rsidR="00427F27">
        <w:t>ev</w:t>
      </w:r>
      <w:r w:rsidR="00427F27" w:rsidRPr="00427F27">
        <w:t>. 809</w:t>
      </w:r>
      <w:r w:rsidR="00427F27">
        <w:t>, 813-15</w:t>
      </w:r>
      <w:r w:rsidR="00427F27" w:rsidRPr="00427F27">
        <w:t xml:space="preserve"> (1989)</w:t>
      </w:r>
      <w:r w:rsidR="002642E9">
        <w:t xml:space="preserve">. </w:t>
      </w:r>
    </w:p>
  </w:footnote>
  <w:footnote w:id="116">
    <w:p w14:paraId="71040CA1" w14:textId="662BB2BC"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Atlantis Dev. Corp. v. United States</w:t>
      </w:r>
      <w:r w:rsidRPr="00E72E6E">
        <w:t xml:space="preserve">, 379 F.2d 818, 824 (5th Cir. 1967); </w:t>
      </w:r>
      <w:r w:rsidRPr="00E72E6E">
        <w:rPr>
          <w:i/>
          <w:iCs/>
        </w:rPr>
        <w:t xml:space="preserve">see also </w:t>
      </w:r>
      <w:r w:rsidRPr="00E72E6E">
        <w:t xml:space="preserve">Robert G. Bone, </w:t>
      </w:r>
      <w:r w:rsidRPr="00E72E6E">
        <w:rPr>
          <w:i/>
          <w:iCs/>
        </w:rPr>
        <w:t>Making Effective Rules: The Need for Procedure Theory</w:t>
      </w:r>
      <w:r w:rsidRPr="00E72E6E">
        <w:t>, 61 Okla. L. Rev. 319, 332–33 (2008)</w:t>
      </w:r>
      <w:r w:rsidR="00D811CC">
        <w:t xml:space="preserve"> (hereinafter “Effective Rules”)</w:t>
      </w:r>
      <w:r w:rsidRPr="00E72E6E">
        <w:t>.</w:t>
      </w:r>
    </w:p>
  </w:footnote>
  <w:footnote w:id="117">
    <w:p w14:paraId="7E547660" w14:textId="34BCDA15" w:rsidR="008501BB" w:rsidRDefault="008501BB" w:rsidP="0067230F">
      <w:pPr>
        <w:pStyle w:val="FootnoteText"/>
        <w:jc w:val="both"/>
      </w:pPr>
      <w:r>
        <w:rPr>
          <w:rStyle w:val="FootnoteReference"/>
        </w:rPr>
        <w:footnoteRef/>
      </w:r>
      <w:r>
        <w:t xml:space="preserve"> </w:t>
      </w:r>
      <w:r w:rsidRPr="008501BB">
        <w:t xml:space="preserve">Edward J. Brunet, </w:t>
      </w:r>
      <w:r w:rsidRPr="00D70808">
        <w:rPr>
          <w:i/>
          <w:iCs/>
        </w:rPr>
        <w:t>A Study in the Allocation of Scarce Judicial Resources: The Efficiency of Federal Intervention Criteria</w:t>
      </w:r>
      <w:r w:rsidRPr="008501BB">
        <w:t>, 12 G</w:t>
      </w:r>
      <w:r>
        <w:t>a</w:t>
      </w:r>
      <w:r w:rsidRPr="008501BB">
        <w:t>. L. R</w:t>
      </w:r>
      <w:r>
        <w:t>ev</w:t>
      </w:r>
      <w:r w:rsidRPr="008501BB">
        <w:t>. 701</w:t>
      </w:r>
      <w:r>
        <w:t>,</w:t>
      </w:r>
      <w:r w:rsidRPr="008501BB">
        <w:t xml:space="preserve"> </w:t>
      </w:r>
      <w:r>
        <w:t>7</w:t>
      </w:r>
      <w:r w:rsidR="00A03A06">
        <w:t>29-</w:t>
      </w:r>
      <w:r>
        <w:t xml:space="preserve">38 </w:t>
      </w:r>
      <w:r w:rsidRPr="008501BB">
        <w:t>(1978)</w:t>
      </w:r>
      <w:r w:rsidR="00A03A06">
        <w:t>.</w:t>
      </w:r>
    </w:p>
  </w:footnote>
  <w:footnote w:id="118">
    <w:p w14:paraId="43656BC2" w14:textId="6622E0CE" w:rsidR="00DE722C" w:rsidRPr="00E72E6E" w:rsidRDefault="00DE722C" w:rsidP="0067230F">
      <w:pPr>
        <w:pStyle w:val="FootnoteText"/>
        <w:jc w:val="both"/>
      </w:pPr>
      <w:r w:rsidRPr="00E72E6E">
        <w:rPr>
          <w:rStyle w:val="FootnoteReference"/>
        </w:rPr>
        <w:footnoteRef/>
      </w:r>
      <w:r w:rsidRPr="00E72E6E">
        <w:t xml:space="preserve"> Kennedy, </w:t>
      </w:r>
      <w:r w:rsidR="0022298D">
        <w:rPr>
          <w:i/>
          <w:iCs/>
        </w:rPr>
        <w:t>supra</w:t>
      </w:r>
      <w:r w:rsidRPr="00E72E6E">
        <w:t xml:space="preserve">, at 329. </w:t>
      </w:r>
    </w:p>
  </w:footnote>
  <w:footnote w:id="119">
    <w:p w14:paraId="24E3C147" w14:textId="568D7778"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 xml:space="preserve">See </w:t>
      </w:r>
      <w:r w:rsidRPr="00E64D46">
        <w:rPr>
          <w:i/>
          <w:iCs/>
        </w:rPr>
        <w:t>Martin</w:t>
      </w:r>
      <w:r w:rsidRPr="00E64D46">
        <w:t xml:space="preserve">, 490 U.S. </w:t>
      </w:r>
      <w:r w:rsidR="0022298D">
        <w:t xml:space="preserve">at </w:t>
      </w:r>
      <w:r w:rsidR="00E64D46" w:rsidRPr="00E64D46">
        <w:t>762</w:t>
      </w:r>
      <w:r w:rsidR="001507CD">
        <w:t>.</w:t>
      </w:r>
    </w:p>
  </w:footnote>
  <w:footnote w:id="120">
    <w:p w14:paraId="507A856D" w14:textId="77777777" w:rsidR="00DE722C" w:rsidRPr="00E72E6E" w:rsidRDefault="00DE722C" w:rsidP="0067230F">
      <w:pPr>
        <w:pStyle w:val="FootnoteText"/>
        <w:jc w:val="both"/>
      </w:pPr>
      <w:r w:rsidRPr="00E72E6E">
        <w:rPr>
          <w:rStyle w:val="FootnoteReference"/>
        </w:rPr>
        <w:footnoteRef/>
      </w:r>
      <w:r w:rsidRPr="00E72E6E">
        <w:t xml:space="preserve"> </w:t>
      </w:r>
      <w:r w:rsidRPr="00E72E6E">
        <w:rPr>
          <w:i/>
          <w:iCs/>
        </w:rPr>
        <w:t xml:space="preserve">Bush v. </w:t>
      </w:r>
      <w:proofErr w:type="spellStart"/>
      <w:r w:rsidRPr="00E72E6E">
        <w:rPr>
          <w:i/>
          <w:iCs/>
        </w:rPr>
        <w:t>Viterna</w:t>
      </w:r>
      <w:proofErr w:type="spellEnd"/>
      <w:r w:rsidRPr="00E72E6E">
        <w:t xml:space="preserve">, 740 F.2d 350, 359 (5th Cir. 1984) (quoting </w:t>
      </w:r>
      <w:r w:rsidRPr="00E72E6E">
        <w:rPr>
          <w:i/>
          <w:iCs/>
        </w:rPr>
        <w:t>Crosby Steam Gage &amp; Valve Co. v. Manning, Maxwell &amp; Moore, Inc.</w:t>
      </w:r>
      <w:r w:rsidRPr="00E72E6E">
        <w:t>, 51 F. Supp. 972, 973 (D. Mass. 1943)).</w:t>
      </w:r>
    </w:p>
  </w:footnote>
  <w:footnote w:id="121">
    <w:p w14:paraId="075D8F20" w14:textId="2924AEED" w:rsidR="00DE722C" w:rsidRPr="00F5054D" w:rsidRDefault="00DE722C" w:rsidP="0067230F">
      <w:pPr>
        <w:pStyle w:val="FootnoteText"/>
        <w:jc w:val="both"/>
      </w:pPr>
      <w:r w:rsidRPr="00E72E6E">
        <w:rPr>
          <w:rStyle w:val="FootnoteReference"/>
        </w:rPr>
        <w:footnoteRef/>
      </w:r>
      <w:r w:rsidRPr="00E72E6E">
        <w:t xml:space="preserve"> </w:t>
      </w:r>
      <w:proofErr w:type="spellStart"/>
      <w:r w:rsidRPr="00E72E6E">
        <w:rPr>
          <w:i/>
          <w:iCs/>
        </w:rPr>
        <w:t>Stadin</w:t>
      </w:r>
      <w:proofErr w:type="spellEnd"/>
      <w:r w:rsidRPr="00E72E6E">
        <w:rPr>
          <w:i/>
          <w:iCs/>
        </w:rPr>
        <w:t xml:space="preserve"> v. Union Elec. Co.</w:t>
      </w:r>
      <w:r w:rsidRPr="00E72E6E">
        <w:t>, 309 F.2d 912, 920 (8th Cir. 1962)</w:t>
      </w:r>
      <w:r w:rsidR="00F5054D">
        <w:t xml:space="preserve">; </w:t>
      </w:r>
      <w:r w:rsidR="00F5054D">
        <w:rPr>
          <w:i/>
          <w:iCs/>
        </w:rPr>
        <w:t>see also Trager v. Hiebert Contracting Co.</w:t>
      </w:r>
      <w:r w:rsidR="00F5054D">
        <w:t>, 339 F.2d 530, 531 (1st Cir. 1964) (“If every person who fears he may be holding the stake could forthwith share dominion over the defense of the principal action we would have too many cooks working at cross purposes over the broth or, at the least, struggling for a place at the stove.”).</w:t>
      </w:r>
    </w:p>
  </w:footnote>
  <w:footnote w:id="122">
    <w:p w14:paraId="2B488103" w14:textId="6DC79291" w:rsidR="00DE722C" w:rsidRPr="00E72E6E" w:rsidRDefault="00DE722C" w:rsidP="0067230F">
      <w:pPr>
        <w:pStyle w:val="FootnoteText"/>
        <w:jc w:val="both"/>
      </w:pPr>
      <w:r w:rsidRPr="00E72E6E">
        <w:rPr>
          <w:rStyle w:val="FootnoteReference"/>
        </w:rPr>
        <w:footnoteRef/>
      </w:r>
      <w:r w:rsidRPr="00E72E6E">
        <w:t xml:space="preserve"> </w:t>
      </w:r>
      <w:r w:rsidR="00155FBA">
        <w:rPr>
          <w:i/>
          <w:iCs/>
        </w:rPr>
        <w:t xml:space="preserve">United States v. </w:t>
      </w:r>
      <w:proofErr w:type="spellStart"/>
      <w:r w:rsidR="00155FBA">
        <w:rPr>
          <w:i/>
          <w:iCs/>
        </w:rPr>
        <w:t>Sineneng</w:t>
      </w:r>
      <w:proofErr w:type="spellEnd"/>
      <w:r w:rsidR="00155FBA">
        <w:rPr>
          <w:i/>
          <w:iCs/>
        </w:rPr>
        <w:t>-Smith</w:t>
      </w:r>
      <w:r w:rsidR="00155FBA">
        <w:t>, 140 S. Ct. 1575, 1579 (2020) (“In our adversarial system of adjudication, we follow the principle of party presentation” and rely “in the first instance and on appeal … on the parties to frame the issues for decision and assign to courts the role of neutral arbiter of matters the parties present.”)</w:t>
      </w:r>
      <w:r w:rsidRPr="00E72E6E">
        <w:t xml:space="preserve">. </w:t>
      </w:r>
    </w:p>
  </w:footnote>
  <w:footnote w:id="123">
    <w:p w14:paraId="783A3738" w14:textId="237C6EDE" w:rsidR="00155FBA" w:rsidRPr="00155FBA" w:rsidRDefault="00155FBA" w:rsidP="0067230F">
      <w:pPr>
        <w:pStyle w:val="FootnoteText"/>
        <w:jc w:val="both"/>
      </w:pPr>
      <w:r>
        <w:rPr>
          <w:rStyle w:val="FootnoteReference"/>
        </w:rPr>
        <w:footnoteRef/>
      </w:r>
      <w:r>
        <w:t xml:space="preserve"> Shapiro, </w:t>
      </w:r>
      <w:r>
        <w:rPr>
          <w:i/>
          <w:iCs/>
        </w:rPr>
        <w:t>supra</w:t>
      </w:r>
      <w:r>
        <w:t xml:space="preserve">, </w:t>
      </w:r>
      <w:r w:rsidR="00294D6A">
        <w:t xml:space="preserve">at </w:t>
      </w:r>
      <w:r>
        <w:t xml:space="preserve">721. </w:t>
      </w:r>
    </w:p>
  </w:footnote>
  <w:footnote w:id="124">
    <w:p w14:paraId="2889091C" w14:textId="1A382E00" w:rsidR="00155FBA" w:rsidRPr="00155FBA" w:rsidRDefault="00155FBA" w:rsidP="0067230F">
      <w:pPr>
        <w:pStyle w:val="FootnoteText"/>
        <w:jc w:val="both"/>
      </w:pPr>
      <w:r>
        <w:rPr>
          <w:rStyle w:val="FootnoteReference"/>
        </w:rPr>
        <w:footnoteRef/>
      </w:r>
      <w:r>
        <w:t xml:space="preserve"> </w:t>
      </w:r>
      <w:r>
        <w:rPr>
          <w:i/>
          <w:iCs/>
        </w:rPr>
        <w:t>Id.</w:t>
      </w:r>
      <w:r>
        <w:t xml:space="preserve">; </w:t>
      </w:r>
      <w:r>
        <w:rPr>
          <w:i/>
          <w:iCs/>
        </w:rPr>
        <w:t>see also Lincoln Prop. Co. v. Roche</w:t>
      </w:r>
      <w:r>
        <w:t>, 546 U.S. 81, 91 (2005)</w:t>
      </w:r>
      <w:r w:rsidR="004D569C">
        <w:t xml:space="preserve">. </w:t>
      </w:r>
    </w:p>
  </w:footnote>
  <w:footnote w:id="125">
    <w:p w14:paraId="178A2762" w14:textId="68A87DFF" w:rsidR="00DE722C" w:rsidRPr="00F108EA" w:rsidRDefault="00DE722C" w:rsidP="0067230F">
      <w:pPr>
        <w:pStyle w:val="FootnoteText"/>
        <w:jc w:val="both"/>
      </w:pPr>
      <w:r w:rsidRPr="00E72E6E">
        <w:rPr>
          <w:rStyle w:val="FootnoteReference"/>
        </w:rPr>
        <w:footnoteRef/>
      </w:r>
      <w:r w:rsidRPr="00E72E6E">
        <w:t xml:space="preserve"> </w:t>
      </w:r>
      <w:r w:rsidR="008F50C1">
        <w:t>T</w:t>
      </w:r>
      <w:r w:rsidRPr="00E72E6E">
        <w:t>his is</w:t>
      </w:r>
      <w:r w:rsidR="008F50C1">
        <w:t>n’t</w:t>
      </w:r>
      <w:r w:rsidRPr="00E72E6E">
        <w:t xml:space="preserve"> always true. Sometimes </w:t>
      </w:r>
      <w:r w:rsidRPr="00AB0DCE">
        <w:t xml:space="preserve">intervenors work with the original parties. </w:t>
      </w:r>
      <w:r w:rsidRPr="00AB0DCE">
        <w:rPr>
          <w:i/>
          <w:iCs/>
        </w:rPr>
        <w:t>See</w:t>
      </w:r>
      <w:r w:rsidRPr="008F50C1">
        <w:t>,</w:t>
      </w:r>
      <w:r w:rsidRPr="00AB0DCE">
        <w:rPr>
          <w:i/>
          <w:iCs/>
        </w:rPr>
        <w:t xml:space="preserve"> e.g., infra</w:t>
      </w:r>
      <w:r w:rsidRPr="00AB0DCE">
        <w:t xml:space="preserve"> </w:t>
      </w:r>
      <w:r w:rsidR="00422405">
        <w:t xml:space="preserve">section </w:t>
      </w:r>
      <w:r w:rsidRPr="00AB0DCE">
        <w:t>II</w:t>
      </w:r>
      <w:r w:rsidR="00AB0DCE" w:rsidRPr="00AB0DCE">
        <w:t xml:space="preserve"> (discussing how intervenors join to shore up standing). </w:t>
      </w:r>
      <w:r w:rsidR="002B4C08">
        <w:t xml:space="preserve">And intervention can sometimes hasten the court’s adjudication of the parties’ rights by preventing collateral attacks and duplicative proceedings. </w:t>
      </w:r>
      <w:r w:rsidR="00F108EA" w:rsidRPr="00F108EA">
        <w:rPr>
          <w:i/>
          <w:iCs/>
        </w:rPr>
        <w:t xml:space="preserve">Int’l Union, United Auto., Aerospace &amp; </w:t>
      </w:r>
      <w:proofErr w:type="spellStart"/>
      <w:r w:rsidR="00F108EA" w:rsidRPr="00F108EA">
        <w:rPr>
          <w:i/>
          <w:iCs/>
        </w:rPr>
        <w:t>Agr</w:t>
      </w:r>
      <w:proofErr w:type="spellEnd"/>
      <w:r w:rsidR="00F108EA" w:rsidRPr="00F108EA">
        <w:rPr>
          <w:i/>
          <w:iCs/>
        </w:rPr>
        <w:t>. Implement Workers of Am. AFL-CIO, Loc. 283 v. Scofield</w:t>
      </w:r>
      <w:r w:rsidR="00F108EA">
        <w:t xml:space="preserve">, 382 U.S. 205, 214 (1965); </w:t>
      </w:r>
      <w:r w:rsidR="00F108EA">
        <w:rPr>
          <w:i/>
          <w:iCs/>
        </w:rPr>
        <w:t xml:space="preserve">Martin, </w:t>
      </w:r>
      <w:r w:rsidR="00F108EA">
        <w:t>490 U.S. at 766-67.</w:t>
      </w:r>
    </w:p>
  </w:footnote>
  <w:footnote w:id="126">
    <w:p w14:paraId="2A15A588" w14:textId="3DBDA1B0" w:rsidR="00DE722C" w:rsidRPr="00A60FD1" w:rsidRDefault="00DE722C" w:rsidP="0067230F">
      <w:pPr>
        <w:pStyle w:val="FootnoteText"/>
        <w:jc w:val="both"/>
      </w:pPr>
      <w:r w:rsidRPr="00E72E6E">
        <w:rPr>
          <w:rStyle w:val="FootnoteReference"/>
        </w:rPr>
        <w:footnoteRef/>
      </w:r>
      <w:r w:rsidRPr="00E72E6E">
        <w:t xml:space="preserve"> Kennedy, </w:t>
      </w:r>
      <w:r w:rsidR="0022298D">
        <w:rPr>
          <w:i/>
          <w:iCs/>
        </w:rPr>
        <w:t>supra</w:t>
      </w:r>
      <w:r w:rsidRPr="00E72E6E">
        <w:t>, at 329</w:t>
      </w:r>
      <w:r w:rsidR="00A60FD1">
        <w:t xml:space="preserve">; Shapiro, </w:t>
      </w:r>
      <w:r w:rsidR="00A60FD1">
        <w:rPr>
          <w:i/>
          <w:iCs/>
        </w:rPr>
        <w:t>supra</w:t>
      </w:r>
      <w:r w:rsidR="00A60FD1">
        <w:t xml:space="preserve">, at 746. </w:t>
      </w:r>
    </w:p>
  </w:footnote>
  <w:footnote w:id="127">
    <w:p w14:paraId="1B7C1E76" w14:textId="438D7D3D" w:rsidR="00DE722C" w:rsidRPr="00E72E6E" w:rsidRDefault="00DE722C" w:rsidP="0067230F">
      <w:pPr>
        <w:pStyle w:val="FootnoteText"/>
        <w:jc w:val="both"/>
      </w:pPr>
      <w:r w:rsidRPr="00E72E6E">
        <w:rPr>
          <w:rStyle w:val="FootnoteReference"/>
        </w:rPr>
        <w:footnoteRef/>
      </w:r>
      <w:r w:rsidRPr="00E72E6E">
        <w:t xml:space="preserve"> Tobias, </w:t>
      </w:r>
      <w:r w:rsidRPr="00E72E6E">
        <w:rPr>
          <w:i/>
          <w:iCs/>
        </w:rPr>
        <w:t>Public Law</w:t>
      </w:r>
      <w:r w:rsidRPr="00E72E6E">
        <w:t xml:space="preserve">, </w:t>
      </w:r>
      <w:r w:rsidRPr="00E72E6E">
        <w:rPr>
          <w:i/>
          <w:iCs/>
        </w:rPr>
        <w:t>supra</w:t>
      </w:r>
      <w:r w:rsidRPr="00E72E6E">
        <w:t>, at 328.</w:t>
      </w:r>
    </w:p>
  </w:footnote>
  <w:footnote w:id="128">
    <w:p w14:paraId="4CD251E6" w14:textId="3B709A24" w:rsidR="000A5266" w:rsidRPr="00A163E8" w:rsidRDefault="000A5266" w:rsidP="0067230F">
      <w:pPr>
        <w:pStyle w:val="FootnoteText"/>
        <w:jc w:val="both"/>
      </w:pPr>
      <w:r>
        <w:rPr>
          <w:rStyle w:val="FootnoteReference"/>
        </w:rPr>
        <w:footnoteRef/>
      </w:r>
      <w:r>
        <w:t xml:space="preserve"> </w:t>
      </w:r>
      <w:r w:rsidR="00CF1D8C">
        <w:t xml:space="preserve">Alexandra D. Lahav, </w:t>
      </w:r>
      <w:r w:rsidR="00CF1D8C">
        <w:rPr>
          <w:i/>
          <w:iCs/>
        </w:rPr>
        <w:t>Procedural Design</w:t>
      </w:r>
      <w:r w:rsidR="00CF1D8C">
        <w:t xml:space="preserve">, 71 </w:t>
      </w:r>
      <w:proofErr w:type="spellStart"/>
      <w:r w:rsidR="00CF1D8C">
        <w:t>Vand</w:t>
      </w:r>
      <w:proofErr w:type="spellEnd"/>
      <w:r w:rsidR="00CF1D8C">
        <w:t>. L. Rev. 821</w:t>
      </w:r>
      <w:r w:rsidR="00D81514">
        <w:t>, 861</w:t>
      </w:r>
      <w:r w:rsidR="00CF1D8C">
        <w:t xml:space="preserve"> (2018)</w:t>
      </w:r>
      <w:r w:rsidR="00B128CF">
        <w:t xml:space="preserve"> (“The soul of the Federal Rules, it might be said, is judicial discretion.”)</w:t>
      </w:r>
      <w:r w:rsidR="00CF1D8C">
        <w:t xml:space="preserve">; </w:t>
      </w:r>
      <w:r w:rsidR="002E0EEF">
        <w:t xml:space="preserve">Robert G. Bone, </w:t>
      </w:r>
      <w:r w:rsidR="002E0EEF">
        <w:rPr>
          <w:i/>
          <w:iCs/>
        </w:rPr>
        <w:t>Who Decides</w:t>
      </w:r>
      <w:r w:rsidR="004A602F">
        <w:rPr>
          <w:i/>
          <w:iCs/>
        </w:rPr>
        <w:t>?</w:t>
      </w:r>
      <w:r w:rsidR="002E0EEF">
        <w:rPr>
          <w:i/>
          <w:iCs/>
        </w:rPr>
        <w:t xml:space="preserve"> A Critical Look at Procedural Discretion</w:t>
      </w:r>
      <w:r w:rsidR="002E0EEF">
        <w:t>, 28 Cardozo L. Rev. 1961</w:t>
      </w:r>
      <w:r w:rsidR="004A602F">
        <w:t>, 1962</w:t>
      </w:r>
      <w:r w:rsidR="002E0EEF">
        <w:t xml:space="preserve"> (2007) (“Federal district judges exercise extremely broad and relatively unchecked discretion over many of the details of litigation.”). </w:t>
      </w:r>
    </w:p>
  </w:footnote>
  <w:footnote w:id="129">
    <w:p w14:paraId="34EE9635" w14:textId="0F265708" w:rsidR="002E0EEF" w:rsidRDefault="002E0EEF" w:rsidP="0067230F">
      <w:pPr>
        <w:pStyle w:val="FootnoteText"/>
        <w:jc w:val="both"/>
      </w:pPr>
      <w:r>
        <w:rPr>
          <w:rStyle w:val="FootnoteReference"/>
        </w:rPr>
        <w:footnoteRef/>
      </w:r>
      <w:r>
        <w:t xml:space="preserve"> Stephen N. </w:t>
      </w:r>
      <w:proofErr w:type="spellStart"/>
      <w:r>
        <w:t>Subrin</w:t>
      </w:r>
      <w:proofErr w:type="spellEnd"/>
      <w:r>
        <w:t xml:space="preserve">, </w:t>
      </w:r>
      <w:r>
        <w:rPr>
          <w:i/>
          <w:iCs/>
        </w:rPr>
        <w:t>How Equity Conquered Common Law: The Federal Rules of Civil Procedure in Historical Perspective</w:t>
      </w:r>
      <w:r>
        <w:t>, 135 U. Pa. L. Rev. 909, 944, 1001 (1987) (describing the views of the drafters of the federal rules as “rely[</w:t>
      </w:r>
      <w:proofErr w:type="spellStart"/>
      <w:r>
        <w:t>ing</w:t>
      </w:r>
      <w:proofErr w:type="spellEnd"/>
      <w:r>
        <w:t>] on expertise and judicial discretion”).</w:t>
      </w:r>
    </w:p>
  </w:footnote>
  <w:footnote w:id="130">
    <w:p w14:paraId="4606EB9F" w14:textId="26CBB49D" w:rsidR="006E67F0" w:rsidRPr="006E67F0" w:rsidRDefault="006E67F0" w:rsidP="0067230F">
      <w:pPr>
        <w:pStyle w:val="FootnoteText"/>
        <w:jc w:val="both"/>
      </w:pPr>
      <w:r>
        <w:rPr>
          <w:rStyle w:val="FootnoteReference"/>
        </w:rPr>
        <w:footnoteRef/>
      </w:r>
      <w:r>
        <w:t xml:space="preserve"> Bone, </w:t>
      </w:r>
      <w:r>
        <w:rPr>
          <w:i/>
          <w:iCs/>
        </w:rPr>
        <w:t>Effective Rules</w:t>
      </w:r>
      <w:r w:rsidR="00D811CC" w:rsidRPr="00D811CC">
        <w:t>,</w:t>
      </w:r>
      <w:r w:rsidR="00D811CC">
        <w:rPr>
          <w:i/>
          <w:iCs/>
        </w:rPr>
        <w:t xml:space="preserve"> supra</w:t>
      </w:r>
      <w:r w:rsidR="00D811CC" w:rsidRPr="00D811CC">
        <w:t>,</w:t>
      </w:r>
      <w:r w:rsidR="00D811CC">
        <w:rPr>
          <w:i/>
          <w:iCs/>
        </w:rPr>
        <w:t xml:space="preserve"> </w:t>
      </w:r>
      <w:r w:rsidR="00D811CC">
        <w:t>at</w:t>
      </w:r>
      <w:r>
        <w:t xml:space="preserve"> 326</w:t>
      </w:r>
      <w:r w:rsidR="00635F4B">
        <w:t xml:space="preserve">; David Marcus, </w:t>
      </w:r>
      <w:r w:rsidR="00635F4B">
        <w:rPr>
          <w:i/>
          <w:iCs/>
        </w:rPr>
        <w:t>Trans-Substantivity and the Processes of American Law</w:t>
      </w:r>
      <w:r w:rsidR="00635F4B">
        <w:t>, 2013 B</w:t>
      </w:r>
      <w:r w:rsidR="000015A8">
        <w:t>.</w:t>
      </w:r>
      <w:r w:rsidR="00635F4B">
        <w:t>Y</w:t>
      </w:r>
      <w:r w:rsidR="000015A8">
        <w:t>.</w:t>
      </w:r>
      <w:r w:rsidR="00635F4B">
        <w:t>U</w:t>
      </w:r>
      <w:r w:rsidR="000015A8">
        <w:t>.</w:t>
      </w:r>
      <w:r w:rsidR="00635F4B">
        <w:t xml:space="preserve"> L. Rev. 1191,</w:t>
      </w:r>
      <w:r>
        <w:t xml:space="preserve"> </w:t>
      </w:r>
      <w:r w:rsidR="00635F4B">
        <w:t xml:space="preserve">1235 (2013). </w:t>
      </w:r>
    </w:p>
  </w:footnote>
  <w:footnote w:id="131">
    <w:p w14:paraId="27F8CD76" w14:textId="2AC803EB" w:rsidR="0025021F" w:rsidRPr="00D353B6" w:rsidRDefault="0025021F" w:rsidP="0067230F">
      <w:pPr>
        <w:pStyle w:val="FootnoteText"/>
        <w:jc w:val="both"/>
      </w:pPr>
      <w:r>
        <w:rPr>
          <w:rStyle w:val="FootnoteReference"/>
        </w:rPr>
        <w:footnoteRef/>
      </w:r>
      <w:r>
        <w:t xml:space="preserve"> </w:t>
      </w:r>
      <w:r w:rsidR="00D31B22">
        <w:t xml:space="preserve">As a small sampling, </w:t>
      </w:r>
      <w:r w:rsidR="00D31B22">
        <w:rPr>
          <w:i/>
          <w:iCs/>
        </w:rPr>
        <w:t xml:space="preserve">see </w:t>
      </w:r>
      <w:r w:rsidR="003A2E2E">
        <w:t xml:space="preserve">Richard L. Marcus, </w:t>
      </w:r>
      <w:r w:rsidR="003A2E2E">
        <w:rPr>
          <w:i/>
          <w:iCs/>
        </w:rPr>
        <w:t>Slouching Toward Discretion</w:t>
      </w:r>
      <w:r w:rsidR="003A2E2E">
        <w:t xml:space="preserve">, 78 Notre Dame L. Rev. 1561 (2003); </w:t>
      </w:r>
      <w:r w:rsidR="00D31B22">
        <w:t xml:space="preserve">Stephen C. </w:t>
      </w:r>
      <w:proofErr w:type="spellStart"/>
      <w:r w:rsidR="00D31B22">
        <w:t>Yeazell</w:t>
      </w:r>
      <w:proofErr w:type="spellEnd"/>
      <w:r w:rsidR="00D31B22">
        <w:t xml:space="preserve">, </w:t>
      </w:r>
      <w:r w:rsidR="00D31B22">
        <w:rPr>
          <w:i/>
          <w:iCs/>
        </w:rPr>
        <w:t>The Misunderstood Consequences of Modern Civil Process</w:t>
      </w:r>
      <w:r w:rsidR="00D31B22">
        <w:t xml:space="preserve">, 1994 Wis. L. Rev. 631, 646-67 (1994); </w:t>
      </w:r>
      <w:r w:rsidR="003A2E2E">
        <w:t xml:space="preserve">Judith Resnik, </w:t>
      </w:r>
      <w:r w:rsidR="003A2E2E" w:rsidRPr="003A2E2E">
        <w:rPr>
          <w:i/>
          <w:iCs/>
        </w:rPr>
        <w:t>M</w:t>
      </w:r>
      <w:r w:rsidR="003A2E2E">
        <w:rPr>
          <w:i/>
          <w:iCs/>
        </w:rPr>
        <w:t>anagerial Judging</w:t>
      </w:r>
      <w:r w:rsidR="003A2E2E">
        <w:t>, 96 Harv. L. Rev. 374 (1982)</w:t>
      </w:r>
      <w:r w:rsidR="00D657DF">
        <w:t>.</w:t>
      </w:r>
      <w:r w:rsidR="0027265D">
        <w:t xml:space="preserve"> </w:t>
      </w:r>
    </w:p>
  </w:footnote>
  <w:footnote w:id="132">
    <w:p w14:paraId="2E4BF886" w14:textId="40BD75CA" w:rsidR="005C5A7B" w:rsidRPr="00CD298C" w:rsidRDefault="005C5A7B" w:rsidP="0067230F">
      <w:pPr>
        <w:pStyle w:val="FootnoteText"/>
        <w:jc w:val="both"/>
      </w:pPr>
      <w:r>
        <w:rPr>
          <w:rStyle w:val="FootnoteReference"/>
        </w:rPr>
        <w:footnoteRef/>
      </w:r>
      <w:r>
        <w:t xml:space="preserve"> </w:t>
      </w:r>
      <w:r w:rsidR="000015A8">
        <w:rPr>
          <w:i/>
          <w:iCs/>
        </w:rPr>
        <w:t>See, e.g.</w:t>
      </w:r>
      <w:r w:rsidR="000015A8">
        <w:t xml:space="preserve">, </w:t>
      </w:r>
      <w:r w:rsidR="001A435D">
        <w:t xml:space="preserve">Edward A. Purcell, Jr., </w:t>
      </w:r>
      <w:r w:rsidR="001A435D">
        <w:rPr>
          <w:i/>
          <w:iCs/>
        </w:rPr>
        <w:t>Exploring the Interpretation and Application of Procedural Rules: The Problem of Implicit and Institutional Racial Bias</w:t>
      </w:r>
      <w:r w:rsidR="001A435D">
        <w:t>, 23 U. Pa. J. Const. L. 2538, 2529-30 (2021) (“Proceduralists have increasingly recognized that they can never know the actual significance of any procedural rule—however fair and rational it might appear on its face—without empirical evidence showing its uses and practical results.”)</w:t>
      </w:r>
      <w:r w:rsidR="008020AE">
        <w:t xml:space="preserve">; Marcus, </w:t>
      </w:r>
      <w:r w:rsidR="008020AE">
        <w:rPr>
          <w:i/>
          <w:iCs/>
        </w:rPr>
        <w:t>supra</w:t>
      </w:r>
      <w:r w:rsidR="008020AE">
        <w:t>, at 1230 (“To answer these queries properly, a court should have data, expertise with their analysis, and metrics to evaluate outcomes under the trans-substantive rule and the substance-specific alternative.”)</w:t>
      </w:r>
      <w:r w:rsidR="00CD298C">
        <w:t xml:space="preserve">; Carl Tobias, </w:t>
      </w:r>
      <w:r w:rsidR="00CD298C">
        <w:rPr>
          <w:i/>
          <w:iCs/>
        </w:rPr>
        <w:t>Rethinking Intervention in Environmental Litigation</w:t>
      </w:r>
      <w:r w:rsidR="00CD298C">
        <w:t>, 78 Wash. U. L. Q. 313, 314 (2000).</w:t>
      </w:r>
    </w:p>
  </w:footnote>
  <w:footnote w:id="133">
    <w:p w14:paraId="3A859D2C" w14:textId="34DB05B0" w:rsidR="00000596" w:rsidRPr="002B0F33" w:rsidRDefault="00000596" w:rsidP="0067230F">
      <w:pPr>
        <w:pStyle w:val="FootnoteText"/>
        <w:jc w:val="both"/>
      </w:pPr>
      <w:r>
        <w:rPr>
          <w:rStyle w:val="FootnoteReference"/>
        </w:rPr>
        <w:footnoteRef/>
      </w:r>
      <w:r>
        <w:t xml:space="preserve"> </w:t>
      </w:r>
      <w:r w:rsidR="00D81514">
        <w:rPr>
          <w:i/>
          <w:iCs/>
        </w:rPr>
        <w:t>See, e.g.</w:t>
      </w:r>
      <w:r w:rsidR="00D81514">
        <w:t xml:space="preserve">, </w:t>
      </w:r>
      <w:r w:rsidR="00DA155D">
        <w:t xml:space="preserve">David L. Noll &amp; Luke Norris, </w:t>
      </w:r>
      <w:r w:rsidR="00DA155D">
        <w:rPr>
          <w:i/>
          <w:iCs/>
        </w:rPr>
        <w:t>Federal Rules of Private Enforcement</w:t>
      </w:r>
      <w:r w:rsidR="00DA155D">
        <w:t>, 108 Cornell L. Rev. (forthcoming 2023);</w:t>
      </w:r>
      <w:r w:rsidR="00DA155D">
        <w:rPr>
          <w:i/>
          <w:iCs/>
        </w:rPr>
        <w:t xml:space="preserve"> </w:t>
      </w:r>
      <w:r w:rsidR="001C4893">
        <w:t xml:space="preserve">Suzette Malveaux, </w:t>
      </w:r>
      <w:r w:rsidR="001C4893">
        <w:rPr>
          <w:i/>
          <w:iCs/>
        </w:rPr>
        <w:t>A Diamond in the Rough: Trans-Substantivity of the Federal Rules of Civil Procedure and Its Detrimental Impact on Civil Rights</w:t>
      </w:r>
      <w:r w:rsidR="001C4893">
        <w:t>, 92 Wash. U. L. Rev. 455, 464 (2017)</w:t>
      </w:r>
      <w:r w:rsidR="002B0F33">
        <w:t xml:space="preserve">; Tobias Barrington Wolff, </w:t>
      </w:r>
      <w:r w:rsidR="002B0F33">
        <w:rPr>
          <w:i/>
          <w:iCs/>
        </w:rPr>
        <w:t>Managerial Judging and Substantive Law</w:t>
      </w:r>
      <w:r w:rsidR="002B0F33">
        <w:t xml:space="preserve">, 90 Wash. U. L. Rev. 1027, 1029 (2013). </w:t>
      </w:r>
    </w:p>
  </w:footnote>
  <w:footnote w:id="134">
    <w:p w14:paraId="4FC11878" w14:textId="48C2402E" w:rsidR="00000596" w:rsidRDefault="00000596" w:rsidP="0067230F">
      <w:pPr>
        <w:pStyle w:val="FootnoteText"/>
        <w:jc w:val="both"/>
      </w:pPr>
      <w:r>
        <w:rPr>
          <w:rStyle w:val="FootnoteReference"/>
        </w:rPr>
        <w:footnoteRef/>
      </w:r>
      <w:r>
        <w:t xml:space="preserve"> </w:t>
      </w:r>
      <w:r w:rsidR="00D81514">
        <w:rPr>
          <w:i/>
          <w:iCs/>
        </w:rPr>
        <w:t>See, e.g.</w:t>
      </w:r>
      <w:r w:rsidR="00D81514">
        <w:t>, T</w:t>
      </w:r>
      <w:r w:rsidR="002A2BAF">
        <w:t xml:space="preserve">obias, </w:t>
      </w:r>
      <w:r w:rsidR="002A2BAF">
        <w:rPr>
          <w:i/>
          <w:iCs/>
        </w:rPr>
        <w:t>Public Law</w:t>
      </w:r>
      <w:r w:rsidR="002A2BAF">
        <w:t xml:space="preserve">, </w:t>
      </w:r>
      <w:r w:rsidR="00DC4299">
        <w:rPr>
          <w:i/>
          <w:iCs/>
        </w:rPr>
        <w:t>supra</w:t>
      </w:r>
      <w:r w:rsidR="00DC4299">
        <w:t>,</w:t>
      </w:r>
      <w:r w:rsidR="00DC4299">
        <w:rPr>
          <w:i/>
          <w:iCs/>
        </w:rPr>
        <w:t xml:space="preserve"> </w:t>
      </w:r>
      <w:r w:rsidR="00DC4299">
        <w:t xml:space="preserve">at </w:t>
      </w:r>
      <w:r w:rsidR="002A2BAF">
        <w:t>340-43 (1989).</w:t>
      </w:r>
      <w:r w:rsidR="002A2BAF">
        <w:rPr>
          <w:i/>
          <w:iCs/>
        </w:rPr>
        <w:t xml:space="preserve"> </w:t>
      </w:r>
    </w:p>
  </w:footnote>
  <w:footnote w:id="135">
    <w:p w14:paraId="1FC6E57B" w14:textId="53DDC87A" w:rsidR="00000596" w:rsidRPr="00DA0868" w:rsidRDefault="00000596" w:rsidP="0067230F">
      <w:pPr>
        <w:pStyle w:val="FootnoteText"/>
        <w:jc w:val="both"/>
      </w:pPr>
      <w:r>
        <w:rPr>
          <w:rStyle w:val="FootnoteReference"/>
        </w:rPr>
        <w:footnoteRef/>
      </w:r>
      <w:r>
        <w:t xml:space="preserve"> </w:t>
      </w:r>
      <w:r w:rsidR="000D4A96">
        <w:t xml:space="preserve">For instance, scholars have looked at how the federal rules interact depending on the </w:t>
      </w:r>
      <w:r w:rsidR="00F536BA">
        <w:t>sequence of the litigation</w:t>
      </w:r>
      <w:r w:rsidR="000F37B3">
        <w:t>,</w:t>
      </w:r>
      <w:r w:rsidR="00F536BA">
        <w:t xml:space="preserve"> </w:t>
      </w:r>
      <w:r w:rsidR="000F37B3">
        <w:rPr>
          <w:i/>
          <w:iCs/>
        </w:rPr>
        <w:t>s</w:t>
      </w:r>
      <w:r w:rsidR="00F536BA">
        <w:rPr>
          <w:i/>
          <w:iCs/>
        </w:rPr>
        <w:t xml:space="preserve">ee </w:t>
      </w:r>
      <w:r w:rsidR="00F536BA">
        <w:t xml:space="preserve">Lahav, </w:t>
      </w:r>
      <w:r w:rsidR="00F536BA">
        <w:rPr>
          <w:i/>
          <w:iCs/>
        </w:rPr>
        <w:t>supra</w:t>
      </w:r>
      <w:r w:rsidR="00F536BA">
        <w:t>,</w:t>
      </w:r>
      <w:r w:rsidR="00F536BA">
        <w:rPr>
          <w:i/>
          <w:iCs/>
        </w:rPr>
        <w:t xml:space="preserve"> </w:t>
      </w:r>
      <w:r w:rsidR="00F536BA">
        <w:t xml:space="preserve">at </w:t>
      </w:r>
      <w:r w:rsidR="00D869A2">
        <w:t>872-86</w:t>
      </w:r>
      <w:r w:rsidR="00F536BA">
        <w:t xml:space="preserve">; Louis Kaplow, </w:t>
      </w:r>
      <w:r w:rsidR="00F536BA">
        <w:rPr>
          <w:i/>
          <w:iCs/>
        </w:rPr>
        <w:t>Multistage Adjudication</w:t>
      </w:r>
      <w:r w:rsidR="00F536BA">
        <w:t xml:space="preserve">, 126 Harv. L. Rev. 1179 (2013); Peter B. Rutledge, </w:t>
      </w:r>
      <w:r w:rsidR="00F536BA">
        <w:rPr>
          <w:i/>
          <w:iCs/>
        </w:rPr>
        <w:t>Decisional Sequencing</w:t>
      </w:r>
      <w:r w:rsidR="00F536BA">
        <w:t>, 62 Ala. L. Rev. 1</w:t>
      </w:r>
      <w:r w:rsidR="00D81514">
        <w:t xml:space="preserve"> (</w:t>
      </w:r>
      <w:r w:rsidR="00F536BA">
        <w:t>2010</w:t>
      </w:r>
      <w:r w:rsidR="00D81514">
        <w:t>)</w:t>
      </w:r>
      <w:r w:rsidR="000F37B3">
        <w:t xml:space="preserve">, and </w:t>
      </w:r>
      <w:r w:rsidR="00F536BA">
        <w:t>by comparing their operation in the liability and remedy stages</w:t>
      </w:r>
      <w:r w:rsidR="000F37B3">
        <w:t xml:space="preserve"> of litigation</w:t>
      </w:r>
      <w:r w:rsidR="00F536BA">
        <w:t xml:space="preserve">. </w:t>
      </w:r>
      <w:r w:rsidR="00D81514">
        <w:rPr>
          <w:i/>
          <w:iCs/>
        </w:rPr>
        <w:t>See, e.g.</w:t>
      </w:r>
      <w:r w:rsidR="00D81514">
        <w:t xml:space="preserve">, </w:t>
      </w:r>
      <w:r w:rsidR="00DA0868">
        <w:t xml:space="preserve">Susan P. Sturm, </w:t>
      </w:r>
      <w:r w:rsidR="00DA0868">
        <w:rPr>
          <w:i/>
          <w:iCs/>
        </w:rPr>
        <w:t>The Promise of Participation</w:t>
      </w:r>
      <w:r w:rsidR="00DA0868">
        <w:t>, 78 Iowa L. Rev. 981 (1993)</w:t>
      </w:r>
      <w:r w:rsidR="002A79A7">
        <w:t xml:space="preserve"> (hereinafter “Participation”)</w:t>
      </w:r>
      <w:r w:rsidR="00DA0868">
        <w:t xml:space="preserve">. </w:t>
      </w:r>
    </w:p>
  </w:footnote>
  <w:footnote w:id="136">
    <w:p w14:paraId="5D11BC6B" w14:textId="248D5C56" w:rsidR="004E1418" w:rsidRPr="004E1418" w:rsidRDefault="004E1418" w:rsidP="0067230F">
      <w:pPr>
        <w:pStyle w:val="FootnoteText"/>
        <w:jc w:val="both"/>
      </w:pPr>
      <w:r>
        <w:rPr>
          <w:rStyle w:val="FootnoteReference"/>
        </w:rPr>
        <w:footnoteRef/>
      </w:r>
      <w:r>
        <w:t xml:space="preserve"> </w:t>
      </w:r>
      <w:r w:rsidR="000F37B3">
        <w:t xml:space="preserve">Moore &amp; Levi, </w:t>
      </w:r>
      <w:r w:rsidR="000F37B3" w:rsidRPr="003C3B29">
        <w:rPr>
          <w:i/>
          <w:iCs/>
        </w:rPr>
        <w:t>Federal Intervention I</w:t>
      </w:r>
      <w:r w:rsidR="000F37B3">
        <w:t xml:space="preserve">, </w:t>
      </w:r>
      <w:r w:rsidR="000F37B3">
        <w:rPr>
          <w:i/>
          <w:iCs/>
        </w:rPr>
        <w:t>supra</w:t>
      </w:r>
      <w:r w:rsidR="000F37B3">
        <w:t xml:space="preserve">, at 595. </w:t>
      </w:r>
      <w:r>
        <w:t>(“[I]n many cases where intervention might be denied as an absolute right, it would seem desirable that the trial court exercise its discretion and allow intervention.”)</w:t>
      </w:r>
      <w:r w:rsidR="002D62B6">
        <w:t>.</w:t>
      </w:r>
    </w:p>
  </w:footnote>
  <w:footnote w:id="137">
    <w:p w14:paraId="439F9119" w14:textId="0FD2BE70" w:rsidR="005B1D7A" w:rsidRDefault="005B1D7A" w:rsidP="0067230F">
      <w:pPr>
        <w:pStyle w:val="FootnoteText"/>
        <w:jc w:val="both"/>
      </w:pPr>
      <w:r>
        <w:rPr>
          <w:rStyle w:val="FootnoteReference"/>
        </w:rPr>
        <w:footnoteRef/>
      </w:r>
      <w:r>
        <w:t xml:space="preserve"> </w:t>
      </w:r>
      <w:r w:rsidRPr="00FA09A9">
        <w:t>James W. Ely, Jr., Railroads &amp; American Law 17</w:t>
      </w:r>
      <w:r>
        <w:t>6</w:t>
      </w:r>
      <w:r w:rsidRPr="00FA09A9">
        <w:t xml:space="preserve"> (2001)</w:t>
      </w:r>
      <w:r w:rsidR="006810A4">
        <w:t>.</w:t>
      </w:r>
    </w:p>
  </w:footnote>
  <w:footnote w:id="138">
    <w:p w14:paraId="7CB39005" w14:textId="01AB9484" w:rsidR="00A16FAD" w:rsidRPr="00A16FAD" w:rsidRDefault="00A16FAD" w:rsidP="0067230F">
      <w:pPr>
        <w:pStyle w:val="FootnoteText"/>
        <w:jc w:val="both"/>
      </w:pPr>
      <w:r>
        <w:rPr>
          <w:rStyle w:val="FootnoteReference"/>
        </w:rPr>
        <w:footnoteRef/>
      </w:r>
      <w:r>
        <w:t xml:space="preserve"> </w:t>
      </w:r>
      <w:r>
        <w:rPr>
          <w:i/>
          <w:iCs/>
        </w:rPr>
        <w:t>Id.</w:t>
      </w:r>
      <w:r>
        <w:t xml:space="preserve"> at 177-79. </w:t>
      </w:r>
    </w:p>
  </w:footnote>
  <w:footnote w:id="139">
    <w:p w14:paraId="61D1A97A" w14:textId="20800B6C" w:rsidR="00A00BEB" w:rsidRDefault="00A00BEB" w:rsidP="0067230F">
      <w:pPr>
        <w:pStyle w:val="FootnoteText"/>
        <w:jc w:val="both"/>
      </w:pPr>
      <w:r>
        <w:rPr>
          <w:rStyle w:val="FootnoteReference"/>
        </w:rPr>
        <w:footnoteRef/>
      </w:r>
      <w:r>
        <w:t xml:space="preserve"> Moore &amp; Levi, </w:t>
      </w:r>
      <w:r w:rsidR="002D62B6">
        <w:rPr>
          <w:i/>
          <w:iCs/>
        </w:rPr>
        <w:t xml:space="preserve">Federal </w:t>
      </w:r>
      <w:r w:rsidR="002D62B6" w:rsidRPr="00E72E6E">
        <w:rPr>
          <w:i/>
          <w:iCs/>
        </w:rPr>
        <w:t>Intervention I</w:t>
      </w:r>
      <w:r w:rsidR="002D62B6">
        <w:t xml:space="preserve">, </w:t>
      </w:r>
      <w:r>
        <w:rPr>
          <w:i/>
          <w:iCs/>
        </w:rPr>
        <w:t>supra</w:t>
      </w:r>
      <w:r>
        <w:t>, at 598-99.</w:t>
      </w:r>
    </w:p>
  </w:footnote>
  <w:footnote w:id="140">
    <w:p w14:paraId="3A688B96" w14:textId="5A3ED8A6" w:rsidR="008F6D78" w:rsidRPr="00496DCA" w:rsidRDefault="008F6D78" w:rsidP="0067230F">
      <w:pPr>
        <w:pStyle w:val="FootnoteText"/>
        <w:jc w:val="both"/>
      </w:pPr>
      <w:r>
        <w:rPr>
          <w:rStyle w:val="FootnoteReference"/>
        </w:rPr>
        <w:footnoteRef/>
      </w:r>
      <w:r>
        <w:t xml:space="preserve"> </w:t>
      </w:r>
      <w:r w:rsidR="00496DCA">
        <w:t xml:space="preserve">Ely, </w:t>
      </w:r>
      <w:r w:rsidR="00496DCA">
        <w:rPr>
          <w:i/>
          <w:iCs/>
        </w:rPr>
        <w:t>supra</w:t>
      </w:r>
      <w:r w:rsidR="00496DCA">
        <w:t>, at 177 (“</w:t>
      </w:r>
      <w:r w:rsidR="00496DCA" w:rsidRPr="00496DCA">
        <w:t>The contractual rights of creditors and bondholders were now subordinated to the public interest that transportation services be preserved if possible</w:t>
      </w:r>
      <w:r w:rsidR="00496DCA">
        <w:t xml:space="preserve">.”). </w:t>
      </w:r>
    </w:p>
  </w:footnote>
  <w:footnote w:id="141">
    <w:p w14:paraId="596201F1" w14:textId="0291757F" w:rsidR="008F6D78" w:rsidRPr="0020102E" w:rsidRDefault="008F6D78" w:rsidP="0067230F">
      <w:pPr>
        <w:pStyle w:val="FootnoteText"/>
        <w:jc w:val="both"/>
      </w:pPr>
      <w:r>
        <w:rPr>
          <w:rStyle w:val="FootnoteReference"/>
        </w:rPr>
        <w:footnoteRef/>
      </w:r>
      <w:r>
        <w:t xml:space="preserve"> </w:t>
      </w:r>
      <w:r w:rsidR="00B473E6">
        <w:t xml:space="preserve">Moore &amp; Levi, </w:t>
      </w:r>
      <w:r w:rsidR="002D62B6">
        <w:rPr>
          <w:i/>
          <w:iCs/>
        </w:rPr>
        <w:t xml:space="preserve">Federal </w:t>
      </w:r>
      <w:r w:rsidR="002D62B6" w:rsidRPr="00E72E6E">
        <w:rPr>
          <w:i/>
          <w:iCs/>
        </w:rPr>
        <w:t>Intervention I</w:t>
      </w:r>
      <w:r w:rsidR="002D62B6">
        <w:t xml:space="preserve">, </w:t>
      </w:r>
      <w:r w:rsidR="00B473E6">
        <w:rPr>
          <w:i/>
          <w:iCs/>
        </w:rPr>
        <w:t>supra</w:t>
      </w:r>
      <w:r w:rsidR="00B473E6">
        <w:t xml:space="preserve">, at 604; Moore &amp; Levi, </w:t>
      </w:r>
      <w:r w:rsidR="00B473E6" w:rsidRPr="003C3B29">
        <w:rPr>
          <w:i/>
          <w:iCs/>
        </w:rPr>
        <w:t>Federal Intervention II</w:t>
      </w:r>
      <w:r w:rsidR="00B473E6">
        <w:t xml:space="preserve">, </w:t>
      </w:r>
      <w:r w:rsidR="00B473E6">
        <w:rPr>
          <w:i/>
          <w:iCs/>
        </w:rPr>
        <w:t>supra</w:t>
      </w:r>
      <w:r w:rsidR="00B473E6">
        <w:t>, at 933-34</w:t>
      </w:r>
      <w:r w:rsidR="0020102E">
        <w:t xml:space="preserve">; </w:t>
      </w:r>
      <w:r w:rsidR="0020102E">
        <w:rPr>
          <w:i/>
          <w:iCs/>
        </w:rPr>
        <w:t xml:space="preserve">see also </w:t>
      </w:r>
      <w:r w:rsidR="0020102E">
        <w:t xml:space="preserve">Comment, </w:t>
      </w:r>
      <w:r w:rsidR="0020102E">
        <w:rPr>
          <w:i/>
          <w:iCs/>
        </w:rPr>
        <w:t>Methods of Attacking Receiverships</w:t>
      </w:r>
      <w:r w:rsidR="0020102E">
        <w:t>, 47 Yale L.J. 746</w:t>
      </w:r>
      <w:r w:rsidR="00892478">
        <w:t xml:space="preserve">, </w:t>
      </w:r>
      <w:r w:rsidR="000C64AA">
        <w:t xml:space="preserve">757-58, </w:t>
      </w:r>
      <w:r w:rsidR="00892478">
        <w:t>765</w:t>
      </w:r>
      <w:r w:rsidR="0020102E">
        <w:t xml:space="preserve"> (1938) (discussing intervention and receiverships). </w:t>
      </w:r>
    </w:p>
  </w:footnote>
  <w:footnote w:id="142">
    <w:p w14:paraId="40DE1141" w14:textId="71573462" w:rsidR="0044584E" w:rsidRDefault="0044584E" w:rsidP="0067230F">
      <w:pPr>
        <w:pStyle w:val="FootnoteText"/>
        <w:jc w:val="both"/>
      </w:pPr>
      <w:r>
        <w:rPr>
          <w:rStyle w:val="FootnoteReference"/>
        </w:rPr>
        <w:footnoteRef/>
      </w:r>
      <w:r>
        <w:t xml:space="preserve"> Moore &amp; Levi, </w:t>
      </w:r>
      <w:r w:rsidRPr="003C3B29">
        <w:rPr>
          <w:i/>
          <w:iCs/>
        </w:rPr>
        <w:t>Federal Intervention I</w:t>
      </w:r>
      <w:r>
        <w:t xml:space="preserve">, </w:t>
      </w:r>
      <w:r>
        <w:rPr>
          <w:i/>
          <w:iCs/>
        </w:rPr>
        <w:t>supra</w:t>
      </w:r>
      <w:r>
        <w:t xml:space="preserve">, at 606; Moore &amp; Levi, </w:t>
      </w:r>
      <w:r w:rsidRPr="003C3B29">
        <w:rPr>
          <w:i/>
          <w:iCs/>
        </w:rPr>
        <w:t>Federal Intervention II</w:t>
      </w:r>
      <w:r>
        <w:t xml:space="preserve">, </w:t>
      </w:r>
      <w:r>
        <w:rPr>
          <w:i/>
          <w:iCs/>
        </w:rPr>
        <w:t>supra</w:t>
      </w:r>
      <w:r>
        <w:t>, at 934.</w:t>
      </w:r>
    </w:p>
  </w:footnote>
  <w:footnote w:id="143">
    <w:p w14:paraId="4184A2EA" w14:textId="3823BEE1" w:rsidR="008343F2" w:rsidRDefault="008343F2" w:rsidP="0067230F">
      <w:pPr>
        <w:pStyle w:val="FootnoteText"/>
        <w:jc w:val="both"/>
      </w:pPr>
      <w:r>
        <w:rPr>
          <w:rStyle w:val="FootnoteReference"/>
        </w:rPr>
        <w:footnoteRef/>
      </w:r>
      <w:r>
        <w:t xml:space="preserve"> As </w:t>
      </w:r>
      <w:r w:rsidR="004E03D2">
        <w:t>David</w:t>
      </w:r>
      <w:r>
        <w:t xml:space="preserve"> Shapiro observed, “the increased complexity of litigation and the growing number of cases involving the public interest or a wide variety of private interests have been accompanied by a steady change in the attitude toward intervention.” </w:t>
      </w:r>
      <w:r w:rsidRPr="00FA09A9">
        <w:t xml:space="preserve">Shapiro, </w:t>
      </w:r>
      <w:r w:rsidR="000A534B">
        <w:rPr>
          <w:i/>
          <w:iCs/>
        </w:rPr>
        <w:t>supra</w:t>
      </w:r>
      <w:r w:rsidRPr="00FA09A9">
        <w:t>, at 722.</w:t>
      </w:r>
    </w:p>
  </w:footnote>
  <w:footnote w:id="144">
    <w:p w14:paraId="59903EE0" w14:textId="3AE7A22D" w:rsidR="00F807FA" w:rsidRDefault="00F807FA" w:rsidP="0067230F">
      <w:pPr>
        <w:pStyle w:val="FootnoteText"/>
        <w:jc w:val="both"/>
      </w:pPr>
      <w:r>
        <w:rPr>
          <w:rStyle w:val="FootnoteReference"/>
        </w:rPr>
        <w:footnoteRef/>
      </w:r>
      <w:r>
        <w:t xml:space="preserve"> </w:t>
      </w:r>
      <w:r w:rsidRPr="00FA09A9">
        <w:t>15 U.S.C. §§ </w:t>
      </w:r>
      <w:r>
        <w:t>1-7 (2012)</w:t>
      </w:r>
      <w:r w:rsidRPr="00FA09A9">
        <w:t>.</w:t>
      </w:r>
    </w:p>
  </w:footnote>
  <w:footnote w:id="145">
    <w:p w14:paraId="11678E9A" w14:textId="63455962" w:rsidR="00F807FA" w:rsidRDefault="00F807FA" w:rsidP="0067230F">
      <w:pPr>
        <w:pStyle w:val="FootnoteText"/>
        <w:jc w:val="both"/>
      </w:pPr>
      <w:r>
        <w:rPr>
          <w:rStyle w:val="FootnoteReference"/>
        </w:rPr>
        <w:footnoteRef/>
      </w:r>
      <w:r>
        <w:t xml:space="preserve"> </w:t>
      </w:r>
      <w:r w:rsidRPr="00FA09A9">
        <w:t>15 U.S.C. §§ </w:t>
      </w:r>
      <w:r>
        <w:t xml:space="preserve">12-27 (2012). </w:t>
      </w:r>
    </w:p>
  </w:footnote>
  <w:footnote w:id="146">
    <w:p w14:paraId="361C1460" w14:textId="78EA9C74" w:rsidR="00DA2632" w:rsidRDefault="00DA2632" w:rsidP="0067230F">
      <w:pPr>
        <w:pStyle w:val="FootnoteText"/>
        <w:jc w:val="both"/>
      </w:pPr>
      <w:r>
        <w:rPr>
          <w:rStyle w:val="FootnoteReference"/>
        </w:rPr>
        <w:footnoteRef/>
      </w:r>
      <w:r>
        <w:t xml:space="preserve"> </w:t>
      </w:r>
      <w:r w:rsidRPr="00FA09A9">
        <w:t xml:space="preserve">Robert P. </w:t>
      </w:r>
      <w:proofErr w:type="spellStart"/>
      <w:r w:rsidRPr="00FA09A9">
        <w:t>Schuwerk</w:t>
      </w:r>
      <w:proofErr w:type="spellEnd"/>
      <w:r w:rsidRPr="00FA09A9">
        <w:t xml:space="preserve">, </w:t>
      </w:r>
      <w:r w:rsidRPr="00FC597A">
        <w:rPr>
          <w:i/>
          <w:iCs/>
        </w:rPr>
        <w:t>Private Participation in Department of Justice Antitrust Proceedings</w:t>
      </w:r>
      <w:r w:rsidRPr="00FA09A9">
        <w:t>, 39 U. Chi. L. Rev. 143, 143 (1971) (“The great bulk of federal civil antitrust suits are terminated by consent decrees.”).</w:t>
      </w:r>
    </w:p>
  </w:footnote>
  <w:footnote w:id="147">
    <w:p w14:paraId="734B1540" w14:textId="0B20829B" w:rsidR="00DA2632" w:rsidRDefault="00DA2632" w:rsidP="0067230F">
      <w:pPr>
        <w:pStyle w:val="FootnoteText"/>
        <w:jc w:val="both"/>
      </w:pPr>
      <w:r>
        <w:rPr>
          <w:rStyle w:val="FootnoteReference"/>
        </w:rPr>
        <w:footnoteRef/>
      </w:r>
      <w:r>
        <w:t xml:space="preserve"> </w:t>
      </w:r>
      <w:r w:rsidRPr="00FA09A9">
        <w:rPr>
          <w:i/>
          <w:iCs/>
        </w:rPr>
        <w:t>See</w:t>
      </w:r>
      <w:r w:rsidRPr="00FA09A9">
        <w:t xml:space="preserve">, </w:t>
      </w:r>
      <w:r w:rsidRPr="00FA09A9">
        <w:rPr>
          <w:i/>
          <w:iCs/>
        </w:rPr>
        <w:t>e.g.</w:t>
      </w:r>
      <w:r w:rsidRPr="00FA09A9">
        <w:t xml:space="preserve">, </w:t>
      </w:r>
      <w:r w:rsidRPr="00FA09A9">
        <w:rPr>
          <w:i/>
          <w:iCs/>
        </w:rPr>
        <w:t>United States v. Chicago Title &amp; Tr. Co.</w:t>
      </w:r>
      <w:r w:rsidRPr="00FA09A9">
        <w:t xml:space="preserve">, 1966 WL 86610, at *2 (N.D. Ill. 1966) </w:t>
      </w:r>
      <w:r>
        <w:t>(proposed intervenor arguing that the consent decree that would “</w:t>
      </w:r>
      <w:proofErr w:type="gramStart"/>
      <w:r w:rsidRPr="00FA09A9">
        <w:t>create</w:t>
      </w:r>
      <w:r>
        <w:t>[</w:t>
      </w:r>
      <w:proofErr w:type="gramEnd"/>
      <w:r>
        <w:t>]</w:t>
      </w:r>
      <w:r w:rsidRPr="00FA09A9">
        <w:t xml:space="preserve"> an undue advantage to an unknown but favored competitor in the Chicago market to </w:t>
      </w:r>
      <w:r>
        <w:t xml:space="preserve">[the intervenor’s] </w:t>
      </w:r>
      <w:r w:rsidRPr="00FA09A9">
        <w:t>detriment.”).</w:t>
      </w:r>
    </w:p>
  </w:footnote>
  <w:footnote w:id="148">
    <w:p w14:paraId="72674C05" w14:textId="26B91CEC" w:rsidR="00FC597A" w:rsidRPr="00FC597A" w:rsidRDefault="00FC597A" w:rsidP="0067230F">
      <w:pPr>
        <w:pStyle w:val="FootnoteText"/>
        <w:jc w:val="both"/>
      </w:pPr>
      <w:r>
        <w:rPr>
          <w:rStyle w:val="FootnoteReference"/>
        </w:rPr>
        <w:footnoteRef/>
      </w:r>
      <w:r>
        <w:t xml:space="preserve"> </w:t>
      </w:r>
      <w:proofErr w:type="spellStart"/>
      <w:r>
        <w:t>Schuwerk</w:t>
      </w:r>
      <w:proofErr w:type="spellEnd"/>
      <w:r>
        <w:t xml:space="preserve">, </w:t>
      </w:r>
      <w:r>
        <w:rPr>
          <w:i/>
          <w:iCs/>
        </w:rPr>
        <w:t>supra</w:t>
      </w:r>
      <w:r>
        <w:t xml:space="preserve">, </w:t>
      </w:r>
      <w:r w:rsidR="00294D6A">
        <w:t xml:space="preserve">at </w:t>
      </w:r>
      <w:r>
        <w:t xml:space="preserve">147. </w:t>
      </w:r>
    </w:p>
  </w:footnote>
  <w:footnote w:id="149">
    <w:p w14:paraId="0F1BBC79" w14:textId="4FF31FB4" w:rsidR="004846E9" w:rsidRPr="004846E9" w:rsidRDefault="004846E9" w:rsidP="0067230F">
      <w:pPr>
        <w:pStyle w:val="FootnoteText"/>
        <w:jc w:val="both"/>
      </w:pPr>
      <w:r>
        <w:rPr>
          <w:rStyle w:val="FootnoteReference"/>
        </w:rPr>
        <w:footnoteRef/>
      </w:r>
      <w:r>
        <w:t xml:space="preserve"> </w:t>
      </w:r>
      <w:r>
        <w:rPr>
          <w:i/>
          <w:iCs/>
        </w:rPr>
        <w:t>Id.</w:t>
      </w:r>
      <w:r>
        <w:t xml:space="preserve"> at 147-48; </w:t>
      </w:r>
      <w:r>
        <w:rPr>
          <w:i/>
          <w:iCs/>
        </w:rPr>
        <w:t xml:space="preserve">see also </w:t>
      </w:r>
      <w:r w:rsidRPr="00FA09A9">
        <w:rPr>
          <w:i/>
          <w:iCs/>
        </w:rPr>
        <w:t>United States v. Gen. Elec. Co.</w:t>
      </w:r>
      <w:r w:rsidRPr="00FA09A9">
        <w:t>, 95 F. Supp. 165, 168 (D.N.J. 1950)</w:t>
      </w:r>
      <w:r>
        <w:t xml:space="preserve"> (“[T]he Department of Justice adequately represent[s] the public interest in free competition including the interests of the present applicants for intervention.”).</w:t>
      </w:r>
    </w:p>
  </w:footnote>
  <w:footnote w:id="150">
    <w:p w14:paraId="18FF588C" w14:textId="65276218" w:rsidR="00CE2FB5" w:rsidRDefault="00CE2FB5" w:rsidP="0067230F">
      <w:pPr>
        <w:pStyle w:val="FootnoteText"/>
        <w:jc w:val="both"/>
      </w:pPr>
      <w:r>
        <w:rPr>
          <w:rStyle w:val="FootnoteReference"/>
        </w:rPr>
        <w:footnoteRef/>
      </w:r>
      <w:r>
        <w:t xml:space="preserve"> </w:t>
      </w:r>
      <w:r w:rsidRPr="00FA09A9">
        <w:rPr>
          <w:i/>
          <w:iCs/>
        </w:rPr>
        <w:t>Sam Fox Pub. Co. v. United States</w:t>
      </w:r>
      <w:r w:rsidRPr="00FA09A9">
        <w:t>, 366 U.S. 683, 689 (1961).</w:t>
      </w:r>
    </w:p>
  </w:footnote>
  <w:footnote w:id="151">
    <w:p w14:paraId="193B628E" w14:textId="19870BB4" w:rsidR="000A605F" w:rsidRPr="00A72459" w:rsidRDefault="000A605F" w:rsidP="0067230F">
      <w:pPr>
        <w:pStyle w:val="FootnoteText"/>
        <w:jc w:val="both"/>
      </w:pPr>
      <w:r>
        <w:rPr>
          <w:rStyle w:val="FootnoteReference"/>
        </w:rPr>
        <w:footnoteRef/>
      </w:r>
      <w:r>
        <w:t xml:space="preserve"> </w:t>
      </w:r>
      <w:r w:rsidR="00A72459" w:rsidRPr="00FA09A9">
        <w:t xml:space="preserve">Kaplan, </w:t>
      </w:r>
      <w:r w:rsidR="00A72459" w:rsidRPr="00FA09A9">
        <w:rPr>
          <w:i/>
          <w:iCs/>
        </w:rPr>
        <w:t>supra</w:t>
      </w:r>
      <w:r w:rsidR="00A72459" w:rsidRPr="00FA09A9">
        <w:t xml:space="preserve">, </w:t>
      </w:r>
      <w:r w:rsidR="00294D6A">
        <w:t xml:space="preserve">at </w:t>
      </w:r>
      <w:r w:rsidR="00A72459" w:rsidRPr="00FA09A9">
        <w:t>402 (noting the Supreme Court’s “disfavor of private interventions in government antitrust suits”);</w:t>
      </w:r>
      <w:r w:rsidR="00A72459">
        <w:t xml:space="preserve"> Shapiro, </w:t>
      </w:r>
      <w:r w:rsidR="00A72459">
        <w:rPr>
          <w:i/>
          <w:iCs/>
        </w:rPr>
        <w:t>supra</w:t>
      </w:r>
      <w:r w:rsidR="00A72459">
        <w:t xml:space="preserve">, at 743 &amp; n. 103 (quoting a motion to dismiss that asserted that the Supreme Court’s decision in </w:t>
      </w:r>
      <w:r w:rsidR="00A72459">
        <w:rPr>
          <w:i/>
          <w:iCs/>
        </w:rPr>
        <w:t>Cascade</w:t>
      </w:r>
      <w:r w:rsidR="000C53E1">
        <w:rPr>
          <w:i/>
          <w:iCs/>
        </w:rPr>
        <w:t xml:space="preserve"> </w:t>
      </w:r>
      <w:r w:rsidR="00A72459">
        <w:t>was “the first decision of the Supreme Court in over 25 years to allow intervention in a government antitrust suit”).</w:t>
      </w:r>
    </w:p>
  </w:footnote>
  <w:footnote w:id="152">
    <w:p w14:paraId="4626D20A" w14:textId="7B44E154" w:rsidR="00AF45A1" w:rsidRDefault="00AF45A1" w:rsidP="0067230F">
      <w:pPr>
        <w:pStyle w:val="FootnoteText"/>
        <w:jc w:val="both"/>
      </w:pPr>
      <w:r>
        <w:rPr>
          <w:rStyle w:val="FootnoteReference"/>
        </w:rPr>
        <w:footnoteRef/>
      </w:r>
      <w:r>
        <w:t xml:space="preserve"> </w:t>
      </w:r>
      <w:r w:rsidR="00704960">
        <w:rPr>
          <w:i/>
          <w:iCs/>
        </w:rPr>
        <w:t xml:space="preserve">See </w:t>
      </w:r>
      <w:r w:rsidR="009A14BB" w:rsidRPr="00FA09A9">
        <w:t xml:space="preserve">Chayes, </w:t>
      </w:r>
      <w:r w:rsidR="00D92A29">
        <w:rPr>
          <w:i/>
          <w:iCs/>
        </w:rPr>
        <w:t>Public Law</w:t>
      </w:r>
      <w:r w:rsidR="00D92A29" w:rsidRPr="00D92A29">
        <w:t>,</w:t>
      </w:r>
      <w:r w:rsidR="00D92A29">
        <w:rPr>
          <w:i/>
          <w:iCs/>
        </w:rPr>
        <w:t xml:space="preserve"> supra</w:t>
      </w:r>
      <w:r w:rsidR="00D92A29">
        <w:t>, at</w:t>
      </w:r>
      <w:r w:rsidR="00D92A29" w:rsidRPr="00D92A29">
        <w:t xml:space="preserve"> </w:t>
      </w:r>
      <w:r w:rsidR="009A14BB" w:rsidRPr="00FA09A9">
        <w:t xml:space="preserve">89 Harv. L. Rev. </w:t>
      </w:r>
      <w:r w:rsidR="009D0459">
        <w:t xml:space="preserve">at </w:t>
      </w:r>
      <w:r w:rsidR="009A14BB">
        <w:t>1293, 1302</w:t>
      </w:r>
      <w:r w:rsidR="006246CE">
        <w:t xml:space="preserve">; </w:t>
      </w:r>
      <w:r w:rsidR="006246CE" w:rsidRPr="00FA09A9">
        <w:t xml:space="preserve">Ross Sandler &amp; David </w:t>
      </w:r>
      <w:proofErr w:type="spellStart"/>
      <w:r w:rsidR="006246CE" w:rsidRPr="00FA09A9">
        <w:t>Schoenbrod</w:t>
      </w:r>
      <w:proofErr w:type="spellEnd"/>
      <w:r w:rsidR="006246CE" w:rsidRPr="00FA09A9">
        <w:t xml:space="preserve">, Democracy by Decree: What Happens When Courts Run Government </w:t>
      </w:r>
      <w:r w:rsidR="006246CE">
        <w:t>13-34</w:t>
      </w:r>
      <w:r w:rsidR="006246CE" w:rsidRPr="00FA09A9">
        <w:t xml:space="preserve"> (2003)</w:t>
      </w:r>
      <w:r w:rsidR="006246CE">
        <w:t>.</w:t>
      </w:r>
      <w:r w:rsidR="006246CE" w:rsidRPr="00FA09A9">
        <w:t xml:space="preserve"> </w:t>
      </w:r>
      <w:r w:rsidR="009A14BB" w:rsidRPr="00FA09A9">
        <w:t xml:space="preserve">Famous examples include suits to desegregate schools, reform prisons, police departments, mental health facilities, and public housing. </w:t>
      </w:r>
      <w:r w:rsidR="009A14BB">
        <w:rPr>
          <w:i/>
          <w:iCs/>
        </w:rPr>
        <w:t xml:space="preserve">See </w:t>
      </w:r>
      <w:r w:rsidR="009A14BB" w:rsidRPr="00FA09A9">
        <w:t xml:space="preserve">Charles F. </w:t>
      </w:r>
      <w:proofErr w:type="spellStart"/>
      <w:r w:rsidR="009A14BB" w:rsidRPr="00FA09A9">
        <w:t>Sabel</w:t>
      </w:r>
      <w:proofErr w:type="spellEnd"/>
      <w:r w:rsidR="009A14BB" w:rsidRPr="00FA09A9">
        <w:t xml:space="preserve"> &amp; William H. Simon, </w:t>
      </w:r>
      <w:r w:rsidR="009A14BB" w:rsidRPr="00FA09A9">
        <w:rPr>
          <w:i/>
          <w:iCs/>
        </w:rPr>
        <w:t>Destabilization Rights: How Public Law Litigation Succeeds</w:t>
      </w:r>
      <w:r w:rsidR="009A14BB" w:rsidRPr="00FA09A9">
        <w:t xml:space="preserve">, 117 Harv. L. Rev. 1016, </w:t>
      </w:r>
      <w:r w:rsidR="009A14BB">
        <w:t>1021-52</w:t>
      </w:r>
      <w:r w:rsidR="009A14BB" w:rsidRPr="00FA09A9">
        <w:t xml:space="preserve"> (2004)</w:t>
      </w:r>
      <w:r w:rsidR="009A14BB">
        <w:t xml:space="preserve">. </w:t>
      </w:r>
    </w:p>
  </w:footnote>
  <w:footnote w:id="153">
    <w:p w14:paraId="787A7AC3" w14:textId="25C44D00" w:rsidR="0008377F" w:rsidRPr="00056CDB" w:rsidRDefault="0008377F" w:rsidP="0067230F">
      <w:pPr>
        <w:pStyle w:val="FootnoteText"/>
        <w:jc w:val="both"/>
      </w:pPr>
      <w:r>
        <w:rPr>
          <w:rStyle w:val="FootnoteReference"/>
        </w:rPr>
        <w:footnoteRef/>
      </w:r>
      <w:r>
        <w:t xml:space="preserve"> </w:t>
      </w:r>
      <w:proofErr w:type="spellStart"/>
      <w:r w:rsidR="0038426F">
        <w:t>Fiss</w:t>
      </w:r>
      <w:proofErr w:type="spellEnd"/>
      <w:r w:rsidR="0038426F">
        <w:t xml:space="preserve">, </w:t>
      </w:r>
      <w:r w:rsidR="00CA1B0E">
        <w:rPr>
          <w:i/>
          <w:iCs/>
        </w:rPr>
        <w:t>supra</w:t>
      </w:r>
      <w:r w:rsidR="00CA1B0E">
        <w:t>,</w:t>
      </w:r>
      <w:r w:rsidR="00CA1B0E">
        <w:rPr>
          <w:i/>
          <w:iCs/>
        </w:rPr>
        <w:t xml:space="preserve"> </w:t>
      </w:r>
      <w:r w:rsidR="00CA1B0E">
        <w:t xml:space="preserve">at </w:t>
      </w:r>
      <w:r w:rsidR="0038426F">
        <w:t>18-28</w:t>
      </w:r>
      <w:r w:rsidR="00FC1BDC">
        <w:t xml:space="preserve">; </w:t>
      </w:r>
      <w:r w:rsidR="00FC1BDC" w:rsidRPr="00FA09A9">
        <w:t xml:space="preserve">Chayes, </w:t>
      </w:r>
      <w:r w:rsidR="00D92A29">
        <w:rPr>
          <w:i/>
          <w:iCs/>
        </w:rPr>
        <w:t>Public Law</w:t>
      </w:r>
      <w:r w:rsidR="00D92A29" w:rsidRPr="00D92A29">
        <w:t>,</w:t>
      </w:r>
      <w:r w:rsidR="00D92A29">
        <w:rPr>
          <w:i/>
          <w:iCs/>
        </w:rPr>
        <w:t xml:space="preserve"> </w:t>
      </w:r>
      <w:r w:rsidR="00FC1BDC" w:rsidRPr="00FA09A9">
        <w:rPr>
          <w:i/>
          <w:iCs/>
        </w:rPr>
        <w:t>supra</w:t>
      </w:r>
      <w:r w:rsidR="00FC1BDC" w:rsidRPr="00FA09A9">
        <w:t>, at 1284, 1288-89, 130</w:t>
      </w:r>
      <w:r w:rsidR="00FC1BDC">
        <w:t xml:space="preserve">2-04; </w:t>
      </w:r>
      <w:r w:rsidR="00FC1BDC" w:rsidRPr="00FA09A9">
        <w:t xml:space="preserve">Abram Chayes, </w:t>
      </w:r>
      <w:r w:rsidR="00FC1BDC" w:rsidRPr="00FA09A9">
        <w:rPr>
          <w:i/>
          <w:iCs/>
        </w:rPr>
        <w:t>The Supreme Court 1981 Term—Foreword: Public Law Litigation and the Burger Court</w:t>
      </w:r>
      <w:r w:rsidR="00FC1BDC" w:rsidRPr="00FA09A9">
        <w:t>, 96 Harv. L. Rev. 4, 4-6</w:t>
      </w:r>
      <w:r w:rsidR="00FC1BDC">
        <w:t>, 58</w:t>
      </w:r>
      <w:r w:rsidR="00FC1BDC" w:rsidRPr="00FA09A9">
        <w:t xml:space="preserve"> (1982)</w:t>
      </w:r>
      <w:r w:rsidR="00301C27">
        <w:t>;</w:t>
      </w:r>
      <w:r w:rsidR="00056CDB">
        <w:t xml:space="preserve"> Theodore Eisenberg &amp; Stephen C. </w:t>
      </w:r>
      <w:proofErr w:type="spellStart"/>
      <w:r w:rsidR="00056CDB">
        <w:t>Yeazell</w:t>
      </w:r>
      <w:proofErr w:type="spellEnd"/>
      <w:r w:rsidR="00056CDB">
        <w:t xml:space="preserve">, </w:t>
      </w:r>
      <w:r w:rsidR="00056CDB">
        <w:rPr>
          <w:i/>
          <w:iCs/>
        </w:rPr>
        <w:t>The Ordinary and Extraordinary in Institutional Litigation</w:t>
      </w:r>
      <w:r w:rsidR="00056CDB">
        <w:t>, 93 Harv. L. Rev. 465, 472-473 (1980) (summarizing features</w:t>
      </w:r>
      <w:r w:rsidR="000278C0">
        <w:t xml:space="preserve"> raised by critics</w:t>
      </w:r>
      <w:r w:rsidR="00056CDB">
        <w:t xml:space="preserve">, but disputing just how new or rare these features </w:t>
      </w:r>
      <w:r w:rsidR="00C75298">
        <w:t>are</w:t>
      </w:r>
      <w:r w:rsidR="000278C0">
        <w:t xml:space="preserve"> in other types of litigation</w:t>
      </w:r>
      <w:r w:rsidR="00056CDB">
        <w:t>)</w:t>
      </w:r>
      <w:r w:rsidR="009D0459">
        <w:t>.</w:t>
      </w:r>
    </w:p>
  </w:footnote>
  <w:footnote w:id="154">
    <w:p w14:paraId="5772D760" w14:textId="1BF4EB39" w:rsidR="006631A8" w:rsidRPr="00856C6C" w:rsidRDefault="006631A8" w:rsidP="0067230F">
      <w:pPr>
        <w:pStyle w:val="FootnoteText"/>
        <w:jc w:val="both"/>
      </w:pPr>
      <w:r>
        <w:rPr>
          <w:rStyle w:val="FootnoteReference"/>
        </w:rPr>
        <w:footnoteRef/>
      </w:r>
      <w:r>
        <w:t xml:space="preserve"> </w:t>
      </w:r>
      <w:r w:rsidR="00856C6C">
        <w:rPr>
          <w:i/>
          <w:iCs/>
        </w:rPr>
        <w:t>See, e.g.</w:t>
      </w:r>
      <w:r w:rsidR="00856C6C" w:rsidRPr="00856C6C">
        <w:t>,</w:t>
      </w:r>
      <w:r w:rsidR="00856C6C">
        <w:rPr>
          <w:i/>
          <w:iCs/>
        </w:rPr>
        <w:t xml:space="preserve"> </w:t>
      </w:r>
      <w:r w:rsidRPr="006631A8">
        <w:t xml:space="preserve">John C. Jeffries Jr. &amp; George A. Rutherglen, </w:t>
      </w:r>
      <w:r w:rsidRPr="006631A8">
        <w:rPr>
          <w:i/>
          <w:iCs/>
        </w:rPr>
        <w:t>Structural Reform Revisited</w:t>
      </w:r>
      <w:r w:rsidRPr="006631A8">
        <w:t>, 95 C</w:t>
      </w:r>
      <w:r>
        <w:t xml:space="preserve">alif. L. Rev. </w:t>
      </w:r>
      <w:r w:rsidRPr="006631A8">
        <w:t>1387</w:t>
      </w:r>
      <w:r>
        <w:t xml:space="preserve">, </w:t>
      </w:r>
      <w:r w:rsidR="007B3232">
        <w:t>1387</w:t>
      </w:r>
      <w:r w:rsidRPr="006631A8">
        <w:t xml:space="preserve"> (2007)</w:t>
      </w:r>
      <w:r w:rsidR="00856C6C">
        <w:t xml:space="preserve">; Robert F. Nagel, </w:t>
      </w:r>
      <w:r w:rsidR="00856C6C">
        <w:rPr>
          <w:i/>
          <w:iCs/>
        </w:rPr>
        <w:t xml:space="preserve">Separation of </w:t>
      </w:r>
      <w:proofErr w:type="gramStart"/>
      <w:r w:rsidR="00856C6C">
        <w:rPr>
          <w:i/>
          <w:iCs/>
        </w:rPr>
        <w:t>Powers</w:t>
      </w:r>
      <w:proofErr w:type="gramEnd"/>
      <w:r w:rsidR="00856C6C">
        <w:rPr>
          <w:i/>
          <w:iCs/>
        </w:rPr>
        <w:t xml:space="preserve"> and the Scope of Federal Equitable Remedies</w:t>
      </w:r>
      <w:r w:rsidR="00856C6C">
        <w:t xml:space="preserve">, 30 Stan. L. Rev. 661 (1978). </w:t>
      </w:r>
    </w:p>
  </w:footnote>
  <w:footnote w:id="155">
    <w:p w14:paraId="1A1FCE5C" w14:textId="76DA51B5" w:rsidR="00547191" w:rsidRPr="00A93BCC" w:rsidRDefault="00547191" w:rsidP="0067230F">
      <w:pPr>
        <w:pStyle w:val="FootnoteText"/>
        <w:jc w:val="both"/>
        <w:rPr>
          <w:highlight w:val="yellow"/>
        </w:rPr>
      </w:pPr>
      <w:r w:rsidRPr="00C75298">
        <w:rPr>
          <w:rStyle w:val="FootnoteReference"/>
        </w:rPr>
        <w:footnoteRef/>
      </w:r>
      <w:r w:rsidRPr="00C75298">
        <w:t xml:space="preserve"> Eisenberg &amp; </w:t>
      </w:r>
      <w:proofErr w:type="spellStart"/>
      <w:r w:rsidRPr="00C75298">
        <w:t>Yeazell</w:t>
      </w:r>
      <w:proofErr w:type="spellEnd"/>
      <w:r w:rsidRPr="00C75298">
        <w:t xml:space="preserve">, </w:t>
      </w:r>
      <w:r w:rsidR="00F50DE3" w:rsidRPr="00C75298">
        <w:rPr>
          <w:i/>
          <w:iCs/>
        </w:rPr>
        <w:t>supra</w:t>
      </w:r>
      <w:r w:rsidR="00F50DE3" w:rsidRPr="00C75298">
        <w:t xml:space="preserve">, </w:t>
      </w:r>
      <w:r w:rsidR="00294D6A">
        <w:t xml:space="preserve">at </w:t>
      </w:r>
      <w:r w:rsidR="00F50DE3" w:rsidRPr="00C75298">
        <w:t xml:space="preserve">465, </w:t>
      </w:r>
      <w:r w:rsidR="00856C6C">
        <w:t xml:space="preserve">466 n.2, </w:t>
      </w:r>
      <w:r w:rsidR="00F50DE3" w:rsidRPr="00C75298">
        <w:t>472-473</w:t>
      </w:r>
      <w:r w:rsidR="00D71B69" w:rsidRPr="00C75298">
        <w:t xml:space="preserve">. </w:t>
      </w:r>
    </w:p>
  </w:footnote>
  <w:footnote w:id="156">
    <w:p w14:paraId="4FA38A81" w14:textId="5B79615E" w:rsidR="00A8228D" w:rsidRPr="00F8521F" w:rsidRDefault="00A8228D" w:rsidP="0067230F">
      <w:pPr>
        <w:pStyle w:val="FootnoteText"/>
        <w:jc w:val="both"/>
      </w:pPr>
      <w:r w:rsidRPr="00F8521F">
        <w:rPr>
          <w:rStyle w:val="FootnoteReference"/>
        </w:rPr>
        <w:footnoteRef/>
      </w:r>
      <w:r w:rsidRPr="00F8521F">
        <w:t xml:space="preserve"> </w:t>
      </w:r>
      <w:r w:rsidR="00F8521F" w:rsidRPr="00F8521F">
        <w:rPr>
          <w:i/>
          <w:iCs/>
        </w:rPr>
        <w:t>See, e</w:t>
      </w:r>
      <w:r w:rsidRPr="00F8521F">
        <w:rPr>
          <w:i/>
          <w:iCs/>
        </w:rPr>
        <w:t>.g.</w:t>
      </w:r>
      <w:r w:rsidRPr="00F8521F">
        <w:t xml:space="preserve">, </w:t>
      </w:r>
      <w:r w:rsidR="002A79A7" w:rsidRPr="00F8521F">
        <w:t xml:space="preserve">Sturm, </w:t>
      </w:r>
      <w:r w:rsidR="002A79A7" w:rsidRPr="00F8521F">
        <w:rPr>
          <w:i/>
          <w:iCs/>
        </w:rPr>
        <w:t>Promise of Participation</w:t>
      </w:r>
      <w:r w:rsidR="002A79A7" w:rsidRPr="00F8521F">
        <w:t xml:space="preserve">, </w:t>
      </w:r>
      <w:r w:rsidRPr="00F8521F">
        <w:rPr>
          <w:i/>
          <w:iCs/>
        </w:rPr>
        <w:t>supra</w:t>
      </w:r>
      <w:r w:rsidRPr="00F8521F">
        <w:t>, at 991</w:t>
      </w:r>
      <w:r w:rsidR="002A79A7" w:rsidRPr="00F8521F">
        <w:t>;</w:t>
      </w:r>
      <w:r w:rsidR="002A79A7">
        <w:t xml:space="preserve"> </w:t>
      </w:r>
      <w:r w:rsidR="00747F6B">
        <w:t xml:space="preserve">Moss, </w:t>
      </w:r>
      <w:r w:rsidR="00747F6B">
        <w:rPr>
          <w:i/>
          <w:iCs/>
        </w:rPr>
        <w:t>supra</w:t>
      </w:r>
      <w:r w:rsidR="00747F6B">
        <w:t xml:space="preserve">, at 1829-34 (arguing for Rule 23(e) fairness hearings in structural-injunction cases in part because courts blocked intervention by applying the presumption of adequate representation for Rule 24); </w:t>
      </w:r>
      <w:proofErr w:type="spellStart"/>
      <w:r w:rsidR="00F8521F">
        <w:t>Yeazell</w:t>
      </w:r>
      <w:proofErr w:type="spellEnd"/>
      <w:r w:rsidR="00F8521F">
        <w:t xml:space="preserve">, </w:t>
      </w:r>
      <w:r w:rsidR="00F8521F">
        <w:rPr>
          <w:i/>
          <w:iCs/>
        </w:rPr>
        <w:t>Intervention</w:t>
      </w:r>
      <w:r w:rsidR="00F8521F">
        <w:t xml:space="preserve">, </w:t>
      </w:r>
      <w:r w:rsidR="00F8521F">
        <w:rPr>
          <w:i/>
          <w:iCs/>
        </w:rPr>
        <w:t>supra</w:t>
      </w:r>
      <w:r w:rsidR="00F8521F">
        <w:t xml:space="preserve">, at 260. </w:t>
      </w:r>
    </w:p>
  </w:footnote>
  <w:footnote w:id="157">
    <w:p w14:paraId="65DF8111" w14:textId="5B9E83FE" w:rsidR="00D16AF1" w:rsidRPr="00A93BCC" w:rsidRDefault="00D16AF1" w:rsidP="0067230F">
      <w:pPr>
        <w:pStyle w:val="FootnoteText"/>
        <w:jc w:val="both"/>
        <w:rPr>
          <w:highlight w:val="yellow"/>
        </w:rPr>
      </w:pPr>
      <w:r w:rsidRPr="000F4BF4">
        <w:rPr>
          <w:rStyle w:val="FootnoteReference"/>
        </w:rPr>
        <w:footnoteRef/>
      </w:r>
      <w:r w:rsidRPr="000F4BF4">
        <w:t xml:space="preserve"> </w:t>
      </w:r>
      <w:r w:rsidR="000F4BF4" w:rsidRPr="000F4BF4">
        <w:t xml:space="preserve">Sturm, </w:t>
      </w:r>
      <w:r w:rsidR="000F4BF4" w:rsidRPr="000F4BF4">
        <w:rPr>
          <w:i/>
          <w:iCs/>
        </w:rPr>
        <w:t>supra</w:t>
      </w:r>
      <w:r w:rsidR="000F4BF4" w:rsidRPr="000F4BF4">
        <w:t xml:space="preserve">, 982 n.7; Sturm, </w:t>
      </w:r>
      <w:r w:rsidR="000F4BF4" w:rsidRPr="000F4BF4">
        <w:rPr>
          <w:i/>
          <w:iCs/>
        </w:rPr>
        <w:t>Public Law</w:t>
      </w:r>
      <w:r w:rsidR="000F4BF4" w:rsidRPr="000F4BF4">
        <w:t xml:space="preserve">, </w:t>
      </w:r>
      <w:r w:rsidR="000F4BF4" w:rsidRPr="000F4BF4">
        <w:rPr>
          <w:i/>
          <w:iCs/>
        </w:rPr>
        <w:t>supra</w:t>
      </w:r>
      <w:r w:rsidR="000F4BF4" w:rsidRPr="000F4BF4">
        <w:t>, 1391-96.</w:t>
      </w:r>
      <w:r w:rsidRPr="000F4BF4">
        <w:t xml:space="preserve"> </w:t>
      </w:r>
    </w:p>
  </w:footnote>
  <w:footnote w:id="158">
    <w:p w14:paraId="498A9432" w14:textId="21AFB331" w:rsidR="00CB7F7F" w:rsidRPr="00BB28C9" w:rsidRDefault="00CB7F7F" w:rsidP="0067230F">
      <w:pPr>
        <w:pStyle w:val="FootnoteText"/>
        <w:jc w:val="both"/>
        <w:rPr>
          <w:highlight w:val="yellow"/>
        </w:rPr>
      </w:pPr>
      <w:r w:rsidRPr="00BB28C9">
        <w:rPr>
          <w:rStyle w:val="FootnoteReference"/>
        </w:rPr>
        <w:footnoteRef/>
      </w:r>
      <w:r w:rsidRPr="00BB28C9">
        <w:t xml:space="preserve"> </w:t>
      </w:r>
      <w:r w:rsidR="00BB28C9">
        <w:rPr>
          <w:i/>
          <w:iCs/>
        </w:rPr>
        <w:t xml:space="preserve">See </w:t>
      </w:r>
      <w:r w:rsidR="00BB28C9" w:rsidRPr="00E753DB">
        <w:rPr>
          <w:i/>
          <w:iCs/>
        </w:rPr>
        <w:t>infra</w:t>
      </w:r>
      <w:r w:rsidR="00BB28C9" w:rsidRPr="00E753DB">
        <w:t xml:space="preserve"> n. 130.</w:t>
      </w:r>
    </w:p>
  </w:footnote>
  <w:footnote w:id="159">
    <w:p w14:paraId="1C95FE0D" w14:textId="3170FCFB" w:rsidR="00F05C97" w:rsidRDefault="00F05C97" w:rsidP="0067230F">
      <w:pPr>
        <w:pStyle w:val="FootnoteText"/>
        <w:jc w:val="both"/>
      </w:pPr>
      <w:r>
        <w:rPr>
          <w:rStyle w:val="FootnoteReference"/>
        </w:rPr>
        <w:footnoteRef/>
      </w:r>
      <w:r>
        <w:t xml:space="preserve"> </w:t>
      </w:r>
      <w:r w:rsidR="004E0B33" w:rsidRPr="004E0B33">
        <w:t xml:space="preserve">John Harrison, </w:t>
      </w:r>
      <w:r w:rsidR="004E0B33" w:rsidRPr="004E0B33">
        <w:rPr>
          <w:i/>
          <w:iCs/>
        </w:rPr>
        <w:t>Section 706 of the Administrative Procedure Act Does Not Call for Universal Injunctions or Other Universal Remedies</w:t>
      </w:r>
      <w:r w:rsidR="004E0B33" w:rsidRPr="004E0B33">
        <w:t>, 37 Y</w:t>
      </w:r>
      <w:r w:rsidR="004E0B33">
        <w:t>ale</w:t>
      </w:r>
      <w:r w:rsidR="004E0B33" w:rsidRPr="004E0B33">
        <w:t xml:space="preserve"> J. R</w:t>
      </w:r>
      <w:r w:rsidR="004E0B33">
        <w:t>eg</w:t>
      </w:r>
      <w:r w:rsidR="004E0B33" w:rsidRPr="004E0B33">
        <w:t>. B</w:t>
      </w:r>
      <w:r w:rsidR="004E0B33">
        <w:t>ull</w:t>
      </w:r>
      <w:r w:rsidR="004E0B33" w:rsidRPr="004E0B33">
        <w:t>. 37 (2020)</w:t>
      </w:r>
      <w:r w:rsidR="003412C3">
        <w:t xml:space="preserve"> (hereinafter “Section 706”)</w:t>
      </w:r>
      <w:r w:rsidR="004E0B33">
        <w:t>.</w:t>
      </w:r>
    </w:p>
  </w:footnote>
  <w:footnote w:id="160">
    <w:p w14:paraId="404BA428" w14:textId="51605FDA" w:rsidR="00E8684F" w:rsidRPr="0030512A" w:rsidRDefault="00E8684F" w:rsidP="0067230F">
      <w:pPr>
        <w:pStyle w:val="FootnoteText"/>
        <w:jc w:val="both"/>
      </w:pPr>
      <w:r>
        <w:rPr>
          <w:rStyle w:val="FootnoteReference"/>
        </w:rPr>
        <w:footnoteRef/>
      </w:r>
      <w:r>
        <w:t xml:space="preserve"> Bray, </w:t>
      </w:r>
      <w:r>
        <w:rPr>
          <w:i/>
          <w:iCs/>
        </w:rPr>
        <w:t>supra</w:t>
      </w:r>
      <w:r>
        <w:t>,</w:t>
      </w:r>
      <w:r w:rsidR="00294D6A">
        <w:t xml:space="preserve"> at</w:t>
      </w:r>
      <w:r>
        <w:t xml:space="preserve"> 419 n.5; </w:t>
      </w:r>
      <w:r>
        <w:rPr>
          <w:i/>
          <w:iCs/>
        </w:rPr>
        <w:t>Trump v. Hawaii</w:t>
      </w:r>
      <w:r>
        <w:t xml:space="preserve">, 138 S. Ct. 2392, 2425 n.1 (2018) (Thomas, J., concurring). </w:t>
      </w:r>
    </w:p>
  </w:footnote>
  <w:footnote w:id="161">
    <w:p w14:paraId="3FA2E013" w14:textId="0A54E419" w:rsidR="00E8684F" w:rsidRPr="00182A15" w:rsidRDefault="00E8684F" w:rsidP="0067230F">
      <w:pPr>
        <w:pStyle w:val="FootnoteText"/>
        <w:jc w:val="both"/>
      </w:pPr>
      <w:r>
        <w:rPr>
          <w:rStyle w:val="FootnoteReference"/>
        </w:rPr>
        <w:footnoteRef/>
      </w:r>
      <w:r>
        <w:t xml:space="preserve"> Milan D. Smith, Jr., </w:t>
      </w:r>
      <w:r>
        <w:rPr>
          <w:i/>
          <w:iCs/>
        </w:rPr>
        <w:t>Only Where Justified: Toward Limits and Explanatory Requirements for Nationwide Injunctions</w:t>
      </w:r>
      <w:r>
        <w:t>, 95 Notre Dame L. Rev. 2013, 2018 n.18-19 (2020)</w:t>
      </w:r>
      <w:r w:rsidR="00182A15">
        <w:t xml:space="preserve">; </w:t>
      </w:r>
      <w:r w:rsidR="00182A15">
        <w:rPr>
          <w:i/>
          <w:iCs/>
        </w:rPr>
        <w:t xml:space="preserve">but see </w:t>
      </w:r>
      <w:r w:rsidR="00182A15">
        <w:t xml:space="preserve">Nicholas R. </w:t>
      </w:r>
      <w:proofErr w:type="spellStart"/>
      <w:r w:rsidR="00182A15">
        <w:t>Parrillo</w:t>
      </w:r>
      <w:proofErr w:type="spellEnd"/>
      <w:r w:rsidR="00182A15">
        <w:t xml:space="preserve">, </w:t>
      </w:r>
      <w:r w:rsidR="00182A15">
        <w:rPr>
          <w:i/>
          <w:iCs/>
        </w:rPr>
        <w:t>The Endgame of Administrative Law: Governmental Disobedience and the Judicial Contempt Power</w:t>
      </w:r>
      <w:r w:rsidR="00182A15">
        <w:t>,</w:t>
      </w:r>
      <w:r w:rsidR="00182A15">
        <w:rPr>
          <w:i/>
          <w:iCs/>
        </w:rPr>
        <w:t xml:space="preserve"> </w:t>
      </w:r>
      <w:r w:rsidR="00182A15">
        <w:t xml:space="preserve">131 Harv. L. Rev. 685 (2018). </w:t>
      </w:r>
    </w:p>
  </w:footnote>
  <w:footnote w:id="162">
    <w:p w14:paraId="119C0901" w14:textId="021E0A4B" w:rsidR="00F05C97" w:rsidRPr="0030512A" w:rsidRDefault="00F05C97" w:rsidP="0067230F">
      <w:pPr>
        <w:pStyle w:val="FootnoteText"/>
        <w:jc w:val="both"/>
      </w:pPr>
      <w:r>
        <w:rPr>
          <w:rStyle w:val="FootnoteReference"/>
        </w:rPr>
        <w:footnoteRef/>
      </w:r>
      <w:r>
        <w:t xml:space="preserve"> </w:t>
      </w:r>
      <w:proofErr w:type="spellStart"/>
      <w:r w:rsidR="0030512A">
        <w:t>Sohoni</w:t>
      </w:r>
      <w:proofErr w:type="spellEnd"/>
      <w:r w:rsidR="0030512A">
        <w:t xml:space="preserve">, </w:t>
      </w:r>
      <w:r w:rsidR="0030512A">
        <w:rPr>
          <w:i/>
          <w:iCs/>
        </w:rPr>
        <w:t>Power to Vacat</w:t>
      </w:r>
      <w:r w:rsidR="00CC1FC8">
        <w:rPr>
          <w:i/>
          <w:iCs/>
        </w:rPr>
        <w:t>e</w:t>
      </w:r>
      <w:r w:rsidR="0030512A">
        <w:t xml:space="preserve">, </w:t>
      </w:r>
      <w:r w:rsidR="00CC1FC8">
        <w:rPr>
          <w:i/>
          <w:iCs/>
        </w:rPr>
        <w:t>supra</w:t>
      </w:r>
      <w:r w:rsidR="00CC1FC8">
        <w:t xml:space="preserve">, at </w:t>
      </w:r>
      <w:r w:rsidR="0030512A">
        <w:t>1122</w:t>
      </w:r>
      <w:r w:rsidR="00CC1FC8">
        <w:t>.</w:t>
      </w:r>
    </w:p>
  </w:footnote>
  <w:footnote w:id="163">
    <w:p w14:paraId="16652328" w14:textId="005D64FC" w:rsidR="00E74ACE" w:rsidRDefault="00E74ACE" w:rsidP="0067230F">
      <w:pPr>
        <w:pStyle w:val="FootnoteText"/>
        <w:jc w:val="both"/>
      </w:pPr>
      <w:r>
        <w:rPr>
          <w:rStyle w:val="FootnoteReference"/>
        </w:rPr>
        <w:footnoteRef/>
      </w:r>
      <w:r>
        <w:t xml:space="preserve"> </w:t>
      </w:r>
      <w:r w:rsidR="00111AA3">
        <w:rPr>
          <w:i/>
          <w:iCs/>
        </w:rPr>
        <w:t>Id.</w:t>
      </w:r>
      <w:r w:rsidR="00111AA3">
        <w:t>;</w:t>
      </w:r>
      <w:r w:rsidR="00596B11">
        <w:t xml:space="preserve"> Harrison, </w:t>
      </w:r>
      <w:r w:rsidR="003412C3">
        <w:rPr>
          <w:i/>
          <w:iCs/>
        </w:rPr>
        <w:t>Section 706</w:t>
      </w:r>
      <w:r w:rsidR="003412C3">
        <w:t>,</w:t>
      </w:r>
      <w:r w:rsidR="003412C3">
        <w:rPr>
          <w:i/>
          <w:iCs/>
        </w:rPr>
        <w:t xml:space="preserve"> </w:t>
      </w:r>
      <w:r w:rsidR="00596B11">
        <w:rPr>
          <w:i/>
          <w:iCs/>
        </w:rPr>
        <w:t>supra</w:t>
      </w:r>
      <w:r w:rsidR="00506B50">
        <w:t xml:space="preserve">, at </w:t>
      </w:r>
      <w:r w:rsidR="00111AA3">
        <w:t>37.</w:t>
      </w:r>
      <w:r w:rsidR="00596B11">
        <w:t xml:space="preserve"> </w:t>
      </w:r>
      <w:r>
        <w:t xml:space="preserve">Cases seeking or resulting in vacatur of an agency action will often share features with cases for nationwide injunctions. </w:t>
      </w:r>
      <w:r w:rsidR="0022495E">
        <w:t xml:space="preserve">But they may also raise distinct concerns that warrant their own separate analysis. For instance, </w:t>
      </w:r>
      <w:r w:rsidR="00C6541C">
        <w:t xml:space="preserve">nonparties may have different participation concerns if the court’s </w:t>
      </w:r>
      <w:r w:rsidR="0022495E">
        <w:t xml:space="preserve">vacatur </w:t>
      </w:r>
      <w:r w:rsidR="00C6541C">
        <w:t xml:space="preserve">results </w:t>
      </w:r>
      <w:r w:rsidR="0022495E">
        <w:t xml:space="preserve">in future </w:t>
      </w:r>
      <w:r w:rsidR="00C6541C">
        <w:t>agency hearings where those nonparties can participate</w:t>
      </w:r>
      <w:r w:rsidR="0022495E">
        <w:t xml:space="preserve">. </w:t>
      </w:r>
      <w:r w:rsidR="00312641">
        <w:t xml:space="preserve">And petitions for review of agency actions may be governed by different intervention rules. </w:t>
      </w:r>
      <w:r w:rsidR="00312641">
        <w:rPr>
          <w:i/>
          <w:iCs/>
        </w:rPr>
        <w:t>See Richardson v. Flores</w:t>
      </w:r>
      <w:r w:rsidR="00312641">
        <w:t>, 979 F.3d 1102, 1104 (5th Cir. 2020) (“[T]</w:t>
      </w:r>
      <w:r w:rsidR="00312641" w:rsidRPr="008D6CE8">
        <w:t>he Federal Rules of Appellate Procedure contemplate intervention only in proceedings to review agency action. F</w:t>
      </w:r>
      <w:r w:rsidR="00312641">
        <w:t>ed</w:t>
      </w:r>
      <w:r w:rsidR="00312641" w:rsidRPr="008D6CE8">
        <w:t>. R. A</w:t>
      </w:r>
      <w:r w:rsidR="00312641">
        <w:t>pp</w:t>
      </w:r>
      <w:r w:rsidR="00312641" w:rsidRPr="008D6CE8">
        <w:t>. P. 15(d).</w:t>
      </w:r>
      <w:r w:rsidR="00312641">
        <w:t xml:space="preserve"> </w:t>
      </w:r>
      <w:r w:rsidR="00312641" w:rsidRPr="008D6CE8">
        <w:t>But despite the lack of an on-point rule, we have allowed intervention in cases outside the scope of Rule 15(d).</w:t>
      </w:r>
      <w:r w:rsidR="00312641">
        <w:t>”).</w:t>
      </w:r>
      <w:r w:rsidR="00312641">
        <w:rPr>
          <w:i/>
          <w:iCs/>
        </w:rPr>
        <w:t xml:space="preserve"> </w:t>
      </w:r>
    </w:p>
  </w:footnote>
  <w:footnote w:id="164">
    <w:p w14:paraId="2AFC66F0" w14:textId="73F214A1" w:rsidR="00D82F19" w:rsidRDefault="00D82F19" w:rsidP="0067230F">
      <w:pPr>
        <w:pStyle w:val="FootnoteText"/>
        <w:jc w:val="both"/>
      </w:pPr>
      <w:r>
        <w:rPr>
          <w:rStyle w:val="FootnoteReference"/>
        </w:rPr>
        <w:footnoteRef/>
      </w:r>
      <w:r>
        <w:t xml:space="preserve"> This is not meant to be an exhaustive list. Instead, it identifies three factors that are helpful in analyzing how nationwide-injunction cases can </w:t>
      </w:r>
      <w:r w:rsidR="007D5E21">
        <w:t xml:space="preserve">distort procedural </w:t>
      </w:r>
      <w:r w:rsidR="004A5EED">
        <w:t>functions</w:t>
      </w:r>
      <w:r w:rsidR="007D5E21">
        <w:t>.</w:t>
      </w:r>
      <w:r>
        <w:t xml:space="preserve"> </w:t>
      </w:r>
    </w:p>
  </w:footnote>
  <w:footnote w:id="165">
    <w:p w14:paraId="0F986BA6" w14:textId="03A7F0A8" w:rsidR="0023612B" w:rsidRDefault="0023612B" w:rsidP="0067230F">
      <w:pPr>
        <w:pStyle w:val="FootnoteText"/>
        <w:jc w:val="both"/>
      </w:pPr>
      <w:r>
        <w:rPr>
          <w:rStyle w:val="FootnoteReference"/>
        </w:rPr>
        <w:footnoteRef/>
      </w:r>
      <w:r>
        <w:t xml:space="preserve"> J</w:t>
      </w:r>
      <w:r w:rsidRPr="00F05C97">
        <w:t xml:space="preserve">ohn Harrison, </w:t>
      </w:r>
      <w:r w:rsidRPr="00CB44E8">
        <w:rPr>
          <w:i/>
          <w:iCs/>
        </w:rPr>
        <w:t>Federal Judicial Power</w:t>
      </w:r>
      <w:r w:rsidRPr="00F05C97">
        <w:t xml:space="preserve">, </w:t>
      </w:r>
      <w:r w:rsidR="003412C3">
        <w:rPr>
          <w:i/>
          <w:iCs/>
        </w:rPr>
        <w:t>supra</w:t>
      </w:r>
      <w:r w:rsidR="003412C3">
        <w:t xml:space="preserve">, at </w:t>
      </w:r>
      <w:r>
        <w:t>1932</w:t>
      </w:r>
      <w:r w:rsidR="003412C3">
        <w:t xml:space="preserve"> </w:t>
      </w:r>
      <w:r>
        <w:t>(“</w:t>
      </w:r>
      <w:r w:rsidRPr="00F05C97">
        <w:t>Universal injunctions, for example, present problems of litigation structure because they involve relief that reaches beyond the parties to the case.”</w:t>
      </w:r>
      <w:r>
        <w:t xml:space="preserve">). </w:t>
      </w:r>
    </w:p>
  </w:footnote>
  <w:footnote w:id="166">
    <w:p w14:paraId="351A59E5" w14:textId="359CEE2B" w:rsidR="00B15E4D" w:rsidRDefault="00B15E4D" w:rsidP="0067230F">
      <w:pPr>
        <w:pStyle w:val="FootnoteText"/>
        <w:jc w:val="both"/>
      </w:pPr>
      <w:r>
        <w:rPr>
          <w:rStyle w:val="FootnoteReference"/>
        </w:rPr>
        <w:footnoteRef/>
      </w:r>
      <w:r>
        <w:t xml:space="preserve"> Or in the colorful words of one judge—courts risk being seen “as partisan warriors in contradiction to the rule of law.” </w:t>
      </w:r>
      <w:r w:rsidRPr="001B7B9F">
        <w:rPr>
          <w:i/>
          <w:iCs/>
        </w:rPr>
        <w:t>In re Trump</w:t>
      </w:r>
      <w:r>
        <w:t>, 958 F.3d 274, 292 (4th Cir. 2020) (Wilkinson, J., dissenting)</w:t>
      </w:r>
      <w:r w:rsidR="00CB44E8">
        <w:t>.</w:t>
      </w:r>
    </w:p>
  </w:footnote>
  <w:footnote w:id="167">
    <w:p w14:paraId="754C0E68" w14:textId="2E0D03B6" w:rsidR="00E35DF7" w:rsidRDefault="00E35DF7" w:rsidP="0067230F">
      <w:pPr>
        <w:pStyle w:val="FootnoteText"/>
        <w:jc w:val="both"/>
      </w:pPr>
      <w:r>
        <w:rPr>
          <w:rStyle w:val="FootnoteReference"/>
        </w:rPr>
        <w:footnoteRef/>
      </w:r>
      <w:r>
        <w:t xml:space="preserve"> Allison Orr Larsen &amp; Neal </w:t>
      </w:r>
      <w:proofErr w:type="spellStart"/>
      <w:r>
        <w:t>Devins</w:t>
      </w:r>
      <w:proofErr w:type="spellEnd"/>
      <w:r>
        <w:t xml:space="preserve">, </w:t>
      </w:r>
      <w:r>
        <w:rPr>
          <w:i/>
          <w:iCs/>
        </w:rPr>
        <w:t>Circuit Personalities</w:t>
      </w:r>
      <w:r>
        <w:t>, 108 Va. L. Rev. 1315,</w:t>
      </w:r>
      <w:r>
        <w:rPr>
          <w:i/>
          <w:iCs/>
        </w:rPr>
        <w:t xml:space="preserve"> </w:t>
      </w:r>
      <w:r>
        <w:t>1374-75 (2022) (identifying the Fifth Circuit as the “go-to circuit for conservative challenges to progressive policies” and the Ninth Circuit playing a similar role for progressive challenges).</w:t>
      </w:r>
    </w:p>
  </w:footnote>
  <w:footnote w:id="168">
    <w:p w14:paraId="415BBFA4" w14:textId="32E31BD8" w:rsidR="008A5F71" w:rsidRPr="00801FF9" w:rsidRDefault="008A5F71" w:rsidP="0067230F">
      <w:pPr>
        <w:pStyle w:val="FootnoteText"/>
        <w:jc w:val="both"/>
      </w:pPr>
      <w:r>
        <w:rPr>
          <w:rStyle w:val="FootnoteReference"/>
        </w:rPr>
        <w:footnoteRef/>
      </w:r>
      <w:r>
        <w:t xml:space="preserve"> Smith, </w:t>
      </w:r>
      <w:r w:rsidR="00801FF9">
        <w:rPr>
          <w:i/>
          <w:iCs/>
        </w:rPr>
        <w:t>supra</w:t>
      </w:r>
      <w:r w:rsidR="00801FF9">
        <w:t xml:space="preserve">, </w:t>
      </w:r>
      <w:proofErr w:type="gramStart"/>
      <w:r w:rsidR="00294D6A">
        <w:t>at</w:t>
      </w:r>
      <w:proofErr w:type="gramEnd"/>
      <w:r w:rsidR="00294D6A">
        <w:t xml:space="preserve"> </w:t>
      </w:r>
      <w:r w:rsidR="00801FF9">
        <w:t xml:space="preserve">2032. </w:t>
      </w:r>
    </w:p>
  </w:footnote>
  <w:footnote w:id="169">
    <w:p w14:paraId="322A3B14" w14:textId="0B119EBE" w:rsidR="007A4342" w:rsidRPr="007A4342" w:rsidRDefault="007A4342" w:rsidP="0067230F">
      <w:pPr>
        <w:pStyle w:val="FootnoteText"/>
        <w:jc w:val="both"/>
      </w:pPr>
      <w:r>
        <w:rPr>
          <w:rStyle w:val="FootnoteReference"/>
        </w:rPr>
        <w:footnoteRef/>
      </w:r>
      <w:r>
        <w:t xml:space="preserve"> Cass R. Sunstein, One Case at a Time: Judicial Minimalism on the Supreme Court 27 (1999) (“[A] broad, early ruling may have unfortunate systemic effects. It may prevent the kind of evolution, adaptation, and argumentative give-and-take that tend to accompany lasting social reform.”). </w:t>
      </w:r>
    </w:p>
  </w:footnote>
  <w:footnote w:id="170">
    <w:p w14:paraId="69F59C77" w14:textId="55126614"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 xml:space="preserve">See </w:t>
      </w:r>
      <w:r w:rsidRPr="008E2EBC">
        <w:rPr>
          <w:i/>
          <w:iCs/>
        </w:rPr>
        <w:t>supra</w:t>
      </w:r>
      <w:r w:rsidRPr="008E2EBC">
        <w:t xml:space="preserve"> </w:t>
      </w:r>
      <w:r w:rsidRPr="00E753DB">
        <w:t>note</w:t>
      </w:r>
      <w:r w:rsidR="00C96CB2" w:rsidRPr="00E753DB">
        <w:t>s</w:t>
      </w:r>
      <w:r w:rsidRPr="00E753DB">
        <w:t xml:space="preserve"> </w:t>
      </w:r>
      <w:r w:rsidR="00C96CB2" w:rsidRPr="00E753DB">
        <w:t>1</w:t>
      </w:r>
      <w:r w:rsidRPr="00E753DB">
        <w:t>5</w:t>
      </w:r>
      <w:r w:rsidR="00C96CB2" w:rsidRPr="00E753DB">
        <w:t>-21</w:t>
      </w:r>
      <w:r w:rsidRPr="00E753DB">
        <w:t>.</w:t>
      </w:r>
      <w:r w:rsidRPr="00E72E6E">
        <w:t xml:space="preserve"> </w:t>
      </w:r>
      <w:r w:rsidR="00E7741F">
        <w:t xml:space="preserve">I included only cases brought after July 1, 1966, when the modern version of Rule 24 went into effect. Fed. R. Civ. P. 24, 383 U.S. 1051 (1966). </w:t>
      </w:r>
    </w:p>
  </w:footnote>
  <w:footnote w:id="171">
    <w:p w14:paraId="1D554CAE" w14:textId="7505C165" w:rsidR="008D0D0B" w:rsidRDefault="007843B5">
      <w:pPr>
        <w:pStyle w:val="FootnoteText"/>
      </w:pPr>
      <w:r>
        <w:rPr>
          <w:rStyle w:val="FootnoteReference"/>
        </w:rPr>
        <w:footnoteRef/>
      </w:r>
      <w:r>
        <w:t xml:space="preserve"> For example, I searched for all federal cases with “nationwide” in the same sentence as “injunction.” As of August 1</w:t>
      </w:r>
      <w:r w:rsidR="006A246E">
        <w:t>3</w:t>
      </w:r>
      <w:r>
        <w:t xml:space="preserve">, </w:t>
      </w:r>
      <w:r w:rsidR="00F43A9F">
        <w:t>2023</w:t>
      </w:r>
      <w:r w:rsidR="00BB21DB">
        <w:t>,</w:t>
      </w:r>
      <w:r w:rsidR="00F43A9F">
        <w:t xml:space="preserve"> </w:t>
      </w:r>
      <w:r>
        <w:t>that search resulted in 1,7</w:t>
      </w:r>
      <w:r w:rsidR="006A246E">
        <w:t>49</w:t>
      </w:r>
      <w:r>
        <w:t xml:space="preserve"> hits. I then narrowed that set by excluding results that derived from the same case</w:t>
      </w:r>
      <w:r w:rsidR="00A82F60">
        <w:t xml:space="preserve">, </w:t>
      </w:r>
      <w:r>
        <w:t>that did not concern litigation against the federal government</w:t>
      </w:r>
      <w:r w:rsidR="00A82F60">
        <w:t>, or that only discussed injunctions sought or issued in other cases (and not by the plaintiff in that case</w:t>
      </w:r>
      <w:r w:rsidR="0019188E">
        <w:t>, though I included the case that was discussed</w:t>
      </w:r>
      <w:r w:rsidR="00A82F60">
        <w:t>)</w:t>
      </w:r>
      <w:r>
        <w:t>. I excluded, for instance, case</w:t>
      </w:r>
      <w:r w:rsidR="008D0D0B">
        <w:t>s</w:t>
      </w:r>
      <w:r>
        <w:t xml:space="preserve"> concerning nationwide injunction preventing a private entity from using a registered trademark anywhere in the country</w:t>
      </w:r>
      <w:r w:rsidR="008D0D0B">
        <w:t>, o</w:t>
      </w:r>
      <w:r>
        <w:t>r cases involving a party-specific injunction against an entity with “nationwide” in its name.</w:t>
      </w:r>
      <w:r w:rsidR="008D0D0B">
        <w:t xml:space="preserve"> </w:t>
      </w:r>
      <w:r w:rsidR="00A82F60">
        <w:t xml:space="preserve">Cases that were consolidated before the district court were designated as a single case in the appendix, with an identifying footnote. Cases that were litigated separately before the district court, even if they were later consolidated on appeal, received separate entries. </w:t>
      </w:r>
    </w:p>
  </w:footnote>
  <w:footnote w:id="172">
    <w:p w14:paraId="3979FE97" w14:textId="2F4866DA" w:rsidR="00F74225" w:rsidRDefault="00F74225">
      <w:pPr>
        <w:pStyle w:val="FootnoteText"/>
      </w:pPr>
      <w:r>
        <w:rPr>
          <w:rStyle w:val="FootnoteReference"/>
        </w:rPr>
        <w:footnoteRef/>
      </w:r>
      <w:r>
        <w:t xml:space="preserve"> I reviewed two sets of motions to verify whether a case sought a nationwide injunction, in addition to the court’s opinions in the case: the plaintiffs</w:t>
      </w:r>
      <w:r w:rsidR="0019188E">
        <w:t>’</w:t>
      </w:r>
      <w:r>
        <w:t xml:space="preserve"> complaint and the parties’ motions for injunctive relief (temporary, preliminary, or permanently). This way, I sought to capture cases where the plaintiff</w:t>
      </w:r>
      <w:r w:rsidR="0019188E">
        <w:t>s</w:t>
      </w:r>
      <w:r>
        <w:t xml:space="preserve"> either narrowed or expanded their requested relief, or where only the defendant identified the nationwide scope of the injunction in its opposition.</w:t>
      </w:r>
    </w:p>
  </w:footnote>
  <w:footnote w:id="173">
    <w:p w14:paraId="2A9AE183" w14:textId="34DC072B" w:rsidR="00013952" w:rsidRDefault="00013952" w:rsidP="0067230F">
      <w:pPr>
        <w:pStyle w:val="FootnoteText"/>
        <w:jc w:val="both"/>
      </w:pPr>
      <w:r>
        <w:rPr>
          <w:rStyle w:val="FootnoteReference"/>
        </w:rPr>
        <w:footnoteRef/>
      </w:r>
      <w:r>
        <w:t xml:space="preserve"> </w:t>
      </w:r>
      <w:r w:rsidRPr="00096438">
        <w:t>Those cases are also likely to involve more policies that a new presidential administration will abandon</w:t>
      </w:r>
      <w:r>
        <w:t xml:space="preserve"> or </w:t>
      </w:r>
      <w:r w:rsidRPr="00096438">
        <w:t>reconsider. This</w:t>
      </w:r>
      <w:r>
        <w:t>,</w:t>
      </w:r>
      <w:r w:rsidRPr="00096438">
        <w:t xml:space="preserve"> in turn</w:t>
      </w:r>
      <w:r>
        <w:t>,</w:t>
      </w:r>
      <w:r w:rsidRPr="00096438">
        <w:t xml:space="preserve"> means that more outsiders are likely to criticize the government’s litigation decisions and wish to intervene to defend the policy themselves.</w:t>
      </w:r>
    </w:p>
  </w:footnote>
  <w:footnote w:id="174">
    <w:p w14:paraId="2D021CDF" w14:textId="40451663" w:rsidR="006A246E" w:rsidRDefault="006A246E">
      <w:pPr>
        <w:pStyle w:val="FootnoteText"/>
      </w:pPr>
      <w:r>
        <w:rPr>
          <w:rStyle w:val="FootnoteReference"/>
        </w:rPr>
        <w:footnoteRef/>
      </w:r>
      <w:r>
        <w:t xml:space="preserve"> The dataset also includes cases that are still pending. These cases have been listed as not involving intervenors so long as no one had sought to intervene as of August 13</w:t>
      </w:r>
      <w:r w:rsidR="008649F7">
        <w:t xml:space="preserve">, 2023. </w:t>
      </w:r>
      <w:r>
        <w:t xml:space="preserve"> </w:t>
      </w:r>
    </w:p>
  </w:footnote>
  <w:footnote w:id="175">
    <w:p w14:paraId="60758514" w14:textId="5148DBF2" w:rsidR="001321A9" w:rsidRPr="00E72E6E" w:rsidRDefault="001321A9" w:rsidP="0067230F">
      <w:pPr>
        <w:pStyle w:val="FootnoteText"/>
        <w:jc w:val="both"/>
      </w:pPr>
      <w:r w:rsidRPr="00E72E6E">
        <w:rPr>
          <w:rStyle w:val="FootnoteReference"/>
        </w:rPr>
        <w:footnoteRef/>
      </w:r>
      <w:r w:rsidRPr="00E72E6E">
        <w:t xml:space="preserve"> This number excludes pro se </w:t>
      </w:r>
      <w:r w:rsidR="00040D32">
        <w:t>motions to intervene</w:t>
      </w:r>
      <w:r w:rsidRPr="00E72E6E">
        <w:t xml:space="preserve">. </w:t>
      </w:r>
    </w:p>
  </w:footnote>
  <w:footnote w:id="176">
    <w:p w14:paraId="47AD0D1F" w14:textId="28856B7C" w:rsidR="00F4742D" w:rsidRDefault="00F4742D" w:rsidP="0067230F">
      <w:pPr>
        <w:pStyle w:val="FootnoteText"/>
        <w:jc w:val="both"/>
      </w:pPr>
      <w:r w:rsidRPr="009D1F35">
        <w:rPr>
          <w:rStyle w:val="FootnoteReference"/>
        </w:rPr>
        <w:footnoteRef/>
      </w:r>
      <w:r w:rsidRPr="009D1F35">
        <w:t xml:space="preserve"> </w:t>
      </w:r>
      <w:r w:rsidR="009D1F35">
        <w:t xml:space="preserve">Note that some cases involved more than one proposed intervenor. </w:t>
      </w:r>
      <w:r w:rsidRPr="009D1F35">
        <w:t xml:space="preserve">The court declined to rule on the intervention motion, or the motion was still pending at the time this article was published, in </w:t>
      </w:r>
      <w:r w:rsidR="00AD6201">
        <w:t>17</w:t>
      </w:r>
      <w:r w:rsidRPr="009D1F35">
        <w:t xml:space="preserve"> cases (</w:t>
      </w:r>
      <w:r w:rsidR="00AD6201">
        <w:t>10</w:t>
      </w:r>
      <w:r w:rsidRPr="009D1F35">
        <w:t>%).</w:t>
      </w:r>
      <w:r>
        <w:t xml:space="preserve"> </w:t>
      </w:r>
    </w:p>
  </w:footnote>
  <w:footnote w:id="177">
    <w:p w14:paraId="29D0C3B6" w14:textId="77777777" w:rsidR="00C3103D" w:rsidRPr="00E72E6E" w:rsidRDefault="00C3103D" w:rsidP="00C3103D">
      <w:pPr>
        <w:pStyle w:val="FootnoteText"/>
        <w:jc w:val="both"/>
      </w:pPr>
      <w:r w:rsidRPr="00E72E6E">
        <w:rPr>
          <w:rStyle w:val="FootnoteReference"/>
        </w:rPr>
        <w:footnoteRef/>
      </w:r>
      <w:r w:rsidRPr="00E72E6E">
        <w:t xml:space="preserve"> For instance, this analysis likely cannot capture when outsiders are also motivated by ulterior political objectives or coordination problems. It is possible that someone who intervenes to provide a different </w:t>
      </w:r>
      <w:r w:rsidRPr="008E2EBC">
        <w:t xml:space="preserve">narrative framing for the litigation, </w:t>
      </w:r>
      <w:r w:rsidRPr="008E2EBC">
        <w:rPr>
          <w:i/>
          <w:iCs/>
        </w:rPr>
        <w:t xml:space="preserve">see </w:t>
      </w:r>
      <w:r>
        <w:t xml:space="preserve">section </w:t>
      </w:r>
      <w:r w:rsidRPr="008E2EBC">
        <w:t>II.B.</w:t>
      </w:r>
      <w:r>
        <w:t xml:space="preserve">, </w:t>
      </w:r>
      <w:r>
        <w:rPr>
          <w:i/>
          <w:iCs/>
        </w:rPr>
        <w:t>infra</w:t>
      </w:r>
      <w:r w:rsidRPr="008E2EBC">
        <w:t xml:space="preserve">, is more interested in obtaining a high-profile platform to influence the political process than changing the substantive outcome of the case. Or someone might seek to intervene because they were coordinating with a party, a conflict over litigation strategy arose, and the outsider intervened to add their different arguments and evidence, </w:t>
      </w:r>
      <w:r w:rsidRPr="008E2EBC">
        <w:rPr>
          <w:i/>
          <w:iCs/>
        </w:rPr>
        <w:t>see</w:t>
      </w:r>
      <w:r>
        <w:rPr>
          <w:i/>
          <w:iCs/>
        </w:rPr>
        <w:t xml:space="preserve"> </w:t>
      </w:r>
      <w:r>
        <w:t xml:space="preserve">section II.B., </w:t>
      </w:r>
      <w:r>
        <w:rPr>
          <w:i/>
          <w:iCs/>
        </w:rPr>
        <w:t>infra</w:t>
      </w:r>
      <w:r w:rsidRPr="008E2EBC">
        <w:t xml:space="preserve">. The intervenor might choose not to articulate the coordination breakdown to the court to avoid undermining a similarly situated party in the case, even if they are required to provide some </w:t>
      </w:r>
      <w:r>
        <w:t>gentler</w:t>
      </w:r>
      <w:r w:rsidRPr="008E2EBC">
        <w:t xml:space="preserve"> reason why they</w:t>
      </w:r>
      <w:r w:rsidRPr="00E72E6E">
        <w:t xml:space="preserve"> are not adequately represented by that party. </w:t>
      </w:r>
    </w:p>
  </w:footnote>
  <w:footnote w:id="178">
    <w:p w14:paraId="092DC98E" w14:textId="2FCF8F28" w:rsidR="001321A9" w:rsidRPr="008E2EBC" w:rsidRDefault="001321A9" w:rsidP="0067230F">
      <w:pPr>
        <w:pStyle w:val="FootnoteText"/>
        <w:jc w:val="both"/>
      </w:pPr>
      <w:r w:rsidRPr="00E72E6E">
        <w:rPr>
          <w:rStyle w:val="FootnoteReference"/>
        </w:rPr>
        <w:footnoteRef/>
      </w:r>
      <w:r w:rsidRPr="00E72E6E">
        <w:t xml:space="preserve"> </w:t>
      </w:r>
      <w:r w:rsidR="00A71541">
        <w:rPr>
          <w:i/>
          <w:iCs/>
        </w:rPr>
        <w:t>See, e.g.</w:t>
      </w:r>
      <w:r w:rsidR="00A71541">
        <w:t>,</w:t>
      </w:r>
      <w:r w:rsidR="00A71541">
        <w:rPr>
          <w:i/>
          <w:iCs/>
        </w:rPr>
        <w:t xml:space="preserve"> </w:t>
      </w:r>
      <w:r w:rsidRPr="00E72E6E">
        <w:t xml:space="preserve">Reply in Support of Zachary Fort; Frederik Barton; Blackhawk Manufacturing Group, Inc.; and Firearms Policy Coalition, Inc.’s Motion to Intervene at 3, </w:t>
      </w:r>
      <w:r w:rsidRPr="00E72E6E">
        <w:rPr>
          <w:i/>
          <w:iCs/>
        </w:rPr>
        <w:t>California, et al. v. Bureau of Alcohol, Tobacco, Firearms, and Explosives, et al.</w:t>
      </w:r>
      <w:r w:rsidRPr="00E72E6E">
        <w:t xml:space="preserve"> (N.D. Cal.) (No. 20-cv-06761) (individual gun owners, a gun manufacturer, and a nonprofit organization sought to intervene to provide “information and expertise relating to the </w:t>
      </w:r>
      <w:proofErr w:type="spellStart"/>
      <w:r w:rsidRPr="00E72E6E">
        <w:t>NonFirearm</w:t>
      </w:r>
      <w:proofErr w:type="spellEnd"/>
      <w:r w:rsidRPr="00E72E6E">
        <w:t xml:space="preserve"> Object industry and market participants, and the interplay between federal law and individual rights implicated in the relief Petitioners’ seek”); Reply in Support of Proposed Business Intervenors’ Motion to Intervene as Defendants at 2, (submitting an affidavit “</w:t>
      </w:r>
      <w:r w:rsidRPr="008E2EBC">
        <w:t>regarding the balance of equities” again</w:t>
      </w:r>
      <w:r w:rsidR="00A71541">
        <w:t>st</w:t>
      </w:r>
      <w:r w:rsidRPr="008E2EBC">
        <w:t xml:space="preserve"> a nationwide injunction that explained “the harms to farmers, ranchers, builders, mine operators, and other landowners or operators that would occur if the 2020 Rule were enjoined”). </w:t>
      </w:r>
    </w:p>
  </w:footnote>
  <w:footnote w:id="179">
    <w:p w14:paraId="3C9A077B" w14:textId="07322195" w:rsidR="001321A9" w:rsidRPr="00E72E6E" w:rsidRDefault="001321A9" w:rsidP="0067230F">
      <w:pPr>
        <w:pStyle w:val="FootnoteText"/>
        <w:jc w:val="both"/>
      </w:pPr>
      <w:r w:rsidRPr="008E2EBC">
        <w:rPr>
          <w:rStyle w:val="FootnoteReference"/>
        </w:rPr>
        <w:footnoteRef/>
      </w:r>
      <w:r w:rsidRPr="008E2EBC">
        <w:t xml:space="preserve"> See </w:t>
      </w:r>
      <w:r w:rsidR="00A71541">
        <w:t xml:space="preserve">section II.D., </w:t>
      </w:r>
      <w:r w:rsidR="00A71541">
        <w:rPr>
          <w:i/>
          <w:iCs/>
        </w:rPr>
        <w:t>infra</w:t>
      </w:r>
      <w:r w:rsidR="00A71541">
        <w:t>.</w:t>
      </w:r>
      <w:r w:rsidRPr="00E72E6E">
        <w:t xml:space="preserve"> </w:t>
      </w:r>
    </w:p>
  </w:footnote>
  <w:footnote w:id="180">
    <w:p w14:paraId="7C1DCAAE" w14:textId="28D08CA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See</w:t>
      </w:r>
      <w:r w:rsidRPr="00E72E6E">
        <w:t xml:space="preserve"> </w:t>
      </w:r>
      <w:proofErr w:type="spellStart"/>
      <w:r w:rsidR="006454AD">
        <w:t>Ahdout</w:t>
      </w:r>
      <w:proofErr w:type="spellEnd"/>
      <w:r w:rsidRPr="00E72E6E">
        <w:t xml:space="preserve">, </w:t>
      </w:r>
      <w:r w:rsidRPr="00E72E6E">
        <w:rPr>
          <w:i/>
          <w:iCs/>
        </w:rPr>
        <w:t>supra</w:t>
      </w:r>
      <w:r w:rsidRPr="00E72E6E">
        <w:t xml:space="preserve">, at 977-79 (discussing the history of the transgender military ban). </w:t>
      </w:r>
    </w:p>
  </w:footnote>
  <w:footnote w:id="181">
    <w:p w14:paraId="1DF55C9D" w14:textId="77777777" w:rsidR="001321A9" w:rsidRPr="00E72E6E" w:rsidRDefault="001321A9" w:rsidP="0067230F">
      <w:pPr>
        <w:pStyle w:val="FootnoteText"/>
        <w:jc w:val="both"/>
      </w:pPr>
      <w:r w:rsidRPr="00E72E6E">
        <w:rPr>
          <w:rStyle w:val="FootnoteReference"/>
        </w:rPr>
        <w:footnoteRef/>
      </w:r>
      <w:r w:rsidRPr="00E72E6E">
        <w:t xml:space="preserve"> </w:t>
      </w:r>
      <w:proofErr w:type="spellStart"/>
      <w:r w:rsidRPr="00E72E6E">
        <w:rPr>
          <w:i/>
          <w:iCs/>
        </w:rPr>
        <w:t>Karnoski</w:t>
      </w:r>
      <w:proofErr w:type="spellEnd"/>
      <w:r w:rsidRPr="00E72E6E">
        <w:rPr>
          <w:i/>
          <w:iCs/>
        </w:rPr>
        <w:t xml:space="preserve"> v. Trump</w:t>
      </w:r>
      <w:r w:rsidRPr="00E72E6E">
        <w:t xml:space="preserve">, No.17-cv-01297, 2018 WL 1784464 (W.D. Wash. Apr. 13, 2018), </w:t>
      </w:r>
      <w:r w:rsidRPr="00E72E6E">
        <w:rPr>
          <w:i/>
          <w:iCs/>
        </w:rPr>
        <w:t>vacated and remanded</w:t>
      </w:r>
      <w:r w:rsidRPr="00E72E6E">
        <w:t>, 926 F.3d 1180 (9th Cir. 2019).</w:t>
      </w:r>
    </w:p>
  </w:footnote>
  <w:footnote w:id="182">
    <w:p w14:paraId="68EEBFFC" w14:textId="77777777" w:rsidR="001321A9" w:rsidRPr="00E72E6E" w:rsidRDefault="001321A9" w:rsidP="0067230F">
      <w:pPr>
        <w:pStyle w:val="FootnoteText"/>
        <w:jc w:val="both"/>
      </w:pPr>
      <w:r w:rsidRPr="00E72E6E">
        <w:rPr>
          <w:rStyle w:val="FootnoteReference"/>
        </w:rPr>
        <w:footnoteRef/>
      </w:r>
      <w:r w:rsidRPr="00E72E6E">
        <w:t xml:space="preserve"> State of California’s Notice of Motion and Motion to Intervene as Party Plaintiff; Memorandum of Points and Authorities at 13-14, </w:t>
      </w:r>
      <w:r w:rsidRPr="00E72E6E">
        <w:rPr>
          <w:i/>
          <w:iCs/>
        </w:rPr>
        <w:t>Aiden Stockman, et al. v. Trump, et al.</w:t>
      </w:r>
      <w:r w:rsidRPr="00E72E6E">
        <w:t xml:space="preserve">, 331 F. Supp. 3d 990 (C.D. Cal.) (No. 17-cv-01799). </w:t>
      </w:r>
    </w:p>
  </w:footnote>
  <w:footnote w:id="183">
    <w:p w14:paraId="2A48154B" w14:textId="2F7FAA9F" w:rsidR="001321A9" w:rsidRPr="00E72E6E" w:rsidRDefault="001321A9" w:rsidP="0067230F">
      <w:pPr>
        <w:pStyle w:val="FootnoteText"/>
        <w:jc w:val="both"/>
      </w:pPr>
      <w:r w:rsidRPr="00E72E6E">
        <w:rPr>
          <w:rStyle w:val="FootnoteReference"/>
        </w:rPr>
        <w:footnoteRef/>
      </w:r>
      <w:r w:rsidRPr="00E72E6E">
        <w:t xml:space="preserve"> State of Washington’s Reply to Defendant’s Opposition to Motion to Intervene at 6, </w:t>
      </w:r>
      <w:proofErr w:type="spellStart"/>
      <w:r w:rsidRPr="00E72E6E">
        <w:rPr>
          <w:i/>
          <w:iCs/>
        </w:rPr>
        <w:t>Karnoski</w:t>
      </w:r>
      <w:proofErr w:type="spellEnd"/>
      <w:r w:rsidRPr="00E72E6E">
        <w:rPr>
          <w:i/>
          <w:iCs/>
        </w:rPr>
        <w:t xml:space="preserve">, </w:t>
      </w:r>
      <w:r w:rsidRPr="00E72E6E">
        <w:t>2018 WL 1784464.</w:t>
      </w:r>
    </w:p>
  </w:footnote>
  <w:footnote w:id="184">
    <w:p w14:paraId="5C6F2C78" w14:textId="6DB14D75" w:rsidR="001321A9" w:rsidRPr="00E72E6E" w:rsidRDefault="001321A9" w:rsidP="0067230F">
      <w:pPr>
        <w:pStyle w:val="FootnoteText"/>
        <w:jc w:val="both"/>
      </w:pPr>
      <w:r w:rsidRPr="00E72E6E">
        <w:rPr>
          <w:rStyle w:val="FootnoteReference"/>
        </w:rPr>
        <w:footnoteRef/>
      </w:r>
      <w:r w:rsidRPr="00E72E6E">
        <w:t xml:space="preserve"> States’ Emergency Motion to Intervene Under Federal Rule 24 and Circuit Rule 27-3 at 13-15, </w:t>
      </w:r>
      <w:r w:rsidRPr="008E2EBC">
        <w:rPr>
          <w:i/>
          <w:iCs/>
        </w:rPr>
        <w:t>Hawaii v. Trump</w:t>
      </w:r>
      <w:r w:rsidRPr="008E2EBC">
        <w:t xml:space="preserve">, 859 F.3d 741 (9th Cir.), </w:t>
      </w:r>
      <w:r w:rsidRPr="008E2EBC">
        <w:rPr>
          <w:i/>
          <w:iCs/>
        </w:rPr>
        <w:t>vacated and remanded</w:t>
      </w:r>
      <w:r w:rsidRPr="008E2EBC">
        <w:t>, 138 S. Ct. 377 (2017)</w:t>
      </w:r>
      <w:r w:rsidRPr="00E72E6E">
        <w:t xml:space="preserve"> (No. 17-17168).</w:t>
      </w:r>
    </w:p>
  </w:footnote>
  <w:footnote w:id="185">
    <w:p w14:paraId="3009EFB5" w14:textId="172185D3" w:rsidR="001321A9" w:rsidRPr="00E72E6E" w:rsidRDefault="001321A9" w:rsidP="0067230F">
      <w:pPr>
        <w:pStyle w:val="FootnoteText"/>
        <w:jc w:val="both"/>
      </w:pPr>
      <w:r w:rsidRPr="00E72E6E">
        <w:rPr>
          <w:rStyle w:val="FootnoteReference"/>
        </w:rPr>
        <w:footnoteRef/>
      </w:r>
      <w:r w:rsidRPr="00E72E6E">
        <w:t xml:space="preserve"> Memorandum in Support of Motion to Intervene at 11-12, </w:t>
      </w:r>
      <w:r w:rsidRPr="00E72E6E">
        <w:rPr>
          <w:i/>
          <w:iCs/>
        </w:rPr>
        <w:t>Am. Coll. of Obstetricians &amp; Gynecologists</w:t>
      </w:r>
      <w:r w:rsidRPr="00E72E6E">
        <w:t xml:space="preserve">, 467 F. Supp. 3d </w:t>
      </w:r>
      <w:r w:rsidR="003915A7">
        <w:t xml:space="preserve">at </w:t>
      </w:r>
      <w:r w:rsidRPr="00E72E6E">
        <w:t>282.</w:t>
      </w:r>
    </w:p>
  </w:footnote>
  <w:footnote w:id="186">
    <w:p w14:paraId="083DACC1" w14:textId="77777777" w:rsidR="001321A9" w:rsidRPr="00E72E6E" w:rsidRDefault="001321A9" w:rsidP="0067230F">
      <w:pPr>
        <w:pStyle w:val="FootnoteText"/>
        <w:jc w:val="both"/>
      </w:pPr>
      <w:r w:rsidRPr="00E72E6E">
        <w:rPr>
          <w:rStyle w:val="FootnoteReference"/>
        </w:rPr>
        <w:footnoteRef/>
      </w:r>
      <w:r w:rsidRPr="00E72E6E">
        <w:t xml:space="preserve"> Opening Brief at 2-3, </w:t>
      </w:r>
      <w:r w:rsidRPr="00E72E6E">
        <w:rPr>
          <w:i/>
          <w:iCs/>
        </w:rPr>
        <w:t>Am. Coll. of Obstetricians &amp; Gynecologists v. Indiana</w:t>
      </w:r>
      <w:r w:rsidRPr="00E72E6E">
        <w:t>, 2021 WL 3276054 (4th Cir.) (No. 20-1784).</w:t>
      </w:r>
    </w:p>
  </w:footnote>
  <w:footnote w:id="187">
    <w:p w14:paraId="41190BDB"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Id.</w:t>
      </w:r>
      <w:r w:rsidRPr="00E72E6E">
        <w:t xml:space="preserve"> at 28.</w:t>
      </w:r>
    </w:p>
  </w:footnote>
  <w:footnote w:id="188">
    <w:p w14:paraId="78E89CAF" w14:textId="77777777" w:rsidR="001321A9" w:rsidRPr="00E72E6E" w:rsidRDefault="001321A9" w:rsidP="0067230F">
      <w:pPr>
        <w:pStyle w:val="FootnoteText"/>
        <w:jc w:val="both"/>
      </w:pPr>
      <w:r w:rsidRPr="00E72E6E">
        <w:rPr>
          <w:rStyle w:val="FootnoteReference"/>
        </w:rPr>
        <w:footnoteRef/>
      </w:r>
      <w:r w:rsidRPr="00E72E6E">
        <w:t xml:space="preserve"> Proposed Defendant-Intervenors’ Reply in Support of Their Motion for Leave to Intervene at 1-2, </w:t>
      </w:r>
      <w:r w:rsidRPr="00E72E6E">
        <w:rPr>
          <w:i/>
          <w:iCs/>
        </w:rPr>
        <w:t>Texas v. United States</w:t>
      </w:r>
      <w:r w:rsidRPr="00E72E6E">
        <w:t xml:space="preserve">, 86 F. Supp. 3d 591 (S.D. Tex.) (No. 14-cv-00254). </w:t>
      </w:r>
    </w:p>
  </w:footnote>
  <w:footnote w:id="189">
    <w:p w14:paraId="0ECFD466" w14:textId="77777777" w:rsidR="001321A9" w:rsidRPr="00E72E6E" w:rsidRDefault="001321A9" w:rsidP="0067230F">
      <w:pPr>
        <w:pStyle w:val="FootnoteText"/>
        <w:jc w:val="both"/>
        <w:rPr>
          <w:i/>
          <w:iCs/>
        </w:rPr>
      </w:pPr>
      <w:r w:rsidRPr="00E72E6E">
        <w:rPr>
          <w:rStyle w:val="FootnoteReference"/>
        </w:rPr>
        <w:footnoteRef/>
      </w:r>
      <w:r w:rsidRPr="00E72E6E">
        <w:t xml:space="preserve"> </w:t>
      </w:r>
      <w:r w:rsidRPr="00E72E6E">
        <w:rPr>
          <w:i/>
          <w:iCs/>
        </w:rPr>
        <w:t>Id.</w:t>
      </w:r>
      <w:r w:rsidRPr="00E72E6E">
        <w:t xml:space="preserve"> at 3. </w:t>
      </w:r>
    </w:p>
  </w:footnote>
  <w:footnote w:id="190">
    <w:p w14:paraId="5613F30B" w14:textId="48FEEAE6" w:rsidR="001321A9" w:rsidRPr="00E72E6E" w:rsidRDefault="001321A9" w:rsidP="0067230F">
      <w:pPr>
        <w:pStyle w:val="FootnoteText"/>
        <w:jc w:val="both"/>
      </w:pPr>
      <w:r w:rsidRPr="00E72E6E">
        <w:rPr>
          <w:rStyle w:val="FootnoteReference"/>
        </w:rPr>
        <w:footnoteRef/>
      </w:r>
      <w:r w:rsidRPr="00E72E6E">
        <w:t xml:space="preserve"> Amended Memorandum of Law in Support of Proposed Defendant-Intervenor’s Motion to Intervene at 19-20, </w:t>
      </w:r>
      <w:r w:rsidR="003915A7">
        <w:rPr>
          <w:i/>
          <w:iCs/>
        </w:rPr>
        <w:t>Texas v. United States</w:t>
      </w:r>
      <w:r w:rsidR="003915A7">
        <w:t>,</w:t>
      </w:r>
      <w:r w:rsidR="003915A7">
        <w:rPr>
          <w:i/>
          <w:iCs/>
        </w:rPr>
        <w:t xml:space="preserve"> </w:t>
      </w:r>
      <w:r w:rsidRPr="00E72E6E">
        <w:t>328 F. Supp. 3d 662 (S.D. Tex.) (No. 17-cv-05211).</w:t>
      </w:r>
    </w:p>
  </w:footnote>
  <w:footnote w:id="191">
    <w:p w14:paraId="565FCA5B" w14:textId="4782180C" w:rsidR="001321A9" w:rsidRPr="00E72E6E" w:rsidRDefault="001321A9" w:rsidP="0067230F">
      <w:pPr>
        <w:pStyle w:val="FootnoteText"/>
        <w:jc w:val="both"/>
      </w:pPr>
      <w:r w:rsidRPr="00E72E6E">
        <w:rPr>
          <w:rStyle w:val="FootnoteReference"/>
        </w:rPr>
        <w:footnoteRef/>
      </w:r>
      <w:r w:rsidRPr="00E72E6E">
        <w:t xml:space="preserve"> Plaintiff States’ Response in Opposition to New Jersey’s Motion to Intervene at 8, </w:t>
      </w:r>
      <w:r w:rsidRPr="00E72E6E">
        <w:rPr>
          <w:i/>
          <w:iCs/>
        </w:rPr>
        <w:t>Texas</w:t>
      </w:r>
      <w:r w:rsidRPr="00E72E6E">
        <w:t>,</w:t>
      </w:r>
      <w:r w:rsidRPr="00E72E6E">
        <w:rPr>
          <w:i/>
          <w:iCs/>
        </w:rPr>
        <w:t xml:space="preserve"> </w:t>
      </w:r>
      <w:r w:rsidRPr="00E72E6E">
        <w:t xml:space="preserve">328 F. Supp. 3d </w:t>
      </w:r>
      <w:r w:rsidR="003915A7">
        <w:t xml:space="preserve">at </w:t>
      </w:r>
      <w:r w:rsidRPr="00E72E6E">
        <w:t>662.</w:t>
      </w:r>
    </w:p>
  </w:footnote>
  <w:footnote w:id="192">
    <w:p w14:paraId="33E2EB56" w14:textId="3C6874DC" w:rsidR="001321A9" w:rsidRPr="00F13A94" w:rsidRDefault="001321A9" w:rsidP="0067230F">
      <w:pPr>
        <w:pStyle w:val="FootnoteText"/>
        <w:jc w:val="both"/>
      </w:pPr>
      <w:r w:rsidRPr="00E72E6E">
        <w:rPr>
          <w:rStyle w:val="FootnoteReference"/>
        </w:rPr>
        <w:footnoteRef/>
      </w:r>
      <w:r w:rsidRPr="00E72E6E">
        <w:t xml:space="preserve"> State of Hawaii’s Emergency Motion to Intervene Under Federal Rule 24 and Circuit Rule 27-3 at 11-12, </w:t>
      </w:r>
      <w:r w:rsidRPr="00E72E6E">
        <w:rPr>
          <w:i/>
          <w:iCs/>
        </w:rPr>
        <w:t>Washington v. Trump</w:t>
      </w:r>
      <w:r w:rsidRPr="00E72E6E">
        <w:t>, 847 F.3d 1151 (9th Cir. 2017) (No. 17-35105).</w:t>
      </w:r>
      <w:r w:rsidR="00F13A94">
        <w:t xml:space="preserve"> </w:t>
      </w:r>
      <w:r w:rsidR="00F13A94" w:rsidRPr="00096438">
        <w:t xml:space="preserve">These </w:t>
      </w:r>
      <w:r w:rsidR="003915A7">
        <w:t xml:space="preserve">arguments </w:t>
      </w:r>
      <w:r w:rsidR="00F13A94" w:rsidRPr="00096438">
        <w:t>included that other parts of the Executive Order violated the Establishment Clause and that the Order exceeded statutory limits on the president’s power.</w:t>
      </w:r>
      <w:r w:rsidR="00F13A94">
        <w:t xml:space="preserve"> </w:t>
      </w:r>
    </w:p>
  </w:footnote>
  <w:footnote w:id="193">
    <w:p w14:paraId="5EC8074F"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Id.</w:t>
      </w:r>
    </w:p>
  </w:footnote>
  <w:footnote w:id="194">
    <w:p w14:paraId="704679B9" w14:textId="77777777" w:rsidR="001321A9" w:rsidRPr="00E72E6E" w:rsidRDefault="001321A9" w:rsidP="0067230F">
      <w:pPr>
        <w:pStyle w:val="FootnoteText"/>
        <w:jc w:val="both"/>
      </w:pPr>
      <w:r w:rsidRPr="00E72E6E">
        <w:rPr>
          <w:rStyle w:val="FootnoteReference"/>
        </w:rPr>
        <w:footnoteRef/>
      </w:r>
      <w:r w:rsidRPr="00E72E6E">
        <w:t xml:space="preserve"> Proposed Intervenors Natural Resources Defense Council and National Wildlife Federation’s Unopposed Motion for Leave to Intervene as Defendants and Memorandum in Support at 18-19, </w:t>
      </w:r>
      <w:r w:rsidRPr="00E72E6E">
        <w:rPr>
          <w:i/>
          <w:iCs/>
        </w:rPr>
        <w:t>Texas v. EPA</w:t>
      </w:r>
      <w:r w:rsidRPr="00E72E6E">
        <w:t xml:space="preserve">, 389 F. Supp. 3d 497 (S.D. Tex.) (No. 15-cv-00162). </w:t>
      </w:r>
    </w:p>
  </w:footnote>
  <w:footnote w:id="195">
    <w:p w14:paraId="5AB89A67"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 xml:space="preserve">New York v. United States </w:t>
      </w:r>
      <w:proofErr w:type="spellStart"/>
      <w:r w:rsidRPr="00E72E6E">
        <w:rPr>
          <w:i/>
          <w:iCs/>
        </w:rPr>
        <w:t>Dep’t</w:t>
      </w:r>
      <w:proofErr w:type="spellEnd"/>
      <w:r w:rsidRPr="00E72E6E">
        <w:rPr>
          <w:i/>
          <w:iCs/>
        </w:rPr>
        <w:t xml:space="preserve"> of Health &amp; Hum. Servs.</w:t>
      </w:r>
      <w:r w:rsidRPr="00E72E6E">
        <w:t xml:space="preserve">, No. 19-cv-04676, 2019 WL 3531960, at *1 (S.D.N.Y. Aug. 2, 2019). </w:t>
      </w:r>
    </w:p>
  </w:footnote>
  <w:footnote w:id="196">
    <w:p w14:paraId="77084658" w14:textId="64E15EF2"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Id.</w:t>
      </w:r>
      <w:r w:rsidRPr="00E72E6E">
        <w:t xml:space="preserve"> at *10. </w:t>
      </w:r>
    </w:p>
  </w:footnote>
  <w:footnote w:id="197">
    <w:p w14:paraId="137F9183" w14:textId="77777777" w:rsidR="001321A9" w:rsidRPr="00E72E6E" w:rsidRDefault="001321A9" w:rsidP="0067230F">
      <w:pPr>
        <w:pStyle w:val="FootnoteText"/>
        <w:jc w:val="both"/>
      </w:pPr>
      <w:r w:rsidRPr="00E72E6E">
        <w:rPr>
          <w:rStyle w:val="FootnoteReference"/>
        </w:rPr>
        <w:footnoteRef/>
      </w:r>
      <w:r w:rsidRPr="00E72E6E">
        <w:t xml:space="preserve"> Reply Brief at 13, </w:t>
      </w:r>
      <w:r w:rsidRPr="00E72E6E">
        <w:rPr>
          <w:i/>
          <w:iCs/>
        </w:rPr>
        <w:t>Am. Coll. of Obstetricians &amp; Gynecologists v. Indiana</w:t>
      </w:r>
      <w:r w:rsidRPr="00E72E6E">
        <w:t>, 2021 WL 3276054 (4th Cir.) (No. 20-1784).</w:t>
      </w:r>
    </w:p>
  </w:footnote>
  <w:footnote w:id="198">
    <w:p w14:paraId="1FFE05AA" w14:textId="77777777" w:rsidR="001321A9" w:rsidRPr="00E72E6E" w:rsidRDefault="001321A9" w:rsidP="0067230F">
      <w:pPr>
        <w:pStyle w:val="FootnoteText"/>
        <w:jc w:val="both"/>
      </w:pPr>
      <w:r w:rsidRPr="00E72E6E">
        <w:rPr>
          <w:rStyle w:val="FootnoteReference"/>
        </w:rPr>
        <w:footnoteRef/>
      </w:r>
      <w:r w:rsidRPr="00E72E6E">
        <w:t xml:space="preserve"> Brief for the Appellants at 13, </w:t>
      </w:r>
      <w:r w:rsidRPr="00E72E6E">
        <w:rPr>
          <w:i/>
          <w:iCs/>
        </w:rPr>
        <w:t>Texas v. United States</w:t>
      </w:r>
      <w:r w:rsidRPr="00E72E6E">
        <w:t>, 805 F.3d 653 (5th Cir. 2015) (No. 15-40333).</w:t>
      </w:r>
    </w:p>
  </w:footnote>
  <w:footnote w:id="199">
    <w:p w14:paraId="6F2C11A3" w14:textId="77777777" w:rsidR="001321A9" w:rsidRPr="00E72E6E" w:rsidRDefault="001321A9" w:rsidP="0067230F">
      <w:pPr>
        <w:pStyle w:val="FootnoteText"/>
        <w:jc w:val="both"/>
        <w:rPr>
          <w:iCs/>
        </w:rPr>
      </w:pPr>
      <w:r w:rsidRPr="00E72E6E">
        <w:rPr>
          <w:rStyle w:val="FootnoteReference"/>
        </w:rPr>
        <w:footnoteRef/>
      </w:r>
      <w:r w:rsidRPr="00E72E6E">
        <w:t xml:space="preserve"> </w:t>
      </w:r>
      <w:r w:rsidRPr="00E72E6E">
        <w:rPr>
          <w:i/>
        </w:rPr>
        <w:t>Id.</w:t>
      </w:r>
    </w:p>
  </w:footnote>
  <w:footnote w:id="200">
    <w:p w14:paraId="08AD93FA"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Id.</w:t>
      </w:r>
      <w:r w:rsidRPr="00E72E6E">
        <w:t xml:space="preserve"> at 14.</w:t>
      </w:r>
    </w:p>
  </w:footnote>
  <w:footnote w:id="201">
    <w:p w14:paraId="061297BE" w14:textId="35045AE8" w:rsidR="001321A9" w:rsidRPr="00E72E6E" w:rsidRDefault="001321A9" w:rsidP="0067230F">
      <w:pPr>
        <w:pStyle w:val="FootnoteText"/>
        <w:jc w:val="both"/>
        <w:rPr>
          <w:i/>
          <w:iCs/>
        </w:rPr>
      </w:pPr>
      <w:r w:rsidRPr="00E72E6E">
        <w:rPr>
          <w:rStyle w:val="FootnoteReference"/>
        </w:rPr>
        <w:footnoteRef/>
      </w:r>
      <w:r w:rsidRPr="00E72E6E">
        <w:t xml:space="preserve"> </w:t>
      </w:r>
      <w:r w:rsidRPr="00E72E6E">
        <w:rPr>
          <w:i/>
          <w:iCs/>
        </w:rPr>
        <w:t>Id.</w:t>
      </w:r>
      <w:r w:rsidRPr="00E72E6E">
        <w:t xml:space="preserve"> at 11, 44. </w:t>
      </w:r>
    </w:p>
  </w:footnote>
  <w:footnote w:id="202">
    <w:p w14:paraId="3A7F774F" w14:textId="77777777" w:rsidR="00CE55B7" w:rsidRPr="00E72E6E" w:rsidRDefault="00CE55B7" w:rsidP="00CE55B7">
      <w:pPr>
        <w:pStyle w:val="FootnoteText"/>
        <w:jc w:val="both"/>
      </w:pPr>
      <w:r w:rsidRPr="00E72E6E">
        <w:rPr>
          <w:rStyle w:val="FootnoteReference"/>
        </w:rPr>
        <w:footnoteRef/>
      </w:r>
      <w:r w:rsidRPr="00E72E6E">
        <w:t xml:space="preserve"> John Doe #8 Motion for Leave to Intervene on Behalf of Plaintiffs-Appellees and File a Separate Brief at 5, </w:t>
      </w:r>
      <w:r w:rsidRPr="00E72E6E">
        <w:rPr>
          <w:i/>
          <w:iCs/>
        </w:rPr>
        <w:t>Int’l Refugee Assistance Project v. Trump</w:t>
      </w:r>
      <w:r w:rsidRPr="00E72E6E">
        <w:t>, 876 F.3d 116 (4th Cir. 2017) (No. 17-1351) (</w:t>
      </w:r>
      <w:proofErr w:type="spellStart"/>
      <w:r w:rsidRPr="00E72E6E">
        <w:t>en</w:t>
      </w:r>
      <w:proofErr w:type="spellEnd"/>
      <w:r w:rsidRPr="00E72E6E">
        <w:t xml:space="preserve"> banc). The individual intervenor was represented by several nonprofits, including the Brennan Center for Justice and the Council on American-Islamic Relations. </w:t>
      </w:r>
      <w:r w:rsidRPr="00E72E6E">
        <w:rPr>
          <w:i/>
          <w:iCs/>
        </w:rPr>
        <w:t xml:space="preserve">Id. </w:t>
      </w:r>
      <w:r w:rsidRPr="00E72E6E">
        <w:t xml:space="preserve">at 1. He was also a plaintiff in a separate challenge against the Executive Order, </w:t>
      </w:r>
      <w:r w:rsidRPr="00E72E6E">
        <w:rPr>
          <w:i/>
          <w:iCs/>
        </w:rPr>
        <w:t>id.</w:t>
      </w:r>
      <w:r w:rsidRPr="00E72E6E">
        <w:t xml:space="preserve"> at 1; </w:t>
      </w:r>
      <w:r w:rsidRPr="00E72E6E">
        <w:rPr>
          <w:i/>
          <w:iCs/>
        </w:rPr>
        <w:t xml:space="preserve">see </w:t>
      </w:r>
      <w:proofErr w:type="spellStart"/>
      <w:r w:rsidRPr="00E72E6E">
        <w:rPr>
          <w:i/>
          <w:iCs/>
        </w:rPr>
        <w:t>Sarsour</w:t>
      </w:r>
      <w:proofErr w:type="spellEnd"/>
      <w:r w:rsidRPr="00E72E6E">
        <w:rPr>
          <w:i/>
          <w:iCs/>
        </w:rPr>
        <w:t xml:space="preserve"> v. Trump</w:t>
      </w:r>
      <w:r w:rsidRPr="00E72E6E">
        <w:t xml:space="preserve">, 245 F. Supp. 3d 719 (E.D. Va. 2017). </w:t>
      </w:r>
    </w:p>
  </w:footnote>
  <w:footnote w:id="203">
    <w:p w14:paraId="1254172A"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 xml:space="preserve">Bd. of Educ. of the Highland Loc. Sch. Dist. v. United States </w:t>
      </w:r>
      <w:proofErr w:type="spellStart"/>
      <w:r w:rsidRPr="00E72E6E">
        <w:rPr>
          <w:i/>
          <w:iCs/>
        </w:rPr>
        <w:t>Dep’t</w:t>
      </w:r>
      <w:proofErr w:type="spellEnd"/>
      <w:r w:rsidRPr="00E72E6E">
        <w:rPr>
          <w:i/>
          <w:iCs/>
        </w:rPr>
        <w:t xml:space="preserve"> of Educ.</w:t>
      </w:r>
      <w:r w:rsidRPr="00E72E6E">
        <w:t>, 208 F. Supp. 3d 850, 859 (S.D. Ohio 2016).</w:t>
      </w:r>
    </w:p>
  </w:footnote>
  <w:footnote w:id="204">
    <w:p w14:paraId="3F095025"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 xml:space="preserve">Bd. of Educ. of the Highland Loc. Sch. Dist. v. United States </w:t>
      </w:r>
      <w:proofErr w:type="spellStart"/>
      <w:r w:rsidRPr="00E72E6E">
        <w:rPr>
          <w:i/>
          <w:iCs/>
        </w:rPr>
        <w:t>Dep’t</w:t>
      </w:r>
      <w:proofErr w:type="spellEnd"/>
      <w:r w:rsidRPr="00E72E6E">
        <w:rPr>
          <w:i/>
          <w:iCs/>
        </w:rPr>
        <w:t xml:space="preserve"> of Educ.</w:t>
      </w:r>
      <w:r w:rsidRPr="00E72E6E">
        <w:t>, No. 16-cv-00524, 2016 WL 4269080, at *3 (S.D. Ohio Aug. 15, 2016).</w:t>
      </w:r>
    </w:p>
  </w:footnote>
  <w:footnote w:id="205">
    <w:p w14:paraId="63546385" w14:textId="25652F1D"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 xml:space="preserve">See also </w:t>
      </w:r>
      <w:r w:rsidRPr="00E72E6E">
        <w:t xml:space="preserve">Memorandum in Support of Zachary Fort; Frederik Barton; Blackhawk Manufacturing Group, Inc.; and Firearms Policy Coalition, Inc.’s Motion to Intervene at 12, </w:t>
      </w:r>
      <w:r w:rsidRPr="00E72E6E">
        <w:rPr>
          <w:i/>
          <w:iCs/>
        </w:rPr>
        <w:t>California, et al. v. Bureau of Alcohol, Tobacco, Firearms, and Explosives, et al.</w:t>
      </w:r>
      <w:r w:rsidRPr="00E72E6E">
        <w:t xml:space="preserve"> (N.D. Cal.) (No. 20-cv-06761) (arguing for intervention because the “[p]</w:t>
      </w:r>
      <w:proofErr w:type="spellStart"/>
      <w:r w:rsidRPr="00E72E6E">
        <w:t>etitioner’s</w:t>
      </w:r>
      <w:proofErr w:type="spellEnd"/>
      <w:r w:rsidRPr="00E72E6E">
        <w:t xml:space="preserve"> arguments encapsulate issues and narratives outside the ATF’s narrow focus” that </w:t>
      </w:r>
      <w:proofErr w:type="spellStart"/>
      <w:r w:rsidRPr="00E72E6E">
        <w:t>hey</w:t>
      </w:r>
      <w:proofErr w:type="spellEnd"/>
      <w:r w:rsidRPr="00E72E6E">
        <w:t xml:space="preserve"> can provide as individuals and businesses).</w:t>
      </w:r>
    </w:p>
  </w:footnote>
  <w:footnote w:id="206">
    <w:p w14:paraId="377ADB7B" w14:textId="1C56334D" w:rsidR="001321A9" w:rsidRPr="00E72E6E" w:rsidRDefault="001321A9" w:rsidP="0067230F">
      <w:pPr>
        <w:pStyle w:val="FootnoteText"/>
        <w:jc w:val="both"/>
      </w:pPr>
      <w:r w:rsidRPr="00E72E6E">
        <w:rPr>
          <w:rStyle w:val="FootnoteReference"/>
        </w:rPr>
        <w:footnoteRef/>
      </w:r>
      <w:r w:rsidRPr="00E72E6E">
        <w:t xml:space="preserve"> Proposed Defendant-Intervenors’ Memorandum of Law in Support of Their Motion for Leave to Intervene at 18-19, </w:t>
      </w:r>
      <w:r w:rsidRPr="00E72E6E">
        <w:rPr>
          <w:i/>
          <w:iCs/>
        </w:rPr>
        <w:t>Texas</w:t>
      </w:r>
      <w:r w:rsidRPr="00E72E6E">
        <w:t xml:space="preserve">, 328 F. Supp. 3d </w:t>
      </w:r>
      <w:r w:rsidR="003915A7">
        <w:t xml:space="preserve">at </w:t>
      </w:r>
      <w:r w:rsidRPr="00E72E6E">
        <w:t>662.</w:t>
      </w:r>
    </w:p>
  </w:footnote>
  <w:footnote w:id="207">
    <w:p w14:paraId="7F42C250" w14:textId="6F695B2C"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Texas v. United States</w:t>
      </w:r>
      <w:r w:rsidRPr="00E72E6E">
        <w:t xml:space="preserve">, 524 F. Supp. 3d 598, 607-08 (S.D. Tex. 2021). </w:t>
      </w:r>
    </w:p>
  </w:footnote>
  <w:footnote w:id="208">
    <w:p w14:paraId="3F2585F3" w14:textId="556A7077" w:rsidR="001321A9" w:rsidRPr="00E72E6E" w:rsidRDefault="001321A9" w:rsidP="0067230F">
      <w:pPr>
        <w:pStyle w:val="FootnoteText"/>
        <w:jc w:val="both"/>
      </w:pPr>
      <w:r w:rsidRPr="00E72E6E">
        <w:rPr>
          <w:rStyle w:val="FootnoteReference"/>
        </w:rPr>
        <w:footnoteRef/>
      </w:r>
      <w:r w:rsidRPr="00E72E6E">
        <w:t xml:space="preserve"> Proposed Intervenors’ Emergency Motion to Intervene and Incorporated Memorandum of Law at 1, </w:t>
      </w:r>
      <w:r w:rsidRPr="00E72E6E">
        <w:rPr>
          <w:i/>
          <w:iCs/>
        </w:rPr>
        <w:t>Texas</w:t>
      </w:r>
      <w:r w:rsidRPr="00E72E6E">
        <w:t xml:space="preserve">, 524 F. Supp. 3d </w:t>
      </w:r>
      <w:r w:rsidR="003915A7">
        <w:t xml:space="preserve">at </w:t>
      </w:r>
      <w:r w:rsidRPr="00E72E6E">
        <w:t xml:space="preserve">598. </w:t>
      </w:r>
    </w:p>
  </w:footnote>
  <w:footnote w:id="209">
    <w:p w14:paraId="50F457B4" w14:textId="198175F1"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Id.</w:t>
      </w:r>
      <w:r w:rsidRPr="00E72E6E">
        <w:t xml:space="preserve"> One of the nonprofits, the Refugee and Immigrant Center for Education and Legal Services, also published press releases highlighting the harms to individuals and the political valence of the case. </w:t>
      </w:r>
      <w:r w:rsidRPr="00E72E6E">
        <w:rPr>
          <w:i/>
          <w:iCs/>
        </w:rPr>
        <w:t>See</w:t>
      </w:r>
      <w:r w:rsidRPr="00E72E6E">
        <w:t>,</w:t>
      </w:r>
      <w:r w:rsidRPr="00E72E6E">
        <w:rPr>
          <w:i/>
          <w:iCs/>
        </w:rPr>
        <w:t xml:space="preserve"> e.g.</w:t>
      </w:r>
      <w:r w:rsidRPr="00E72E6E">
        <w:t xml:space="preserve">, RAICES, </w:t>
      </w:r>
      <w:r w:rsidRPr="00E72E6E">
        <w:rPr>
          <w:i/>
          <w:iCs/>
        </w:rPr>
        <w:t>Biden Must Confront Texas White-Supremacist Agenda Led By Extremist Ken Paxton</w:t>
      </w:r>
      <w:r w:rsidRPr="00E72E6E">
        <w:t xml:space="preserve"> (Feb. 24, 2021),</w:t>
      </w:r>
      <w:r w:rsidR="005E0B99">
        <w:t> </w:t>
      </w:r>
      <w:hyperlink r:id="rId2" w:history="1">
        <w:r w:rsidR="005E0B99" w:rsidRPr="00EF0237">
          <w:rPr>
            <w:rStyle w:val="Hyperlink"/>
          </w:rPr>
          <w:t>https://www.raicestexas.org/2021/02/24/biden-must-confront-texas-white-supremacist-agenda-led-by-extremist-ken-paxton/</w:t>
        </w:r>
      </w:hyperlink>
      <w:r w:rsidRPr="00E72E6E">
        <w:t>.</w:t>
      </w:r>
    </w:p>
  </w:footnote>
  <w:footnote w:id="210">
    <w:p w14:paraId="48D58190"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Texas v. United States</w:t>
      </w:r>
      <w:r w:rsidRPr="00E72E6E">
        <w:t>, No. 18-cv-00167, 2018 WL 4076510, at *1-2 (N.D. Tex. June 15, 2018).</w:t>
      </w:r>
    </w:p>
  </w:footnote>
  <w:footnote w:id="211">
    <w:p w14:paraId="41D83DBD" w14:textId="24B54890" w:rsidR="001321A9" w:rsidRPr="00E72E6E" w:rsidRDefault="001321A9" w:rsidP="0067230F">
      <w:pPr>
        <w:pStyle w:val="FootnoteText"/>
        <w:jc w:val="both"/>
      </w:pPr>
      <w:r w:rsidRPr="00E72E6E">
        <w:rPr>
          <w:rStyle w:val="FootnoteReference"/>
        </w:rPr>
        <w:footnoteRef/>
      </w:r>
      <w:r w:rsidRPr="00E72E6E">
        <w:t xml:space="preserve"> Motion to Intervene and Memorandum in Support at 8, </w:t>
      </w:r>
      <w:r w:rsidRPr="00E72E6E">
        <w:rPr>
          <w:i/>
          <w:iCs/>
        </w:rPr>
        <w:t xml:space="preserve">Hunter, et al. v. U.S. </w:t>
      </w:r>
      <w:proofErr w:type="spellStart"/>
      <w:r w:rsidRPr="00E72E6E">
        <w:rPr>
          <w:i/>
          <w:iCs/>
        </w:rPr>
        <w:t>Dep’t</w:t>
      </w:r>
      <w:proofErr w:type="spellEnd"/>
      <w:r w:rsidRPr="00E72E6E">
        <w:rPr>
          <w:i/>
          <w:iCs/>
        </w:rPr>
        <w:t xml:space="preserve"> of Educ., et al.</w:t>
      </w:r>
      <w:r w:rsidRPr="00E72E6E">
        <w:t xml:space="preserve">, (D. Or.) (No. 21-cv-00474). </w:t>
      </w:r>
    </w:p>
  </w:footnote>
  <w:footnote w:id="212">
    <w:p w14:paraId="1FC55FFE" w14:textId="39D6C479" w:rsidR="001321A9" w:rsidRPr="00E72E6E" w:rsidRDefault="001321A9" w:rsidP="0067230F">
      <w:pPr>
        <w:pStyle w:val="FootnoteText"/>
        <w:jc w:val="both"/>
      </w:pPr>
      <w:r w:rsidRPr="00E72E6E">
        <w:rPr>
          <w:rStyle w:val="FootnoteReference"/>
        </w:rPr>
        <w:footnoteRef/>
      </w:r>
      <w:r w:rsidRPr="00E72E6E">
        <w:t xml:space="preserve"> Proposed Defendant-Intervenor CCCU’s Motion to Intervene and Memorandum in Support at 8-9, </w:t>
      </w:r>
      <w:r w:rsidRPr="00E72E6E">
        <w:rPr>
          <w:i/>
          <w:iCs/>
        </w:rPr>
        <w:t>Hunter</w:t>
      </w:r>
      <w:r w:rsidRPr="00E72E6E">
        <w:t xml:space="preserve">, </w:t>
      </w:r>
      <w:r w:rsidR="001E3616" w:rsidRPr="00E72E6E">
        <w:t xml:space="preserve">2023 Us </w:t>
      </w:r>
      <w:proofErr w:type="spellStart"/>
      <w:r w:rsidR="001E3616" w:rsidRPr="00E72E6E">
        <w:t>Dist</w:t>
      </w:r>
      <w:proofErr w:type="spellEnd"/>
      <w:r w:rsidR="001E3616" w:rsidRPr="00E72E6E">
        <w:t xml:space="preserve"> Lexis 5745</w:t>
      </w:r>
      <w:r w:rsidRPr="00E72E6E">
        <w:t xml:space="preserve">. The organization also maintained a website, highlighting its intervention in the case as one of its advocacy efforts and providing more information about the harms to religious schools. </w:t>
      </w:r>
      <w:r w:rsidRPr="00E72E6E">
        <w:rPr>
          <w:i/>
          <w:iCs/>
        </w:rPr>
        <w:t xml:space="preserve">See </w:t>
      </w:r>
      <w:r w:rsidRPr="00E72E6E">
        <w:t xml:space="preserve">CCU, Our Role in Advocacy, </w:t>
      </w:r>
      <w:hyperlink r:id="rId3" w:anchor="heading-the-courts-3" w:history="1">
        <w:r w:rsidRPr="00E72E6E">
          <w:rPr>
            <w:rStyle w:val="Hyperlink"/>
          </w:rPr>
          <w:t>https://www.cccu.org/advocacy/#heading-the-courts-3</w:t>
        </w:r>
      </w:hyperlink>
      <w:r w:rsidRPr="00E72E6E">
        <w:t xml:space="preserve">. </w:t>
      </w:r>
    </w:p>
  </w:footnote>
  <w:footnote w:id="213">
    <w:p w14:paraId="72004F10"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 xml:space="preserve">New York v. United States </w:t>
      </w:r>
      <w:proofErr w:type="spellStart"/>
      <w:r w:rsidRPr="00E72E6E">
        <w:rPr>
          <w:i/>
          <w:iCs/>
        </w:rPr>
        <w:t>Dep’t</w:t>
      </w:r>
      <w:proofErr w:type="spellEnd"/>
      <w:r w:rsidRPr="00E72E6E">
        <w:rPr>
          <w:i/>
          <w:iCs/>
        </w:rPr>
        <w:t xml:space="preserve"> of Health &amp; Hum. Servs.</w:t>
      </w:r>
      <w:r w:rsidRPr="00E72E6E">
        <w:t>, No. 19-cv-04676, 2019 WL 3531960, at *9 (S.D.N.Y. Aug. 2, 2019).</w:t>
      </w:r>
    </w:p>
  </w:footnote>
  <w:footnote w:id="214">
    <w:p w14:paraId="10E61712" w14:textId="28D13DAC" w:rsidR="001321A9" w:rsidRPr="00E72E6E" w:rsidRDefault="001321A9" w:rsidP="0067230F">
      <w:pPr>
        <w:pStyle w:val="FootnoteText"/>
        <w:jc w:val="both"/>
      </w:pPr>
      <w:r w:rsidRPr="008E2EBC">
        <w:rPr>
          <w:rStyle w:val="FootnoteReference"/>
        </w:rPr>
        <w:footnoteRef/>
      </w:r>
      <w:r w:rsidRPr="008E2EBC">
        <w:t xml:space="preserve"> </w:t>
      </w:r>
      <w:r w:rsidR="008E2EBC" w:rsidRPr="008E2EBC">
        <w:rPr>
          <w:i/>
          <w:iCs/>
        </w:rPr>
        <w:t>S</w:t>
      </w:r>
      <w:r w:rsidRPr="008E2EBC">
        <w:rPr>
          <w:i/>
          <w:iCs/>
        </w:rPr>
        <w:t xml:space="preserve">ee </w:t>
      </w:r>
      <w:r w:rsidR="000B3CCE">
        <w:t xml:space="preserve">section I, </w:t>
      </w:r>
      <w:r w:rsidR="000B3CCE">
        <w:rPr>
          <w:i/>
          <w:iCs/>
        </w:rPr>
        <w:t>supra</w:t>
      </w:r>
      <w:r w:rsidRPr="008E2EBC">
        <w:t>.</w:t>
      </w:r>
    </w:p>
  </w:footnote>
  <w:footnote w:id="215">
    <w:p w14:paraId="660FC38F" w14:textId="77777777" w:rsidR="001321A9" w:rsidRPr="00E72E6E" w:rsidRDefault="001321A9" w:rsidP="0067230F">
      <w:pPr>
        <w:pStyle w:val="FootnoteText"/>
        <w:jc w:val="both"/>
      </w:pPr>
      <w:r w:rsidRPr="00E72E6E">
        <w:rPr>
          <w:rStyle w:val="FootnoteReference"/>
        </w:rPr>
        <w:footnoteRef/>
      </w:r>
      <w:r w:rsidRPr="00E72E6E">
        <w:t xml:space="preserve"> Aaron-Andrew P. </w:t>
      </w:r>
      <w:proofErr w:type="spellStart"/>
      <w:r w:rsidRPr="00E72E6E">
        <w:t>Bruhl</w:t>
      </w:r>
      <w:proofErr w:type="spellEnd"/>
      <w:r w:rsidRPr="00E72E6E">
        <w:t xml:space="preserve">, </w:t>
      </w:r>
      <w:r w:rsidRPr="00E72E6E">
        <w:rPr>
          <w:i/>
          <w:iCs/>
        </w:rPr>
        <w:t>One Good Plaintiff is Not Enough</w:t>
      </w:r>
      <w:r w:rsidRPr="00E72E6E">
        <w:t>, 67 Duke L.J. 481, 484 (2017).</w:t>
      </w:r>
    </w:p>
  </w:footnote>
  <w:footnote w:id="216">
    <w:p w14:paraId="05CE43BB"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Id.</w:t>
      </w:r>
    </w:p>
  </w:footnote>
  <w:footnote w:id="217">
    <w:p w14:paraId="55091D4C" w14:textId="266EE9C5" w:rsidR="001321A9" w:rsidRPr="00E72E6E" w:rsidRDefault="001321A9" w:rsidP="0067230F">
      <w:pPr>
        <w:pStyle w:val="FootnoteText"/>
        <w:jc w:val="both"/>
      </w:pPr>
      <w:r w:rsidRPr="00E72E6E">
        <w:rPr>
          <w:rStyle w:val="FootnoteReference"/>
        </w:rPr>
        <w:footnoteRef/>
      </w:r>
      <w:r w:rsidRPr="00E72E6E">
        <w:t xml:space="preserve"> Proposed Plaintiffs-Intervenors’ Motion for Leave to Intervene at </w:t>
      </w:r>
      <w:r w:rsidR="000B3CCE">
        <w:t xml:space="preserve">1-2, </w:t>
      </w:r>
      <w:r w:rsidRPr="00E72E6E">
        <w:t xml:space="preserve">15-16, </w:t>
      </w:r>
      <w:r w:rsidR="000B3CCE">
        <w:rPr>
          <w:i/>
          <w:iCs/>
        </w:rPr>
        <w:t>Hawaii</w:t>
      </w:r>
      <w:r w:rsidR="000B3CCE">
        <w:t>,</w:t>
      </w:r>
      <w:r w:rsidR="000B3CCE">
        <w:rPr>
          <w:i/>
          <w:iCs/>
        </w:rPr>
        <w:t xml:space="preserve"> </w:t>
      </w:r>
      <w:r w:rsidRPr="00E72E6E">
        <w:t xml:space="preserve">859 F.3d </w:t>
      </w:r>
      <w:r w:rsidR="000B3CCE">
        <w:t xml:space="preserve">at </w:t>
      </w:r>
      <w:r w:rsidRPr="00E72E6E">
        <w:t xml:space="preserve">741 (9th Cir.) (No. 17-15589) (several former refugees intervening “to establish both the cognizable injury suffered by refugees and demonstrate the irreparable harm they </w:t>
      </w:r>
      <w:proofErr w:type="gramStart"/>
      <w:r w:rsidRPr="00E72E6E">
        <w:t>will</w:t>
      </w:r>
      <w:proofErr w:type="gramEnd"/>
      <w:r w:rsidRPr="00E72E6E">
        <w:t xml:space="preserve"> suffer” if the executive order took effect)</w:t>
      </w:r>
      <w:r w:rsidR="000B3CCE">
        <w:t>.</w:t>
      </w:r>
    </w:p>
  </w:footnote>
  <w:footnote w:id="218">
    <w:p w14:paraId="59B5C792" w14:textId="4B5F2359" w:rsidR="001321A9" w:rsidRPr="00E72E6E" w:rsidRDefault="001321A9" w:rsidP="0067230F">
      <w:pPr>
        <w:pStyle w:val="FootnoteText"/>
        <w:jc w:val="both"/>
      </w:pPr>
      <w:r w:rsidRPr="00E72E6E">
        <w:rPr>
          <w:rStyle w:val="FootnoteReference"/>
        </w:rPr>
        <w:footnoteRef/>
      </w:r>
      <w:r w:rsidRPr="00E72E6E">
        <w:t xml:space="preserve"> States’ Emergency Motion to Intervene under Federal Rule 24 and Circuit Rule 27-3 at 11-12, </w:t>
      </w:r>
      <w:r w:rsidR="00054286" w:rsidRPr="00FA09A9">
        <w:rPr>
          <w:i/>
        </w:rPr>
        <w:t>Hawaii v. Trump</w:t>
      </w:r>
      <w:r w:rsidR="00054286" w:rsidRPr="00FA09A9">
        <w:rPr>
          <w:iCs/>
        </w:rPr>
        <w:t xml:space="preserve">, 878 F.3d 662 (9th Cir. 2017) </w:t>
      </w:r>
      <w:r w:rsidRPr="00E72E6E">
        <w:t>(No. 17-17168).</w:t>
      </w:r>
    </w:p>
  </w:footnote>
  <w:footnote w:id="219">
    <w:p w14:paraId="2DB61983" w14:textId="6D291FD3" w:rsidR="001321A9" w:rsidRPr="00E72E6E" w:rsidRDefault="001321A9" w:rsidP="0067230F">
      <w:pPr>
        <w:pStyle w:val="FootnoteText"/>
        <w:jc w:val="both"/>
      </w:pPr>
      <w:r w:rsidRPr="00E72E6E">
        <w:rPr>
          <w:rStyle w:val="FootnoteReference"/>
        </w:rPr>
        <w:footnoteRef/>
      </w:r>
      <w:r w:rsidRPr="00E72E6E">
        <w:t xml:space="preserve"> The United States Conference of Mayors’ Motion to Intervene at 3-4, 6, </w:t>
      </w:r>
      <w:r w:rsidRPr="00E72E6E">
        <w:rPr>
          <w:i/>
          <w:iCs/>
        </w:rPr>
        <w:t>Chicago</w:t>
      </w:r>
      <w:r w:rsidRPr="00E72E6E">
        <w:t xml:space="preserve">, 264 F. Supp. 3d </w:t>
      </w:r>
      <w:r w:rsidR="00DE064C">
        <w:t xml:space="preserve">at </w:t>
      </w:r>
      <w:r w:rsidRPr="00E72E6E">
        <w:t>933.</w:t>
      </w:r>
    </w:p>
  </w:footnote>
  <w:footnote w:id="220">
    <w:p w14:paraId="3DFD7887" w14:textId="77777777" w:rsidR="001321A9" w:rsidRPr="00E72E6E" w:rsidRDefault="001321A9" w:rsidP="0067230F">
      <w:pPr>
        <w:pStyle w:val="FootnoteText"/>
        <w:jc w:val="both"/>
      </w:pPr>
      <w:r w:rsidRPr="00E72E6E">
        <w:rPr>
          <w:rStyle w:val="FootnoteReference"/>
        </w:rPr>
        <w:footnoteRef/>
      </w:r>
      <w:r w:rsidRPr="00E72E6E">
        <w:t xml:space="preserve"> Proposed Intervenors Natural Resources Defense Council and National Wildlife Federation’s Unopposed Motion for Leave to Intervene as Defendants and Memorandum in Support at 19-20, 389 F.Supp.3d 497 (S.D. Tex.) (No. 15-cv-00162).</w:t>
      </w:r>
    </w:p>
  </w:footnote>
  <w:footnote w:id="221">
    <w:p w14:paraId="4005A6E3" w14:textId="3FEEDA38" w:rsidR="001321A9" w:rsidRPr="00E72E6E" w:rsidRDefault="001321A9" w:rsidP="0067230F">
      <w:pPr>
        <w:pStyle w:val="FootnoteText"/>
        <w:jc w:val="both"/>
      </w:pPr>
      <w:r w:rsidRPr="00E72E6E">
        <w:rPr>
          <w:rStyle w:val="FootnoteReference"/>
        </w:rPr>
        <w:footnoteRef/>
      </w:r>
      <w:r w:rsidRPr="00E72E6E">
        <w:t xml:space="preserve"> Reply Memorandum in Support of the Religious Schools’ Motion to Intervene at 2, </w:t>
      </w:r>
      <w:r w:rsidRPr="00E72E6E">
        <w:rPr>
          <w:i/>
          <w:iCs/>
        </w:rPr>
        <w:t>Hunter</w:t>
      </w:r>
      <w:r w:rsidRPr="00E72E6E">
        <w:t xml:space="preserve">, 2023 Us </w:t>
      </w:r>
      <w:proofErr w:type="spellStart"/>
      <w:r w:rsidRPr="00E72E6E">
        <w:t>Dist</w:t>
      </w:r>
      <w:proofErr w:type="spellEnd"/>
      <w:r w:rsidRPr="00E72E6E">
        <w:t xml:space="preserve"> Lexis 5745.</w:t>
      </w:r>
    </w:p>
  </w:footnote>
  <w:footnote w:id="222">
    <w:p w14:paraId="33E0361F" w14:textId="4527B307" w:rsidR="001321A9" w:rsidRPr="00E72E6E" w:rsidRDefault="001321A9" w:rsidP="0067230F">
      <w:pPr>
        <w:pStyle w:val="FootnoteText"/>
        <w:jc w:val="both"/>
      </w:pPr>
      <w:r w:rsidRPr="00E72E6E">
        <w:rPr>
          <w:rStyle w:val="FootnoteReference"/>
        </w:rPr>
        <w:footnoteRef/>
      </w:r>
      <w:r w:rsidRPr="00E72E6E">
        <w:t xml:space="preserve"> Proposed Defendant-Intervenor Council for Christian Colleges &amp; Universities’ Reply to Defendants’ Amended Opposition to Motions to Intervene at 5-6, </w:t>
      </w:r>
      <w:r w:rsidRPr="00E72E6E">
        <w:rPr>
          <w:i/>
          <w:iCs/>
        </w:rPr>
        <w:t>Hunter</w:t>
      </w:r>
      <w:r w:rsidRPr="00E72E6E">
        <w:t xml:space="preserve">, 2023 Us </w:t>
      </w:r>
      <w:proofErr w:type="spellStart"/>
      <w:r w:rsidRPr="00E72E6E">
        <w:t>Dist</w:t>
      </w:r>
      <w:proofErr w:type="spellEnd"/>
      <w:r w:rsidRPr="00E72E6E">
        <w:t xml:space="preserve"> Lexis 5745.</w:t>
      </w:r>
    </w:p>
  </w:footnote>
  <w:footnote w:id="223">
    <w:p w14:paraId="3B890D11" w14:textId="7DA0B66A" w:rsidR="001321A9" w:rsidRPr="00E72E6E" w:rsidRDefault="001321A9" w:rsidP="0067230F">
      <w:pPr>
        <w:pStyle w:val="FootnoteText"/>
        <w:jc w:val="both"/>
      </w:pPr>
      <w:r w:rsidRPr="00E72E6E">
        <w:rPr>
          <w:rStyle w:val="FootnoteReference"/>
        </w:rPr>
        <w:footnoteRef/>
      </w:r>
      <w:r w:rsidRPr="00E72E6E">
        <w:t xml:space="preserve"> There are numerous examples in addition to the two discussed in the accompanying text. </w:t>
      </w:r>
      <w:r w:rsidR="001E3616">
        <w:rPr>
          <w:i/>
          <w:iCs/>
        </w:rPr>
        <w:t xml:space="preserve">See </w:t>
      </w:r>
      <w:r w:rsidRPr="00E72E6E">
        <w:rPr>
          <w:i/>
          <w:iCs/>
        </w:rPr>
        <w:t>Oregon v. Becerra</w:t>
      </w:r>
      <w:r w:rsidRPr="00E72E6E">
        <w:t>, 141 S. Ct. 2621, 2621(2021)</w:t>
      </w:r>
      <w:r w:rsidR="001E3616">
        <w:t>;</w:t>
      </w:r>
      <w:r w:rsidRPr="00E72E6E">
        <w:t xml:space="preserve"> </w:t>
      </w:r>
      <w:r w:rsidRPr="00E72E6E">
        <w:rPr>
          <w:i/>
          <w:iCs/>
        </w:rPr>
        <w:t>Texas</w:t>
      </w:r>
      <w:r w:rsidRPr="00E72E6E">
        <w:t xml:space="preserve">, 945 F.3d </w:t>
      </w:r>
      <w:r w:rsidR="00C6732B">
        <w:t xml:space="preserve">at </w:t>
      </w:r>
      <w:r w:rsidRPr="00E72E6E">
        <w:t>355</w:t>
      </w:r>
      <w:r w:rsidR="001E3616">
        <w:t xml:space="preserve">; </w:t>
      </w:r>
      <w:r w:rsidRPr="00E72E6E">
        <w:rPr>
          <w:i/>
          <w:iCs/>
        </w:rPr>
        <w:t>Franciscan All., Inc. v. Azar</w:t>
      </w:r>
      <w:r w:rsidRPr="00E72E6E">
        <w:t xml:space="preserve">, 414 F. Supp. 3d 928, 940 (N.D. Tex. 2019); </w:t>
      </w:r>
      <w:r w:rsidRPr="00E72E6E">
        <w:rPr>
          <w:i/>
          <w:iCs/>
        </w:rPr>
        <w:t xml:space="preserve">New York v. United States </w:t>
      </w:r>
      <w:proofErr w:type="spellStart"/>
      <w:r w:rsidRPr="00E72E6E">
        <w:rPr>
          <w:i/>
          <w:iCs/>
        </w:rPr>
        <w:t>Dep’t</w:t>
      </w:r>
      <w:proofErr w:type="spellEnd"/>
      <w:r w:rsidRPr="00E72E6E">
        <w:rPr>
          <w:i/>
          <w:iCs/>
        </w:rPr>
        <w:t xml:space="preserve"> of Health &amp; Hum. Servs.</w:t>
      </w:r>
      <w:r w:rsidRPr="00E72E6E">
        <w:t>, No. 19-cv-004676, 2019 WL 3531960, at *1 (S.D.N.Y. Aug. 2, 2019)</w:t>
      </w:r>
      <w:r w:rsidR="001E3616">
        <w:t xml:space="preserve">; </w:t>
      </w:r>
      <w:r w:rsidRPr="00E72E6E">
        <w:t xml:space="preserve">Texas AFL-CIO’s Reply Motion to Intervene and Brief in Support at 1 n.2, </w:t>
      </w:r>
      <w:r w:rsidRPr="00E72E6E">
        <w:rPr>
          <w:i/>
          <w:iCs/>
        </w:rPr>
        <w:t>State of Nevada et al v. United States Department of Labor et al</w:t>
      </w:r>
      <w:r w:rsidRPr="00E72E6E">
        <w:t xml:space="preserve"> (E.D. Tex.) (No. 16-cv-00731); Memorandum of Law in Support of the National Black Farmers Association and the Association of American Indian Farmers’ Opposed Conditional Motion for Leave to Intervene as Defendants at 11, </w:t>
      </w:r>
      <w:r w:rsidRPr="00E72E6E">
        <w:rPr>
          <w:i/>
          <w:iCs/>
        </w:rPr>
        <w:t>Wynn v. Vilsack, et al.</w:t>
      </w:r>
      <w:r w:rsidRPr="00E72E6E">
        <w:t xml:space="preserve"> (M.D. Fla.) (No. 21-cv-00514) (requesting intervention if the government “declines to appeal an adverse ruling”).</w:t>
      </w:r>
    </w:p>
  </w:footnote>
  <w:footnote w:id="224">
    <w:p w14:paraId="13C71BCC" w14:textId="0098B81F" w:rsidR="001321A9" w:rsidRPr="00E72E6E" w:rsidRDefault="001321A9" w:rsidP="0067230F">
      <w:pPr>
        <w:pStyle w:val="FootnoteText"/>
        <w:jc w:val="both"/>
      </w:pPr>
      <w:r w:rsidRPr="00E72E6E">
        <w:rPr>
          <w:rStyle w:val="FootnoteReference"/>
        </w:rPr>
        <w:footnoteRef/>
      </w:r>
      <w:r w:rsidRPr="00E72E6E">
        <w:t xml:space="preserve"> American Petroleum Institute and Interstate Natural Gas Association of America: Notice of Motion and motion to Intervene at 16, </w:t>
      </w:r>
      <w:r w:rsidRPr="00E72E6E">
        <w:rPr>
          <w:i/>
          <w:iCs/>
        </w:rPr>
        <w:t>In re Clean Water Act Rulemaking</w:t>
      </w:r>
      <w:r w:rsidRPr="00E72E6E">
        <w:t xml:space="preserve">, 568 F. Supp. 3d 1013 (N.D. Cal.) (No. 20-cv-06137); </w:t>
      </w:r>
      <w:r w:rsidRPr="00E72E6E">
        <w:rPr>
          <w:i/>
          <w:iCs/>
        </w:rPr>
        <w:t xml:space="preserve">see also </w:t>
      </w:r>
      <w:r w:rsidRPr="00E72E6E">
        <w:t xml:space="preserve">Reply in Support of Motion to Intervene by American Petroleum Institute and Interstate Natural Gas Association of America at 10-11, </w:t>
      </w:r>
      <w:r w:rsidRPr="00E72E6E">
        <w:rPr>
          <w:i/>
          <w:iCs/>
        </w:rPr>
        <w:t>In re Clean Water Act Rulemaking</w:t>
      </w:r>
      <w:r w:rsidRPr="00E72E6E">
        <w:t>, 568 F. Supp. 3d 1013 (arguing that “the likelihood of a change in policy is based on more than speculation” because the rule followed an executive order by President Trump and had received “attention … from Plaintiffs and other groups around the country,” leading the intervenor to conclude that so “a new administration may later or abandon its defense of the Rule”).</w:t>
      </w:r>
    </w:p>
  </w:footnote>
  <w:footnote w:id="225">
    <w:p w14:paraId="588213AF" w14:textId="0A0AFD1F" w:rsidR="001321A9" w:rsidRPr="00E72E6E" w:rsidRDefault="001321A9" w:rsidP="0067230F">
      <w:pPr>
        <w:pStyle w:val="FootnoteText"/>
        <w:jc w:val="both"/>
      </w:pPr>
      <w:r w:rsidRPr="00E72E6E">
        <w:rPr>
          <w:rStyle w:val="FootnoteReference"/>
        </w:rPr>
        <w:footnoteRef/>
      </w:r>
      <w:r w:rsidRPr="00E72E6E">
        <w:t xml:space="preserve"> Response/Reply Brief of Intervenors-Appellants at 3-4, </w:t>
      </w:r>
      <w:r w:rsidR="00C5195A" w:rsidRPr="00C5195A">
        <w:rPr>
          <w:i/>
          <w:iCs/>
        </w:rPr>
        <w:t>Am. Coll. of Obstetricians &amp; Gynecologists</w:t>
      </w:r>
      <w:r w:rsidR="00C5195A" w:rsidRPr="00C5195A">
        <w:t>, 472 F. Supp. 3d at 198</w:t>
      </w:r>
      <w:r w:rsidRPr="00C5195A">
        <w:t>.</w:t>
      </w:r>
      <w:r w:rsidRPr="00E72E6E">
        <w:t xml:space="preserve"> </w:t>
      </w:r>
    </w:p>
  </w:footnote>
  <w:footnote w:id="226">
    <w:p w14:paraId="113A11B8"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Id.</w:t>
      </w:r>
    </w:p>
  </w:footnote>
  <w:footnote w:id="227">
    <w:p w14:paraId="7BC67DF5" w14:textId="53E0C0E3" w:rsidR="001321A9" w:rsidRPr="00E72E6E" w:rsidRDefault="001321A9" w:rsidP="0067230F">
      <w:pPr>
        <w:pStyle w:val="FootnoteText"/>
        <w:jc w:val="both"/>
      </w:pPr>
      <w:r w:rsidRPr="00E72E6E">
        <w:rPr>
          <w:rStyle w:val="FootnoteReference"/>
        </w:rPr>
        <w:footnoteRef/>
      </w:r>
      <w:r w:rsidRPr="00E72E6E">
        <w:t xml:space="preserve"> The States of California, New York, and Oregon’s Motion for Reconsideration at 4, </w:t>
      </w:r>
      <w:r w:rsidRPr="00E72E6E">
        <w:rPr>
          <w:i/>
          <w:iCs/>
        </w:rPr>
        <w:t xml:space="preserve">Chamber of Com. of United States of Am. v. United States </w:t>
      </w:r>
      <w:proofErr w:type="spellStart"/>
      <w:r w:rsidRPr="00E72E6E">
        <w:rPr>
          <w:i/>
          <w:iCs/>
        </w:rPr>
        <w:t>Dep’t</w:t>
      </w:r>
      <w:proofErr w:type="spellEnd"/>
      <w:r w:rsidRPr="00E72E6E">
        <w:rPr>
          <w:i/>
          <w:iCs/>
        </w:rPr>
        <w:t xml:space="preserve"> of Lab.</w:t>
      </w:r>
      <w:r w:rsidRPr="00E72E6E">
        <w:t xml:space="preserve">, 885 F.3d 360 (5th Cir.) (No. 17-10238); </w:t>
      </w:r>
      <w:r w:rsidRPr="00E72E6E">
        <w:rPr>
          <w:i/>
          <w:iCs/>
        </w:rPr>
        <w:t xml:space="preserve">see also </w:t>
      </w:r>
      <w:r w:rsidRPr="00E72E6E">
        <w:t xml:space="preserve">Motion of AARP to Intervene as a Defendant-Appellee for the Purpose of Seeking Rehearing </w:t>
      </w:r>
      <w:proofErr w:type="spellStart"/>
      <w:r w:rsidRPr="00E72E6E">
        <w:t>En</w:t>
      </w:r>
      <w:proofErr w:type="spellEnd"/>
      <w:r w:rsidRPr="00E72E6E">
        <w:t xml:space="preserve"> Banc at 20-21, </w:t>
      </w:r>
      <w:r w:rsidRPr="00E72E6E">
        <w:rPr>
          <w:i/>
          <w:iCs/>
        </w:rPr>
        <w:t xml:space="preserve">Chamber of Com. of United States of Am. v. United States </w:t>
      </w:r>
      <w:proofErr w:type="spellStart"/>
      <w:r w:rsidRPr="00E72E6E">
        <w:rPr>
          <w:i/>
          <w:iCs/>
        </w:rPr>
        <w:t>Dep’t</w:t>
      </w:r>
      <w:proofErr w:type="spellEnd"/>
      <w:r w:rsidRPr="00E72E6E">
        <w:rPr>
          <w:i/>
          <w:iCs/>
        </w:rPr>
        <w:t xml:space="preserve"> of Lab.</w:t>
      </w:r>
      <w:r w:rsidRPr="00E72E6E">
        <w:t xml:space="preserve">, 885 F.3d 360 (5th Cir.) (No. 17-10238). </w:t>
      </w:r>
    </w:p>
  </w:footnote>
  <w:footnote w:id="228">
    <w:p w14:paraId="08DB101A" w14:textId="7C85C2C2" w:rsidR="001321A9" w:rsidRPr="00E72E6E" w:rsidRDefault="001321A9" w:rsidP="0067230F">
      <w:pPr>
        <w:pStyle w:val="FootnoteText"/>
        <w:jc w:val="both"/>
        <w:rPr>
          <w:i/>
          <w:iCs/>
        </w:rPr>
      </w:pPr>
      <w:r w:rsidRPr="00E72E6E">
        <w:rPr>
          <w:rStyle w:val="FootnoteReference"/>
        </w:rPr>
        <w:footnoteRef/>
      </w:r>
      <w:r w:rsidRPr="00E72E6E">
        <w:t xml:space="preserve"> </w:t>
      </w:r>
      <w:r w:rsidRPr="00E72E6E">
        <w:rPr>
          <w:i/>
          <w:iCs/>
        </w:rPr>
        <w:t>See</w:t>
      </w:r>
      <w:r w:rsidRPr="00E72E6E">
        <w:t xml:space="preserve">, </w:t>
      </w:r>
      <w:r w:rsidRPr="00E72E6E">
        <w:rPr>
          <w:i/>
          <w:iCs/>
        </w:rPr>
        <w:t>e.g.</w:t>
      </w:r>
      <w:r w:rsidRPr="00E72E6E">
        <w:t xml:space="preserve">, Proposed Defendant-Intervenor Council for Christian Colleges &amp; Universities’ Reply to Defendants’ Amended Opposition to Motions to Intervene at 5-6, </w:t>
      </w:r>
      <w:r w:rsidRPr="00E72E6E">
        <w:rPr>
          <w:i/>
          <w:iCs/>
        </w:rPr>
        <w:t>Hunter</w:t>
      </w:r>
      <w:r w:rsidRPr="00E72E6E">
        <w:t xml:space="preserve">, 2023 Us </w:t>
      </w:r>
      <w:proofErr w:type="spellStart"/>
      <w:r w:rsidRPr="00E72E6E">
        <w:t>Dist</w:t>
      </w:r>
      <w:proofErr w:type="spellEnd"/>
      <w:r w:rsidRPr="00E72E6E">
        <w:t xml:space="preserve"> Lexis 5745 (arguing that “preventing the Plaintiffs and the federal defendants from employing a cynical ‘sue and settle’ strategy as a means of abolishing the Title IX religious exemption is one of the most important reasons to allow [the organization]’s participation”). </w:t>
      </w:r>
    </w:p>
  </w:footnote>
  <w:footnote w:id="229">
    <w:p w14:paraId="57055EBB"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Texas v. Cook County</w:t>
      </w:r>
      <w:r w:rsidRPr="00E72E6E">
        <w:t>, 141 S. Ct. 2562, 2562 (2021).</w:t>
      </w:r>
    </w:p>
  </w:footnote>
  <w:footnote w:id="230">
    <w:p w14:paraId="04100900" w14:textId="77777777" w:rsidR="001321A9" w:rsidRPr="00E72E6E" w:rsidRDefault="001321A9" w:rsidP="0067230F">
      <w:pPr>
        <w:pStyle w:val="FootnoteText"/>
        <w:jc w:val="both"/>
      </w:pPr>
      <w:r w:rsidRPr="00E72E6E">
        <w:rPr>
          <w:rStyle w:val="FootnoteReference"/>
        </w:rPr>
        <w:footnoteRef/>
      </w:r>
      <w:r w:rsidRPr="00E72E6E">
        <w:t xml:space="preserve"> Motion to Recall the Mandate to Permit Intervention as Appellant, Opposed Motion to Reconsider, or in the Alternative to Rehear, the Motion to Dismiss, Opposed Motion for Leave to Intervene-Appellants at 2, </w:t>
      </w:r>
      <w:r w:rsidRPr="00E72E6E">
        <w:rPr>
          <w:i/>
          <w:iCs/>
        </w:rPr>
        <w:t>CASA de Md. v. Biden</w:t>
      </w:r>
      <w:r w:rsidRPr="00E72E6E">
        <w:t xml:space="preserve">, 981 F.3d 311 (4th Cir.) (No. 19-2222). </w:t>
      </w:r>
    </w:p>
  </w:footnote>
  <w:footnote w:id="231">
    <w:p w14:paraId="7635E90A" w14:textId="7AADFE45" w:rsidR="001321A9" w:rsidRPr="00E72E6E" w:rsidRDefault="001321A9" w:rsidP="0067230F">
      <w:pPr>
        <w:pStyle w:val="FootnoteText"/>
        <w:jc w:val="both"/>
      </w:pPr>
      <w:r w:rsidRPr="00E72E6E">
        <w:rPr>
          <w:rStyle w:val="FootnoteReference"/>
        </w:rPr>
        <w:footnoteRef/>
      </w:r>
      <w:r w:rsidRPr="00E72E6E">
        <w:t xml:space="preserve"> Motion to Intervene by the States of Arizona, Louisiana, Alabama, Alaska, Kansas, Kentucky, Mississippi, Nebraska, Ohio, Oklahoma, South Carolina, Texas, Virginia, West Virginia, and Wyoming at 1, </w:t>
      </w:r>
      <w:proofErr w:type="spellStart"/>
      <w:r w:rsidRPr="00E72E6E">
        <w:rPr>
          <w:i/>
          <w:iCs/>
        </w:rPr>
        <w:t>Huisha-Huisha</w:t>
      </w:r>
      <w:proofErr w:type="spellEnd"/>
      <w:r w:rsidRPr="00E72E6E">
        <w:rPr>
          <w:i/>
          <w:iCs/>
        </w:rPr>
        <w:t xml:space="preserve"> v. Mayorkas</w:t>
      </w:r>
      <w:r w:rsidRPr="00E72E6E">
        <w:t>, 560 F. Supp. 3d 146 (D.D.C.) (No. 21-cv-00100).</w:t>
      </w:r>
    </w:p>
  </w:footnote>
  <w:footnote w:id="232">
    <w:p w14:paraId="0D3A0CA3" w14:textId="57E0B148" w:rsidR="001321A9" w:rsidRPr="00E72E6E" w:rsidRDefault="001321A9" w:rsidP="0067230F">
      <w:pPr>
        <w:pStyle w:val="FootnoteText"/>
        <w:jc w:val="both"/>
      </w:pPr>
      <w:r w:rsidRPr="00E72E6E">
        <w:rPr>
          <w:rStyle w:val="FootnoteReference"/>
        </w:rPr>
        <w:footnoteRef/>
      </w:r>
      <w:r w:rsidRPr="00E72E6E">
        <w:t xml:space="preserve"> </w:t>
      </w:r>
      <w:r w:rsidR="004A4ED7">
        <w:rPr>
          <w:i/>
          <w:iCs/>
        </w:rPr>
        <w:t>Arizona v. Mayorkas</w:t>
      </w:r>
      <w:r w:rsidR="004A4ED7">
        <w:t>, 143 S. Ct. 1312, 1312 (2023).</w:t>
      </w:r>
    </w:p>
  </w:footnote>
  <w:footnote w:id="233">
    <w:p w14:paraId="322D2284" w14:textId="2E23B506" w:rsidR="00EF4AAB" w:rsidRPr="00EF4AAB" w:rsidRDefault="00EF4AAB" w:rsidP="0067230F">
      <w:pPr>
        <w:pStyle w:val="FootnoteText"/>
        <w:jc w:val="both"/>
      </w:pPr>
      <w:r>
        <w:rPr>
          <w:rStyle w:val="FootnoteReference"/>
        </w:rPr>
        <w:footnoteRef/>
      </w:r>
      <w:r>
        <w:t xml:space="preserve"> </w:t>
      </w:r>
      <w:r>
        <w:rPr>
          <w:i/>
          <w:iCs/>
        </w:rPr>
        <w:t>Texas</w:t>
      </w:r>
      <w:r>
        <w:t xml:space="preserve">, 805 F.3d at 660-63. </w:t>
      </w:r>
    </w:p>
  </w:footnote>
  <w:footnote w:id="234">
    <w:p w14:paraId="2C7FDC37" w14:textId="4D0864CB" w:rsidR="001321A9" w:rsidRPr="008E2EBC" w:rsidRDefault="001321A9" w:rsidP="0067230F">
      <w:pPr>
        <w:pStyle w:val="FootnoteText"/>
        <w:jc w:val="both"/>
      </w:pPr>
      <w:r w:rsidRPr="008E2EBC">
        <w:rPr>
          <w:rStyle w:val="FootnoteReference"/>
        </w:rPr>
        <w:footnoteRef/>
      </w:r>
      <w:r w:rsidRPr="008E2EBC">
        <w:t xml:space="preserve"> </w:t>
      </w:r>
      <w:r w:rsidR="006118CB" w:rsidRPr="00E72E6E">
        <w:rPr>
          <w:i/>
          <w:iCs/>
        </w:rPr>
        <w:t>Bd. of Educ. of the Highland Loc. Sch. Dist.</w:t>
      </w:r>
      <w:r w:rsidR="006118CB" w:rsidRPr="00E72E6E">
        <w:t xml:space="preserve">, 208 F. Supp. 3d </w:t>
      </w:r>
      <w:r w:rsidR="006118CB">
        <w:t xml:space="preserve">at </w:t>
      </w:r>
      <w:r w:rsidR="006118CB" w:rsidRPr="00E72E6E">
        <w:t>859</w:t>
      </w:r>
      <w:r w:rsidRPr="008E2EBC">
        <w:rPr>
          <w:i/>
          <w:iCs/>
        </w:rPr>
        <w:t xml:space="preserve">. </w:t>
      </w:r>
    </w:p>
  </w:footnote>
  <w:footnote w:id="235">
    <w:p w14:paraId="402FF249" w14:textId="6CF06166" w:rsidR="001321A9" w:rsidRPr="008E2EBC" w:rsidRDefault="001321A9" w:rsidP="0067230F">
      <w:pPr>
        <w:pStyle w:val="FootnoteText"/>
        <w:jc w:val="both"/>
      </w:pPr>
      <w:r w:rsidRPr="008E2EBC">
        <w:rPr>
          <w:rStyle w:val="FootnoteReference"/>
        </w:rPr>
        <w:footnoteRef/>
      </w:r>
      <w:r w:rsidRPr="008E2EBC">
        <w:t xml:space="preserve"> </w:t>
      </w:r>
      <w:r w:rsidRPr="008E2EBC">
        <w:rPr>
          <w:i/>
          <w:iCs/>
        </w:rPr>
        <w:t>Louisiana v. Biden</w:t>
      </w:r>
      <w:r w:rsidRPr="008E2EBC">
        <w:t xml:space="preserve">, No. 2:21-cv-00778 (W.D. La. Mar. 24, 2021). </w:t>
      </w:r>
    </w:p>
  </w:footnote>
  <w:footnote w:id="236">
    <w:p w14:paraId="121DF098" w14:textId="2A95A517" w:rsidR="00C97907" w:rsidRDefault="00C97907" w:rsidP="0067230F">
      <w:pPr>
        <w:pStyle w:val="FootnoteText"/>
        <w:jc w:val="both"/>
      </w:pPr>
      <w:r>
        <w:rPr>
          <w:rStyle w:val="FootnoteReference"/>
        </w:rPr>
        <w:footnoteRef/>
      </w:r>
      <w:r>
        <w:t xml:space="preserve"> </w:t>
      </w:r>
      <w:r w:rsidRPr="00E72E6E">
        <w:rPr>
          <w:i/>
          <w:iCs/>
        </w:rPr>
        <w:t>Texas v. United States</w:t>
      </w:r>
      <w:r w:rsidRPr="00E72E6E">
        <w:t>, No. 18-cv-00167, 2018 WL 4076510, at *1-2 (N.D. Tex. June 15, 2018)</w:t>
      </w:r>
      <w:r>
        <w:t>.</w:t>
      </w:r>
    </w:p>
  </w:footnote>
  <w:footnote w:id="237">
    <w:p w14:paraId="0A6EBF3A" w14:textId="0EC244B0" w:rsidR="001321A9" w:rsidRPr="00E72E6E" w:rsidRDefault="001321A9" w:rsidP="0067230F">
      <w:pPr>
        <w:pStyle w:val="FootnoteText"/>
        <w:jc w:val="both"/>
      </w:pPr>
      <w:r w:rsidRPr="008E2EBC">
        <w:rPr>
          <w:rStyle w:val="FootnoteReference"/>
        </w:rPr>
        <w:footnoteRef/>
      </w:r>
      <w:r w:rsidRPr="008E2EBC">
        <w:t xml:space="preserve"> </w:t>
      </w:r>
      <w:r w:rsidRPr="008E2EBC">
        <w:rPr>
          <w:i/>
          <w:iCs/>
        </w:rPr>
        <w:t>State of Nevada et al v. United States Department of Labor et al</w:t>
      </w:r>
      <w:r w:rsidRPr="008E2EBC">
        <w:t>, Docket No. 4:16-cv-00731</w:t>
      </w:r>
      <w:r w:rsidR="00190E90">
        <w:t xml:space="preserve">, </w:t>
      </w:r>
      <w:r w:rsidR="00190E90" w:rsidRPr="00190E90">
        <w:t>2017 WL 3780085</w:t>
      </w:r>
      <w:r w:rsidR="00190E90">
        <w:t>, at *3</w:t>
      </w:r>
      <w:r w:rsidRPr="008E2EBC">
        <w:t xml:space="preserve"> (E.D. Tex. Sep 20, 2016).</w:t>
      </w:r>
    </w:p>
  </w:footnote>
  <w:footnote w:id="238">
    <w:p w14:paraId="55AACC57" w14:textId="5E6A91E4" w:rsidR="001321A9" w:rsidRPr="00190E90" w:rsidRDefault="001321A9" w:rsidP="0067230F">
      <w:pPr>
        <w:pStyle w:val="FootnoteText"/>
        <w:jc w:val="both"/>
      </w:pPr>
      <w:r w:rsidRPr="00E72E6E">
        <w:rPr>
          <w:rStyle w:val="FootnoteReference"/>
        </w:rPr>
        <w:footnoteRef/>
      </w:r>
      <w:r w:rsidRPr="00E72E6E">
        <w:t xml:space="preserve"> </w:t>
      </w:r>
      <w:r w:rsidR="00190E90">
        <w:rPr>
          <w:i/>
          <w:iCs/>
        </w:rPr>
        <w:t>Id.</w:t>
      </w:r>
    </w:p>
  </w:footnote>
  <w:footnote w:id="239">
    <w:p w14:paraId="146E0F42" w14:textId="350F2BF6" w:rsidR="001321A9" w:rsidRPr="00190E90" w:rsidRDefault="001321A9" w:rsidP="0067230F">
      <w:pPr>
        <w:pStyle w:val="FootnoteText"/>
        <w:jc w:val="both"/>
      </w:pPr>
      <w:r w:rsidRPr="00E72E6E">
        <w:rPr>
          <w:rStyle w:val="FootnoteReference"/>
        </w:rPr>
        <w:footnoteRef/>
      </w:r>
      <w:r w:rsidRPr="00E72E6E">
        <w:t xml:space="preserve"> </w:t>
      </w:r>
      <w:r w:rsidR="00190E90" w:rsidRPr="00190E90">
        <w:rPr>
          <w:i/>
          <w:iCs/>
        </w:rPr>
        <w:t>Wynn v. Vilsack et al</w:t>
      </w:r>
      <w:r w:rsidR="00190E90" w:rsidRPr="00190E90">
        <w:t>, No. 3:21-cv-00514 (M.D. Fla. May 18, 2021)</w:t>
      </w:r>
      <w:r w:rsidR="00190E90">
        <w:t xml:space="preserve">; </w:t>
      </w:r>
      <w:r w:rsidR="00190E90" w:rsidRPr="00C107EA">
        <w:rPr>
          <w:i/>
          <w:iCs/>
        </w:rPr>
        <w:t>Miller et al v. Vilsack</w:t>
      </w:r>
      <w:r w:rsidR="00190E90" w:rsidRPr="00C107EA">
        <w:t>, No. 4:21-cv-00595 (N.D. Tex. Apr 26, 2021)</w:t>
      </w:r>
      <w:r w:rsidR="00190E90">
        <w:t xml:space="preserve">; </w:t>
      </w:r>
      <w:r w:rsidR="00190E90" w:rsidRPr="00D91A13">
        <w:rPr>
          <w:i/>
          <w:iCs/>
        </w:rPr>
        <w:t>Faust et al v. Vilsack et al</w:t>
      </w:r>
      <w:r w:rsidR="00190E90" w:rsidRPr="00D91A13">
        <w:t>, No. 1:21-cv-00548 (E.D. Wis. Apr 29, 2021)</w:t>
      </w:r>
      <w:r w:rsidR="00190E90">
        <w:t xml:space="preserve">; </w:t>
      </w:r>
      <w:r w:rsidR="00190E90" w:rsidRPr="00E17DA5">
        <w:rPr>
          <w:i/>
          <w:iCs/>
        </w:rPr>
        <w:t>Holman v. Vilsack et al</w:t>
      </w:r>
      <w:r w:rsidR="00190E90" w:rsidRPr="00E17DA5">
        <w:t>, No. 1:21-cv-01085 (W.D. Tenn. Jun 02, 2021)</w:t>
      </w:r>
      <w:r w:rsidR="00190E90">
        <w:t xml:space="preserve">; </w:t>
      </w:r>
      <w:r w:rsidR="00190E90" w:rsidRPr="0041332F">
        <w:rPr>
          <w:i/>
          <w:iCs/>
        </w:rPr>
        <w:t>Kent et al v. Vilsack et al</w:t>
      </w:r>
      <w:r w:rsidR="00190E90" w:rsidRPr="0041332F">
        <w:t>, No. 3:21-cv-00540 (S.D. Ill. Jun 07, 2021)</w:t>
      </w:r>
      <w:r w:rsidR="00190E90">
        <w:t xml:space="preserve">; </w:t>
      </w:r>
      <w:r w:rsidR="00403328" w:rsidRPr="00C15E12">
        <w:rPr>
          <w:i/>
          <w:iCs/>
        </w:rPr>
        <w:t>McKinney v. Vilsack et al</w:t>
      </w:r>
      <w:r w:rsidR="00403328" w:rsidRPr="00C15E12">
        <w:t>, No. 2:21-cv-00212 (E.D. Tex. Jun 10, 2021)</w:t>
      </w:r>
      <w:r w:rsidR="00403328">
        <w:t xml:space="preserve">; </w:t>
      </w:r>
      <w:r w:rsidR="00190E90" w:rsidRPr="00190E90">
        <w:rPr>
          <w:i/>
          <w:iCs/>
        </w:rPr>
        <w:t>Dunlap et al v. Secretary of Agriculture et al</w:t>
      </w:r>
      <w:r w:rsidR="00190E90" w:rsidRPr="00190E90">
        <w:t>, No. 2:21-cv-00942 (D. Or. Jun 24, 2021)</w:t>
      </w:r>
      <w:r w:rsidR="00190E90">
        <w:t>.</w:t>
      </w:r>
    </w:p>
  </w:footnote>
  <w:footnote w:id="240">
    <w:p w14:paraId="1F38EECE" w14:textId="662A63D4" w:rsidR="00144C81" w:rsidRPr="00144C81" w:rsidRDefault="00144C81" w:rsidP="0067230F">
      <w:pPr>
        <w:pStyle w:val="FootnoteText"/>
        <w:jc w:val="both"/>
      </w:pPr>
      <w:r>
        <w:rPr>
          <w:rStyle w:val="FootnoteReference"/>
        </w:rPr>
        <w:footnoteRef/>
      </w:r>
      <w:r>
        <w:t xml:space="preserve"> </w:t>
      </w:r>
      <w:r>
        <w:rPr>
          <w:i/>
          <w:iCs/>
        </w:rPr>
        <w:t>See, e.g.</w:t>
      </w:r>
      <w:r>
        <w:t xml:space="preserve">, The National Black Farmers Association and the Association of American Indian Farmers’ Conditional Motion for Leave to Intervene as Defendants at 1, </w:t>
      </w:r>
      <w:r>
        <w:rPr>
          <w:i/>
          <w:iCs/>
        </w:rPr>
        <w:t>Wynn</w:t>
      </w:r>
      <w:r>
        <w:t xml:space="preserve">, </w:t>
      </w:r>
      <w:r w:rsidRPr="00190E90">
        <w:t>No. 3:21-cv-00514</w:t>
      </w:r>
      <w:r>
        <w:t xml:space="preserve">. </w:t>
      </w:r>
    </w:p>
  </w:footnote>
  <w:footnote w:id="241">
    <w:p w14:paraId="5D4C0ECC" w14:textId="57ADCC1C" w:rsidR="001321A9" w:rsidRPr="00E72E6E" w:rsidRDefault="001321A9" w:rsidP="0067230F">
      <w:pPr>
        <w:pStyle w:val="FootnoteText"/>
        <w:jc w:val="both"/>
      </w:pPr>
      <w:r w:rsidRPr="00E72E6E">
        <w:rPr>
          <w:rStyle w:val="FootnoteReference"/>
        </w:rPr>
        <w:footnoteRef/>
      </w:r>
      <w:r w:rsidRPr="00E72E6E">
        <w:t xml:space="preserve"> </w:t>
      </w:r>
      <w:r w:rsidR="00144C81">
        <w:rPr>
          <w:i/>
          <w:iCs/>
        </w:rPr>
        <w:t>Wynn</w:t>
      </w:r>
      <w:r w:rsidR="00144C81">
        <w:t xml:space="preserve">, </w:t>
      </w:r>
      <w:r w:rsidR="00144C81" w:rsidRPr="00190E90">
        <w:t>No. 3:21-cv-00514</w:t>
      </w:r>
      <w:r w:rsidR="00144C81">
        <w:t xml:space="preserve">; </w:t>
      </w:r>
      <w:r w:rsidR="00144C81" w:rsidRPr="00E17DA5">
        <w:rPr>
          <w:i/>
          <w:iCs/>
        </w:rPr>
        <w:t>Holman</w:t>
      </w:r>
      <w:r w:rsidR="00144C81" w:rsidRPr="00E17DA5">
        <w:t>, No. 1:21-cv-01085</w:t>
      </w:r>
      <w:r w:rsidR="00144C81">
        <w:t>.</w:t>
      </w:r>
    </w:p>
  </w:footnote>
  <w:footnote w:id="242">
    <w:p w14:paraId="49E08E50" w14:textId="4A02B30F" w:rsidR="001321A9" w:rsidRPr="00E72E6E" w:rsidRDefault="001321A9" w:rsidP="0067230F">
      <w:pPr>
        <w:pStyle w:val="FootnoteText"/>
        <w:jc w:val="both"/>
      </w:pPr>
      <w:r w:rsidRPr="00E72E6E">
        <w:rPr>
          <w:rStyle w:val="FootnoteReference"/>
        </w:rPr>
        <w:footnoteRef/>
      </w:r>
      <w:r w:rsidRPr="00E72E6E">
        <w:t xml:space="preserve"> </w:t>
      </w:r>
      <w:r w:rsidR="00144C81" w:rsidRPr="000B0C73">
        <w:rPr>
          <w:i/>
          <w:iCs/>
        </w:rPr>
        <w:t>Miller v. Vilsack</w:t>
      </w:r>
      <w:r w:rsidR="00144C81">
        <w:t xml:space="preserve">, No. 4:21-cv-00595, 2021 WL 6129207 (N.D. Tex. Dec. 8, 2021), </w:t>
      </w:r>
      <w:proofErr w:type="spellStart"/>
      <w:r w:rsidR="00144C81" w:rsidRPr="000B0C73">
        <w:rPr>
          <w:i/>
          <w:iCs/>
        </w:rPr>
        <w:t>rev’d</w:t>
      </w:r>
      <w:proofErr w:type="spellEnd"/>
      <w:r w:rsidR="00144C81" w:rsidRPr="000B0C73">
        <w:rPr>
          <w:i/>
          <w:iCs/>
        </w:rPr>
        <w:t xml:space="preserve"> and remanded</w:t>
      </w:r>
      <w:r w:rsidR="00144C81">
        <w:t xml:space="preserve">, 2022 WL 851782 (5th Cir. Mar. 22, 2022). </w:t>
      </w:r>
    </w:p>
  </w:footnote>
  <w:footnote w:id="243">
    <w:p w14:paraId="46C0639C" w14:textId="368A7108" w:rsidR="001321A9" w:rsidRPr="00E72E6E" w:rsidRDefault="001321A9" w:rsidP="0067230F">
      <w:pPr>
        <w:pStyle w:val="FootnoteText"/>
        <w:jc w:val="both"/>
      </w:pPr>
      <w:r w:rsidRPr="00E72E6E">
        <w:rPr>
          <w:rStyle w:val="FootnoteReference"/>
        </w:rPr>
        <w:footnoteRef/>
      </w:r>
      <w:r w:rsidRPr="00E72E6E">
        <w:t xml:space="preserve"> </w:t>
      </w:r>
      <w:r w:rsidR="00144C81" w:rsidRPr="00D91A13">
        <w:rPr>
          <w:i/>
          <w:iCs/>
        </w:rPr>
        <w:t>Faust</w:t>
      </w:r>
      <w:r w:rsidR="00144C81" w:rsidRPr="00D91A13">
        <w:t>, No. 1:21-cv-00548</w:t>
      </w:r>
      <w:r w:rsidR="00144C81">
        <w:t>.</w:t>
      </w:r>
    </w:p>
  </w:footnote>
  <w:footnote w:id="244">
    <w:p w14:paraId="5DBA3BA0" w14:textId="6E3A6C10" w:rsidR="001321A9" w:rsidRPr="00E72E6E" w:rsidRDefault="001321A9" w:rsidP="0067230F">
      <w:pPr>
        <w:pStyle w:val="FootnoteText"/>
        <w:jc w:val="both"/>
      </w:pPr>
      <w:r w:rsidRPr="00E72E6E">
        <w:rPr>
          <w:rStyle w:val="FootnoteReference"/>
        </w:rPr>
        <w:footnoteRef/>
      </w:r>
      <w:r w:rsidRPr="00E72E6E">
        <w:t xml:space="preserve"> </w:t>
      </w:r>
      <w:r w:rsidR="00144C81" w:rsidRPr="0041332F">
        <w:rPr>
          <w:i/>
          <w:iCs/>
        </w:rPr>
        <w:t>Kent</w:t>
      </w:r>
      <w:r w:rsidR="00144C81" w:rsidRPr="0041332F">
        <w:t>, No. 3:21-cv-00540</w:t>
      </w:r>
      <w:r w:rsidR="00144C81">
        <w:t>.</w:t>
      </w:r>
    </w:p>
  </w:footnote>
  <w:footnote w:id="245">
    <w:p w14:paraId="4C8E4ECD" w14:textId="20E6ADC6" w:rsidR="001321A9" w:rsidRPr="00E72E6E" w:rsidRDefault="001321A9" w:rsidP="0067230F">
      <w:pPr>
        <w:pStyle w:val="FootnoteText"/>
        <w:jc w:val="both"/>
      </w:pPr>
      <w:r w:rsidRPr="00E72E6E">
        <w:rPr>
          <w:rStyle w:val="FootnoteReference"/>
        </w:rPr>
        <w:footnoteRef/>
      </w:r>
      <w:r w:rsidRPr="00E72E6E">
        <w:t xml:space="preserve"> </w:t>
      </w:r>
      <w:r w:rsidR="00403328" w:rsidRPr="00403328">
        <w:rPr>
          <w:i/>
          <w:iCs/>
        </w:rPr>
        <w:t>Mc</w:t>
      </w:r>
      <w:r w:rsidR="00403328" w:rsidRPr="00E72E6E">
        <w:rPr>
          <w:i/>
          <w:iCs/>
        </w:rPr>
        <w:t>Kinney</w:t>
      </w:r>
      <w:r w:rsidR="00403328" w:rsidRPr="00E72E6E">
        <w:t>, No. 2:21-cv-00212</w:t>
      </w:r>
      <w:r w:rsidR="00403328">
        <w:t xml:space="preserve">; </w:t>
      </w:r>
      <w:r w:rsidR="00403328" w:rsidRPr="00262BCB">
        <w:rPr>
          <w:i/>
          <w:iCs/>
        </w:rPr>
        <w:t>Dunlap</w:t>
      </w:r>
      <w:r w:rsidR="00403328">
        <w:t>, No. 2:21-cv-00942.</w:t>
      </w:r>
      <w:r w:rsidRPr="00E72E6E">
        <w:t xml:space="preserve"> </w:t>
      </w:r>
      <w:r w:rsidR="004A7594" w:rsidRPr="00E72E6E">
        <w:t>This is likely because the courts stayed the litigation pending the outcome in the similar actions in other districts.</w:t>
      </w:r>
    </w:p>
  </w:footnote>
  <w:footnote w:id="246">
    <w:p w14:paraId="0A71FAF9" w14:textId="34EE9467" w:rsidR="001321A9" w:rsidRPr="00E72E6E" w:rsidRDefault="001321A9" w:rsidP="0067230F">
      <w:pPr>
        <w:pStyle w:val="FootnoteText"/>
        <w:jc w:val="both"/>
      </w:pPr>
      <w:r w:rsidRPr="00E72E6E">
        <w:rPr>
          <w:rStyle w:val="FootnoteReference"/>
        </w:rPr>
        <w:footnoteRef/>
      </w:r>
      <w:r w:rsidRPr="00E72E6E">
        <w:t xml:space="preserve"> Sometimes this aligns with other institutional practices. It is not surprising, for instance, that the Supreme Court rarely explains its decision to deny intervention given its routine practice of not providing written explanations for procedural decisions like denying cert or dismissing a case from its docket. </w:t>
      </w:r>
      <w:r w:rsidR="008F4815">
        <w:rPr>
          <w:i/>
          <w:iCs/>
        </w:rPr>
        <w:t xml:space="preserve">See </w:t>
      </w:r>
      <w:r w:rsidR="008F4815">
        <w:t>Stephen Vladeck, The Shadow Docket 46-51</w:t>
      </w:r>
      <w:r w:rsidR="00114979">
        <w:t xml:space="preserve"> </w:t>
      </w:r>
      <w:r w:rsidR="008F4815">
        <w:t xml:space="preserve">(2023). </w:t>
      </w:r>
    </w:p>
  </w:footnote>
  <w:footnote w:id="247">
    <w:p w14:paraId="51B5D688" w14:textId="227A7CB5" w:rsidR="001321A9" w:rsidRPr="002351D8" w:rsidRDefault="001321A9" w:rsidP="0067230F">
      <w:pPr>
        <w:pStyle w:val="FootnoteText"/>
        <w:jc w:val="both"/>
      </w:pPr>
      <w:r w:rsidRPr="00E72E6E">
        <w:rPr>
          <w:rStyle w:val="FootnoteReference"/>
        </w:rPr>
        <w:footnoteRef/>
      </w:r>
      <w:r w:rsidRPr="00E72E6E">
        <w:t xml:space="preserve"> </w:t>
      </w:r>
      <w:r w:rsidR="002351D8">
        <w:rPr>
          <w:i/>
          <w:iCs/>
        </w:rPr>
        <w:t>See</w:t>
      </w:r>
      <w:r w:rsidR="002351D8">
        <w:t xml:space="preserve"> Order, </w:t>
      </w:r>
      <w:r w:rsidR="002351D8" w:rsidRPr="00ED11F7">
        <w:rPr>
          <w:i/>
          <w:iCs/>
        </w:rPr>
        <w:t>Texas</w:t>
      </w:r>
      <w:r w:rsidR="002351D8">
        <w:t xml:space="preserve">, 86 F. Supp. 3d 591 (S.D. Tex. 2015) (denying both forms of intervention without reasoning); Order, </w:t>
      </w:r>
      <w:r w:rsidR="002351D8">
        <w:rPr>
          <w:i/>
          <w:iCs/>
        </w:rPr>
        <w:t xml:space="preserve">Texas </w:t>
      </w:r>
      <w:r w:rsidR="002351D8" w:rsidRPr="002351D8">
        <w:t>328 F. Supp. 3d 662 (S.D. Tex. 2018)</w:t>
      </w:r>
      <w:r w:rsidR="002351D8">
        <w:t xml:space="preserve"> (granting intervention with no explanation provided in the order)</w:t>
      </w:r>
      <w:r w:rsidR="002351D8" w:rsidRPr="002351D8">
        <w:t>.</w:t>
      </w:r>
      <w:r w:rsidR="002351D8">
        <w:t xml:space="preserve"> </w:t>
      </w:r>
    </w:p>
  </w:footnote>
  <w:footnote w:id="248">
    <w:p w14:paraId="47F40276" w14:textId="3EDBE0BA" w:rsidR="001321A9" w:rsidRPr="00E72E6E" w:rsidRDefault="001321A9" w:rsidP="0067230F">
      <w:pPr>
        <w:pStyle w:val="FootnoteText"/>
        <w:jc w:val="both"/>
      </w:pPr>
      <w:r w:rsidRPr="00E72E6E">
        <w:rPr>
          <w:rStyle w:val="FootnoteReference"/>
        </w:rPr>
        <w:footnoteRef/>
      </w:r>
      <w:r w:rsidR="002351D8">
        <w:t xml:space="preserve"> </w:t>
      </w:r>
      <w:r w:rsidR="002351D8">
        <w:rPr>
          <w:i/>
          <w:iCs/>
        </w:rPr>
        <w:t>See, e.g.</w:t>
      </w:r>
      <w:r w:rsidR="002351D8" w:rsidRPr="002351D8">
        <w:t>,</w:t>
      </w:r>
      <w:r w:rsidR="002351D8">
        <w:rPr>
          <w:i/>
          <w:iCs/>
        </w:rPr>
        <w:t xml:space="preserve"> </w:t>
      </w:r>
      <w:r w:rsidR="002351D8" w:rsidRPr="008D4822">
        <w:rPr>
          <w:i/>
          <w:iCs/>
        </w:rPr>
        <w:t>Texas v. United States</w:t>
      </w:r>
      <w:r w:rsidR="002351D8" w:rsidRPr="002351D8">
        <w:t>, No. 6:21-CV-00003, 2021 WL 411441</w:t>
      </w:r>
      <w:r w:rsidR="002351D8">
        <w:t>, at *1 n.1</w:t>
      </w:r>
      <w:r w:rsidR="002351D8" w:rsidRPr="002351D8">
        <w:t xml:space="preserve"> (S.D. Tex. Feb. 6, 2021)</w:t>
      </w:r>
      <w:r w:rsidR="002351D8">
        <w:t xml:space="preserve">. </w:t>
      </w:r>
    </w:p>
  </w:footnote>
  <w:footnote w:id="249">
    <w:p w14:paraId="770F47A6"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 xml:space="preserve">Students &amp; Parents for Privacy v. U.S. </w:t>
      </w:r>
      <w:proofErr w:type="spellStart"/>
      <w:r w:rsidRPr="00E72E6E">
        <w:rPr>
          <w:i/>
          <w:iCs/>
        </w:rPr>
        <w:t>Dep’t</w:t>
      </w:r>
      <w:proofErr w:type="spellEnd"/>
      <w:r w:rsidRPr="00E72E6E">
        <w:rPr>
          <w:i/>
          <w:iCs/>
        </w:rPr>
        <w:t xml:space="preserve"> of Educ.</w:t>
      </w:r>
      <w:r w:rsidRPr="00E72E6E">
        <w:t xml:space="preserve">, No. 16-cv-4945, 2016 WL 6134121, at *29 (N.D. Ill. Oct. 18, 2016) </w:t>
      </w:r>
      <w:r w:rsidRPr="00E72E6E">
        <w:rPr>
          <w:i/>
          <w:iCs/>
        </w:rPr>
        <w:t xml:space="preserve">Id. </w:t>
      </w:r>
      <w:r w:rsidRPr="00E72E6E">
        <w:t xml:space="preserve">at 29. </w:t>
      </w:r>
    </w:p>
  </w:footnote>
  <w:footnote w:id="250">
    <w:p w14:paraId="203CA2E4" w14:textId="2FBE52EC"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Id.</w:t>
      </w:r>
      <w:r w:rsidRPr="00E72E6E">
        <w:t xml:space="preserve"> at *15 (invoking </w:t>
      </w:r>
      <w:r w:rsidRPr="00E72E6E">
        <w:rPr>
          <w:i/>
          <w:iCs/>
        </w:rPr>
        <w:t>Auer</w:t>
      </w:r>
      <w:r w:rsidRPr="00E72E6E">
        <w:t xml:space="preserve"> deference).</w:t>
      </w:r>
    </w:p>
  </w:footnote>
  <w:footnote w:id="251">
    <w:p w14:paraId="5141DAC5" w14:textId="223B93F7" w:rsidR="001321A9" w:rsidRPr="00E72E6E" w:rsidRDefault="001321A9" w:rsidP="0067230F">
      <w:pPr>
        <w:pStyle w:val="FootnoteText"/>
        <w:jc w:val="both"/>
      </w:pPr>
      <w:r w:rsidRPr="00E72E6E">
        <w:rPr>
          <w:rStyle w:val="FootnoteReference"/>
        </w:rPr>
        <w:footnoteRef/>
      </w:r>
      <w:r w:rsidRPr="00E72E6E">
        <w:t xml:space="preserve"> </w:t>
      </w:r>
      <w:r w:rsidR="002F700E">
        <w:t>Defendant-Intervenor’s Advisory Regarding Proposed Scheduling Order at</w:t>
      </w:r>
      <w:r w:rsidRPr="00E72E6E">
        <w:t xml:space="preserve"> 3-4</w:t>
      </w:r>
      <w:r w:rsidR="002F700E">
        <w:t xml:space="preserve">, </w:t>
      </w:r>
      <w:r w:rsidR="002F700E">
        <w:rPr>
          <w:i/>
          <w:iCs/>
        </w:rPr>
        <w:t>Texas</w:t>
      </w:r>
      <w:r w:rsidR="002F700E">
        <w:t>, 86 F. Supp. 3d 591</w:t>
      </w:r>
      <w:r w:rsidRPr="00E72E6E">
        <w:t xml:space="preserve">; </w:t>
      </w:r>
      <w:r w:rsidR="002F700E">
        <w:t xml:space="preserve">Defendant-Intervenors’ Memorandum of Law in Support of Their Motion to Dismiss Without Prejudice Or, In the Alternative, to Transfer or Stay Proceedings, </w:t>
      </w:r>
      <w:r w:rsidR="002F700E">
        <w:rPr>
          <w:i/>
          <w:iCs/>
        </w:rPr>
        <w:t>Texas</w:t>
      </w:r>
      <w:r w:rsidR="002F700E">
        <w:t>, 86 F. Supp. 3d 591.</w:t>
      </w:r>
    </w:p>
  </w:footnote>
  <w:footnote w:id="252">
    <w:p w14:paraId="66729E84" w14:textId="2B6DDB1F" w:rsidR="001321A9" w:rsidRPr="00E72E6E" w:rsidRDefault="001321A9" w:rsidP="0067230F">
      <w:pPr>
        <w:pStyle w:val="FootnoteText"/>
        <w:jc w:val="both"/>
      </w:pPr>
      <w:r w:rsidRPr="00E72E6E">
        <w:rPr>
          <w:rStyle w:val="FootnoteReference"/>
        </w:rPr>
        <w:footnoteRef/>
      </w:r>
      <w:r w:rsidRPr="00E72E6E">
        <w:t xml:space="preserve"> </w:t>
      </w:r>
      <w:r w:rsidR="002675B8">
        <w:t xml:space="preserve">Defendant-Intervenors’ Application for Leave to Conduct Discovery of Federal Defendants at 3, </w:t>
      </w:r>
      <w:r w:rsidR="002675B8">
        <w:rPr>
          <w:i/>
          <w:iCs/>
        </w:rPr>
        <w:t>Texas</w:t>
      </w:r>
      <w:r w:rsidR="002675B8">
        <w:t>, 86 F. Supp. 3d 591</w:t>
      </w:r>
      <w:r w:rsidRPr="00E72E6E">
        <w:t xml:space="preserve">; </w:t>
      </w:r>
      <w:r w:rsidRPr="00E72E6E">
        <w:rPr>
          <w:i/>
          <w:iCs/>
        </w:rPr>
        <w:t xml:space="preserve">see also </w:t>
      </w:r>
      <w:r w:rsidR="00DD7270" w:rsidRPr="00DD7270">
        <w:rPr>
          <w:i/>
          <w:iCs/>
        </w:rPr>
        <w:t>Texas v. United States</w:t>
      </w:r>
      <w:r w:rsidR="00DD7270" w:rsidRPr="00DD7270">
        <w:t>, No. 1:18-CV-68, 2020 WL 6440497, at *1 (S.D. Tex. Aug. 21, 2020)</w:t>
      </w:r>
      <w:r w:rsidR="00DD7270">
        <w:t xml:space="preserve"> (</w:t>
      </w:r>
      <w:r w:rsidRPr="00E72E6E">
        <w:t xml:space="preserve">“This Court deferred ruling on that motion multiple times at the behest of Defendant-Intervenors Individuals for a number of reasons, including to allow for a period of discovery.”). </w:t>
      </w:r>
    </w:p>
  </w:footnote>
  <w:footnote w:id="253">
    <w:p w14:paraId="56381DD2" w14:textId="27C4468B" w:rsidR="001321A9" w:rsidRPr="00E72E6E" w:rsidRDefault="001321A9" w:rsidP="0067230F">
      <w:pPr>
        <w:pStyle w:val="FootnoteText"/>
        <w:jc w:val="both"/>
      </w:pPr>
      <w:r w:rsidRPr="00E72E6E">
        <w:rPr>
          <w:rStyle w:val="FootnoteReference"/>
        </w:rPr>
        <w:footnoteRef/>
      </w:r>
      <w:r w:rsidRPr="00E72E6E">
        <w:t xml:space="preserve"> </w:t>
      </w:r>
      <w:r w:rsidR="00060F78">
        <w:t xml:space="preserve">Defendant-Intervenors’ Response to Plaintiffs’ Motion for Preliminary Injunction, </w:t>
      </w:r>
      <w:r w:rsidR="00060F78">
        <w:rPr>
          <w:i/>
          <w:iCs/>
        </w:rPr>
        <w:t>Texas</w:t>
      </w:r>
      <w:r w:rsidR="00060F78">
        <w:t xml:space="preserve">, 86 F. Supp. 3d 591; </w:t>
      </w:r>
      <w:r w:rsidRPr="00E72E6E">
        <w:t xml:space="preserve">DE 68 (opposing preliminary injunction); </w:t>
      </w:r>
      <w:r w:rsidR="00060F78">
        <w:t xml:space="preserve">Federal Defendants’ Response to Plaintiffs’ Motion for a Preliminary Injunction at 13, </w:t>
      </w:r>
      <w:r w:rsidR="00060F78">
        <w:rPr>
          <w:i/>
          <w:iCs/>
        </w:rPr>
        <w:t>Texas</w:t>
      </w:r>
      <w:r w:rsidR="00060F78">
        <w:t>, 86 F. Supp. 3d 591</w:t>
      </w:r>
      <w:r w:rsidRPr="00E72E6E">
        <w:t xml:space="preserve">. </w:t>
      </w:r>
    </w:p>
  </w:footnote>
  <w:footnote w:id="254">
    <w:p w14:paraId="41DCE265" w14:textId="78F5CCE3" w:rsidR="001321A9" w:rsidRPr="00E72E6E" w:rsidRDefault="001321A9" w:rsidP="0067230F">
      <w:pPr>
        <w:pStyle w:val="FootnoteText"/>
        <w:jc w:val="both"/>
      </w:pPr>
      <w:r w:rsidRPr="00E72E6E">
        <w:rPr>
          <w:rStyle w:val="FootnoteReference"/>
        </w:rPr>
        <w:footnoteRef/>
      </w:r>
      <w:r w:rsidRPr="00E72E6E">
        <w:t xml:space="preserve"> </w:t>
      </w:r>
      <w:r w:rsidR="00200C39">
        <w:t xml:space="preserve">Order, Docket Entry </w:t>
      </w:r>
      <w:r w:rsidRPr="00E72E6E">
        <w:t>318</w:t>
      </w:r>
      <w:r w:rsidR="00200C39">
        <w:t xml:space="preserve">, </w:t>
      </w:r>
      <w:r w:rsidR="00200C39">
        <w:rPr>
          <w:i/>
          <w:iCs/>
        </w:rPr>
        <w:t>Texas</w:t>
      </w:r>
      <w:r w:rsidR="00200C39">
        <w:t>, 86 F. Supp. 3d 591</w:t>
      </w:r>
      <w:r w:rsidR="002F700E">
        <w:t>.</w:t>
      </w:r>
    </w:p>
  </w:footnote>
  <w:footnote w:id="255">
    <w:p w14:paraId="51E6261D" w14:textId="6543DEC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Texas</w:t>
      </w:r>
      <w:r w:rsidRPr="00E72E6E">
        <w:t xml:space="preserve">, 328 F. Supp. 3d </w:t>
      </w:r>
      <w:r w:rsidR="00200C39">
        <w:t xml:space="preserve">at </w:t>
      </w:r>
      <w:r w:rsidRPr="00E72E6E">
        <w:t xml:space="preserve">673, 742. </w:t>
      </w:r>
    </w:p>
  </w:footnote>
  <w:footnote w:id="256">
    <w:p w14:paraId="0551162F" w14:textId="21919985" w:rsidR="001321A9" w:rsidRPr="00E72E6E" w:rsidRDefault="001321A9" w:rsidP="0067230F">
      <w:pPr>
        <w:pStyle w:val="FootnoteText"/>
        <w:jc w:val="both"/>
      </w:pPr>
      <w:r w:rsidRPr="00E72E6E">
        <w:rPr>
          <w:rStyle w:val="FootnoteReference"/>
        </w:rPr>
        <w:footnoteRef/>
      </w:r>
      <w:r w:rsidRPr="00E72E6E">
        <w:t xml:space="preserve"> </w:t>
      </w:r>
      <w:r w:rsidR="00500DD2" w:rsidRPr="00500DD2">
        <w:rPr>
          <w:i/>
          <w:iCs/>
        </w:rPr>
        <w:t>Texas v. United States</w:t>
      </w:r>
      <w:r w:rsidR="00500DD2">
        <w:t xml:space="preserve">, 549 F. Supp. 3d 572 (S.D. Tex. 2021), </w:t>
      </w:r>
      <w:r w:rsidR="00500DD2" w:rsidRPr="00500DD2">
        <w:rPr>
          <w:i/>
          <w:iCs/>
        </w:rPr>
        <w:t>aff’d in part, vacated in part, remanded</w:t>
      </w:r>
      <w:r w:rsidR="00500DD2">
        <w:t xml:space="preserve">, 50 F.4th 498 (5th Cir. 2022). </w:t>
      </w:r>
    </w:p>
  </w:footnote>
  <w:footnote w:id="257">
    <w:p w14:paraId="1077EEDD" w14:textId="49B3A3CB" w:rsidR="00FA7A34" w:rsidRDefault="00FA7A34" w:rsidP="0067230F">
      <w:pPr>
        <w:pStyle w:val="FootnoteText"/>
        <w:jc w:val="both"/>
      </w:pPr>
      <w:r>
        <w:rPr>
          <w:rStyle w:val="FootnoteReference"/>
        </w:rPr>
        <w:footnoteRef/>
      </w:r>
      <w:r>
        <w:t xml:space="preserve"> </w:t>
      </w:r>
      <w:r w:rsidRPr="00E72E6E">
        <w:rPr>
          <w:i/>
          <w:iCs/>
        </w:rPr>
        <w:t xml:space="preserve">Alabama v. United States </w:t>
      </w:r>
      <w:proofErr w:type="spellStart"/>
      <w:r w:rsidRPr="00E72E6E">
        <w:rPr>
          <w:i/>
          <w:iCs/>
        </w:rPr>
        <w:t>Dep’t</w:t>
      </w:r>
      <w:proofErr w:type="spellEnd"/>
      <w:r w:rsidRPr="00E72E6E">
        <w:rPr>
          <w:i/>
          <w:iCs/>
        </w:rPr>
        <w:t xml:space="preserve"> of Com.</w:t>
      </w:r>
      <w:r w:rsidRPr="00E72E6E">
        <w:t>, No. 2:18-CV-772-RDP, 2018 WL 6570879, at *3 (N.D. Ala. Dec. 13, 2018)</w:t>
      </w:r>
      <w:r>
        <w:t>.</w:t>
      </w:r>
    </w:p>
  </w:footnote>
  <w:footnote w:id="258">
    <w:p w14:paraId="12CCAEEB" w14:textId="70A12052" w:rsidR="001321A9" w:rsidRPr="00FA7A34" w:rsidRDefault="001321A9" w:rsidP="0067230F">
      <w:pPr>
        <w:pStyle w:val="FootnoteText"/>
        <w:jc w:val="both"/>
      </w:pPr>
      <w:r w:rsidRPr="00E72E6E">
        <w:rPr>
          <w:rStyle w:val="FootnoteReference"/>
        </w:rPr>
        <w:footnoteRef/>
      </w:r>
      <w:r w:rsidRPr="00E72E6E">
        <w:t xml:space="preserve"> </w:t>
      </w:r>
      <w:r w:rsidR="00FA7A34">
        <w:rPr>
          <w:i/>
          <w:iCs/>
        </w:rPr>
        <w:t>Id.</w:t>
      </w:r>
    </w:p>
  </w:footnote>
  <w:footnote w:id="259">
    <w:p w14:paraId="2C6E0D2E" w14:textId="77777777" w:rsidR="003D6E3A" w:rsidRPr="00E72E6E" w:rsidRDefault="003D6E3A" w:rsidP="003D6E3A">
      <w:pPr>
        <w:pStyle w:val="FootnoteText"/>
        <w:jc w:val="both"/>
      </w:pPr>
      <w:r w:rsidRPr="00E72E6E">
        <w:rPr>
          <w:rStyle w:val="FootnoteReference"/>
        </w:rPr>
        <w:footnoteRef/>
      </w:r>
      <w:r w:rsidRPr="00E72E6E">
        <w:t xml:space="preserve"> </w:t>
      </w:r>
      <w:r w:rsidRPr="00E72E6E">
        <w:rPr>
          <w:i/>
          <w:iCs/>
        </w:rPr>
        <w:t>Texas v. United States</w:t>
      </w:r>
      <w:r w:rsidRPr="00E72E6E">
        <w:t>, No. 18-cv-00167, 2018 WL 10562846, at *3 (N.D. Tex. May 16, 2018).</w:t>
      </w:r>
    </w:p>
  </w:footnote>
  <w:footnote w:id="260">
    <w:p w14:paraId="26AB6FEA" w14:textId="2D57C4C1" w:rsidR="00944FCC" w:rsidRPr="00E72E6E" w:rsidRDefault="00944FCC" w:rsidP="0067230F">
      <w:pPr>
        <w:pStyle w:val="FootnoteText"/>
        <w:jc w:val="both"/>
      </w:pPr>
      <w:r w:rsidRPr="00E72E6E">
        <w:rPr>
          <w:rStyle w:val="FootnoteReference"/>
        </w:rPr>
        <w:footnoteRef/>
      </w:r>
      <w:r w:rsidRPr="00E72E6E">
        <w:t xml:space="preserve"> </w:t>
      </w:r>
      <w:r w:rsidR="00940F7F" w:rsidRPr="00E72E6E">
        <w:rPr>
          <w:i/>
          <w:iCs/>
        </w:rPr>
        <w:t>Texas</w:t>
      </w:r>
      <w:r w:rsidR="00940F7F" w:rsidRPr="00E72E6E">
        <w:t xml:space="preserve">, 945 F.3d </w:t>
      </w:r>
      <w:r w:rsidR="00C6732B">
        <w:t xml:space="preserve">at </w:t>
      </w:r>
      <w:r w:rsidR="00940F7F" w:rsidRPr="00E72E6E">
        <w:t>374 (5th Cir. 2019)</w:t>
      </w:r>
      <w:r w:rsidR="00C6732B">
        <w:t>.</w:t>
      </w:r>
    </w:p>
  </w:footnote>
  <w:footnote w:id="261">
    <w:p w14:paraId="4349AA70" w14:textId="78D7A6ED" w:rsidR="00733AA8" w:rsidRPr="00E72E6E" w:rsidRDefault="00733AA8" w:rsidP="0067230F">
      <w:pPr>
        <w:pStyle w:val="FootnoteText"/>
        <w:jc w:val="both"/>
      </w:pPr>
      <w:r w:rsidRPr="00E72E6E">
        <w:rPr>
          <w:rStyle w:val="FootnoteReference"/>
        </w:rPr>
        <w:footnoteRef/>
      </w:r>
      <w:r w:rsidRPr="00E72E6E">
        <w:t xml:space="preserve"> </w:t>
      </w:r>
      <w:r w:rsidRPr="00E72E6E">
        <w:rPr>
          <w:i/>
          <w:iCs/>
        </w:rPr>
        <w:t>California</w:t>
      </w:r>
      <w:r w:rsidRPr="00E72E6E">
        <w:t xml:space="preserve">, 141 S. Ct. </w:t>
      </w:r>
      <w:r w:rsidR="00C6732B">
        <w:t xml:space="preserve">at </w:t>
      </w:r>
      <w:r w:rsidRPr="00E72E6E">
        <w:t>2113.</w:t>
      </w:r>
    </w:p>
  </w:footnote>
  <w:footnote w:id="262">
    <w:p w14:paraId="58E17B73" w14:textId="3830D9C2" w:rsidR="0022675B" w:rsidRPr="00E72E6E" w:rsidRDefault="0022675B" w:rsidP="0067230F">
      <w:pPr>
        <w:pStyle w:val="FootnoteText"/>
        <w:jc w:val="both"/>
      </w:pPr>
      <w:r w:rsidRPr="00E72E6E">
        <w:rPr>
          <w:rStyle w:val="FootnoteReference"/>
        </w:rPr>
        <w:footnoteRef/>
      </w:r>
      <w:r w:rsidRPr="00E72E6E">
        <w:t xml:space="preserve"> </w:t>
      </w:r>
      <w:r w:rsidR="00DE52A1" w:rsidRPr="00E72E6E">
        <w:rPr>
          <w:i/>
          <w:iCs/>
        </w:rPr>
        <w:t>In re Clean Water Act Rulemaking</w:t>
      </w:r>
      <w:r w:rsidR="00DE52A1" w:rsidRPr="00E72E6E">
        <w:t xml:space="preserve">, 568 F. Supp. 3d </w:t>
      </w:r>
      <w:r w:rsidR="00FF34B0">
        <w:t xml:space="preserve">at </w:t>
      </w:r>
      <w:r w:rsidR="00DE52A1" w:rsidRPr="00E72E6E">
        <w:t xml:space="preserve">1013, </w:t>
      </w:r>
      <w:proofErr w:type="spellStart"/>
      <w:r w:rsidR="00DE52A1" w:rsidRPr="00E72E6E">
        <w:rPr>
          <w:i/>
          <w:iCs/>
        </w:rPr>
        <w:t>rev’d</w:t>
      </w:r>
      <w:proofErr w:type="spellEnd"/>
      <w:r w:rsidR="00DE52A1" w:rsidRPr="00E72E6E">
        <w:rPr>
          <w:i/>
          <w:iCs/>
        </w:rPr>
        <w:t xml:space="preserve"> and remanded</w:t>
      </w:r>
      <w:r w:rsidR="00DE52A1" w:rsidRPr="00E72E6E">
        <w:t>, 60 F.4th 583 (9th Cir. 2023).</w:t>
      </w:r>
    </w:p>
  </w:footnote>
  <w:footnote w:id="263">
    <w:p w14:paraId="7A1FBB45" w14:textId="50D5FA58" w:rsidR="00EF5590" w:rsidRPr="00E72E6E" w:rsidRDefault="00EF5590" w:rsidP="0067230F">
      <w:pPr>
        <w:pStyle w:val="FootnoteText"/>
        <w:jc w:val="both"/>
      </w:pPr>
      <w:r w:rsidRPr="00E72E6E">
        <w:rPr>
          <w:rStyle w:val="FootnoteReference"/>
        </w:rPr>
        <w:footnoteRef/>
      </w:r>
      <w:r w:rsidRPr="00E72E6E">
        <w:t xml:space="preserve"> </w:t>
      </w:r>
      <w:r w:rsidRPr="00E72E6E">
        <w:rPr>
          <w:i/>
          <w:iCs/>
        </w:rPr>
        <w:t>In re Clean Water Act Rulemaking</w:t>
      </w:r>
      <w:r w:rsidRPr="00E72E6E">
        <w:t xml:space="preserve">, Nos. 3:20-cv-04636, 3:20-cv-04869, 3:20-cv-06137, 2021 WL 5792968 (N.D. Cal. Dec. 7, 2021); </w:t>
      </w:r>
      <w:r w:rsidRPr="00E72E6E">
        <w:rPr>
          <w:i/>
          <w:iCs/>
        </w:rPr>
        <w:t>In re: Clean Water Act Rulemaking</w:t>
      </w:r>
      <w:r w:rsidRPr="00E72E6E">
        <w:t xml:space="preserve">, Nos. 21-16958, 21-16960, 21-16961 (9th Cir. Feb. 24, 2022); </w:t>
      </w:r>
      <w:r w:rsidRPr="00E72E6E">
        <w:rPr>
          <w:i/>
          <w:iCs/>
        </w:rPr>
        <w:t>Louisiana v. Am. Rivers</w:t>
      </w:r>
      <w:r w:rsidRPr="00E72E6E">
        <w:t>, 142 S. Ct. 1347, 1347-48 (2022).</w:t>
      </w:r>
    </w:p>
  </w:footnote>
  <w:footnote w:id="264">
    <w:p w14:paraId="015DC784" w14:textId="7193D20B" w:rsidR="00226FA6" w:rsidRPr="00E72E6E" w:rsidRDefault="00226FA6" w:rsidP="0067230F">
      <w:pPr>
        <w:pStyle w:val="FootnoteText"/>
        <w:jc w:val="both"/>
      </w:pPr>
      <w:r w:rsidRPr="00E72E6E">
        <w:rPr>
          <w:rStyle w:val="FootnoteReference"/>
        </w:rPr>
        <w:footnoteRef/>
      </w:r>
      <w:r w:rsidRPr="00E72E6E">
        <w:t xml:space="preserve"> Application for Stay Pending Appeal</w:t>
      </w:r>
      <w:r w:rsidR="00193E5A" w:rsidRPr="00E72E6E">
        <w:t xml:space="preserve"> at 1</w:t>
      </w:r>
      <w:r w:rsidRPr="00E72E6E">
        <w:t xml:space="preserve">, </w:t>
      </w:r>
      <w:r w:rsidRPr="00E72E6E">
        <w:rPr>
          <w:i/>
          <w:iCs/>
        </w:rPr>
        <w:t>Louisiana v. Am. Rivers</w:t>
      </w:r>
      <w:r w:rsidRPr="00E72E6E">
        <w:t xml:space="preserve">, 142 S. Ct. 1347 (2022). </w:t>
      </w:r>
    </w:p>
  </w:footnote>
  <w:footnote w:id="265">
    <w:p w14:paraId="60991EC4" w14:textId="4902498A" w:rsidR="007B7001" w:rsidRPr="00E72E6E" w:rsidRDefault="007B7001" w:rsidP="0067230F">
      <w:pPr>
        <w:pStyle w:val="FootnoteText"/>
        <w:jc w:val="both"/>
      </w:pPr>
      <w:r w:rsidRPr="00E72E6E">
        <w:rPr>
          <w:rStyle w:val="FootnoteReference"/>
        </w:rPr>
        <w:footnoteRef/>
      </w:r>
      <w:r w:rsidRPr="00E72E6E">
        <w:t xml:space="preserve"> </w:t>
      </w:r>
      <w:r w:rsidRPr="00E72E6E">
        <w:rPr>
          <w:i/>
          <w:iCs/>
        </w:rPr>
        <w:t>In re Clean Water Act Rulemaking</w:t>
      </w:r>
      <w:r w:rsidRPr="00E72E6E">
        <w:t>, 60 F.4th 583, 596 (9th Cir. 2023).</w:t>
      </w:r>
    </w:p>
  </w:footnote>
  <w:footnote w:id="266">
    <w:p w14:paraId="515F166E" w14:textId="161BAB4F" w:rsidR="001321A9" w:rsidRPr="00E72E6E" w:rsidRDefault="001321A9" w:rsidP="0067230F">
      <w:pPr>
        <w:pStyle w:val="FootnoteText"/>
        <w:jc w:val="both"/>
      </w:pPr>
      <w:r w:rsidRPr="00E72E6E">
        <w:rPr>
          <w:rStyle w:val="FootnoteReference"/>
        </w:rPr>
        <w:footnoteRef/>
      </w:r>
      <w:r w:rsidRPr="00E72E6E">
        <w:t xml:space="preserve"> </w:t>
      </w:r>
      <w:r w:rsidR="00A816A9">
        <w:t xml:space="preserve">Response/Reply Brief of Intervenors-Appellants at 2, </w:t>
      </w:r>
      <w:r w:rsidR="00A816A9" w:rsidRPr="00A816A9">
        <w:rPr>
          <w:i/>
          <w:iCs/>
        </w:rPr>
        <w:t>Amer College of Obstetricians v. FDA</w:t>
      </w:r>
      <w:r w:rsidR="00A816A9">
        <w:t>, No. 20-01784 (4th Cir.)</w:t>
      </w:r>
      <w:r w:rsidRPr="00E72E6E">
        <w:t xml:space="preserve">. </w:t>
      </w:r>
    </w:p>
  </w:footnote>
  <w:footnote w:id="267">
    <w:p w14:paraId="47EC687B"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Am. Coll. of Obstetricians &amp; Gynecologists v. United States Food &amp; Drug Admin.</w:t>
      </w:r>
      <w:r w:rsidRPr="00E72E6E">
        <w:t>, 467 F. Supp. 3d 282, 287-91 (D. Md. 2020).</w:t>
      </w:r>
    </w:p>
  </w:footnote>
  <w:footnote w:id="268">
    <w:p w14:paraId="53710D73"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Id.</w:t>
      </w:r>
      <w:r w:rsidRPr="00E72E6E">
        <w:t xml:space="preserve"> at 291.</w:t>
      </w:r>
    </w:p>
  </w:footnote>
  <w:footnote w:id="269">
    <w:p w14:paraId="331DDBA8"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Id.</w:t>
      </w:r>
      <w:r w:rsidRPr="00E72E6E">
        <w:t xml:space="preserve"> </w:t>
      </w:r>
    </w:p>
  </w:footnote>
  <w:footnote w:id="270">
    <w:p w14:paraId="7B2F0817" w14:textId="77777777" w:rsidR="00A816A9" w:rsidRPr="00E72E6E" w:rsidRDefault="00A816A9" w:rsidP="0067230F">
      <w:pPr>
        <w:pStyle w:val="FootnoteText"/>
        <w:jc w:val="both"/>
      </w:pPr>
      <w:r w:rsidRPr="00E72E6E">
        <w:rPr>
          <w:rStyle w:val="FootnoteReference"/>
        </w:rPr>
        <w:footnoteRef/>
      </w:r>
      <w:r w:rsidRPr="00E72E6E">
        <w:t xml:space="preserve"> </w:t>
      </w:r>
      <w:r w:rsidRPr="00E72E6E">
        <w:rPr>
          <w:i/>
          <w:iCs/>
        </w:rPr>
        <w:t>Id.</w:t>
      </w:r>
      <w:r w:rsidRPr="00E72E6E">
        <w:t xml:space="preserve"> at 292-23. </w:t>
      </w:r>
    </w:p>
  </w:footnote>
  <w:footnote w:id="271">
    <w:p w14:paraId="2B8465E8" w14:textId="77777777" w:rsidR="001321A9" w:rsidRPr="00E72E6E" w:rsidRDefault="001321A9" w:rsidP="0067230F">
      <w:pPr>
        <w:pStyle w:val="FootnoteText"/>
        <w:jc w:val="both"/>
      </w:pPr>
      <w:r w:rsidRPr="00E72E6E">
        <w:rPr>
          <w:rStyle w:val="FootnoteReference"/>
        </w:rPr>
        <w:footnoteRef/>
      </w:r>
      <w:r w:rsidRPr="00E72E6E">
        <w:t xml:space="preserve"> </w:t>
      </w:r>
      <w:r w:rsidRPr="00E72E6E">
        <w:rPr>
          <w:i/>
          <w:iCs/>
        </w:rPr>
        <w:t>Am. Coll. of Obstetricians &amp; Gynecologists v. United States Food &amp; Drug Admin.</w:t>
      </w:r>
      <w:r w:rsidRPr="00E72E6E">
        <w:t xml:space="preserve">, 472 F. Supp. 3d 183, 198 (D. Md. 2020), </w:t>
      </w:r>
      <w:r w:rsidRPr="00E72E6E">
        <w:rPr>
          <w:i/>
          <w:iCs/>
        </w:rPr>
        <w:t>order clarified sub nom. Am. Coll. of Obstetricians &amp; Gynecologists on behalf of Council of Univ. Chairs of Obstetrics &amp; Gynecology v. United States Food &amp; Drug Admin.</w:t>
      </w:r>
      <w:r w:rsidRPr="00E72E6E">
        <w:t>, 2020 WL 8167535, 472 F. Supp. 3d 183 (D. Md. Aug. 19, 2020).</w:t>
      </w:r>
    </w:p>
  </w:footnote>
  <w:footnote w:id="272">
    <w:p w14:paraId="114637F8" w14:textId="5F7E7B2C" w:rsidR="001321A9" w:rsidRPr="00E72E6E" w:rsidRDefault="001321A9" w:rsidP="0067230F">
      <w:pPr>
        <w:pStyle w:val="FootnoteText"/>
        <w:jc w:val="both"/>
      </w:pPr>
      <w:r w:rsidRPr="00E72E6E">
        <w:rPr>
          <w:rStyle w:val="FootnoteReference"/>
        </w:rPr>
        <w:footnoteRef/>
      </w:r>
      <w:r w:rsidRPr="00E72E6E">
        <w:t xml:space="preserve"> </w:t>
      </w:r>
      <w:r w:rsidR="00574A9C">
        <w:t xml:space="preserve">Joint Notice at 3, </w:t>
      </w:r>
      <w:r w:rsidR="00574A9C" w:rsidRPr="00E72E6E">
        <w:rPr>
          <w:i/>
          <w:iCs/>
        </w:rPr>
        <w:t>Am. Coll. of Obstetricians &amp; Gynecologists</w:t>
      </w:r>
      <w:r w:rsidR="00574A9C" w:rsidRPr="00E72E6E">
        <w:t>, 472 F. Supp. 3d 183</w:t>
      </w:r>
      <w:r w:rsidRPr="00E72E6E">
        <w:t xml:space="preserve">. </w:t>
      </w:r>
    </w:p>
  </w:footnote>
  <w:footnote w:id="273">
    <w:p w14:paraId="4DDDF1E5" w14:textId="48E2208B" w:rsidR="001321A9" w:rsidRPr="00E72E6E" w:rsidRDefault="001321A9" w:rsidP="0067230F">
      <w:pPr>
        <w:pStyle w:val="FootnoteText"/>
        <w:jc w:val="both"/>
      </w:pPr>
      <w:r w:rsidRPr="00E72E6E">
        <w:rPr>
          <w:rStyle w:val="FootnoteReference"/>
        </w:rPr>
        <w:footnoteRef/>
      </w:r>
      <w:r w:rsidRPr="00E72E6E">
        <w:t xml:space="preserve"> </w:t>
      </w:r>
      <w:r w:rsidR="00574A9C">
        <w:t xml:space="preserve">Order, </w:t>
      </w:r>
      <w:r w:rsidR="00574A9C" w:rsidRPr="00A816A9">
        <w:rPr>
          <w:i/>
          <w:iCs/>
        </w:rPr>
        <w:t>Amer College of Obstetricians v. FDA</w:t>
      </w:r>
      <w:r w:rsidR="00574A9C">
        <w:t>, No. 20-01784 (4th Cir. May 19, 2021).</w:t>
      </w:r>
    </w:p>
  </w:footnote>
  <w:footnote w:id="274">
    <w:p w14:paraId="3513F883" w14:textId="4FBFE16B" w:rsidR="00F83CF1" w:rsidRPr="00E72E6E" w:rsidRDefault="001321A9" w:rsidP="0067230F">
      <w:pPr>
        <w:pStyle w:val="FootnoteText"/>
        <w:jc w:val="both"/>
      </w:pPr>
      <w:r w:rsidRPr="00E72E6E">
        <w:rPr>
          <w:rStyle w:val="FootnoteReference"/>
        </w:rPr>
        <w:footnoteRef/>
      </w:r>
      <w:r w:rsidRPr="00E72E6E">
        <w:t xml:space="preserve"> </w:t>
      </w:r>
      <w:r w:rsidRPr="00E72E6E">
        <w:rPr>
          <w:i/>
          <w:iCs/>
        </w:rPr>
        <w:t>Food &amp; Drug Admin. v. Am. Coll. of Obstetricians &amp; Gynecologists</w:t>
      </w:r>
      <w:r w:rsidRPr="00E72E6E">
        <w:t xml:space="preserve">, </w:t>
      </w:r>
      <w:r w:rsidR="00F83CF1">
        <w:t>141 S. Ct. 10, 11 (2020).</w:t>
      </w:r>
    </w:p>
  </w:footnote>
  <w:footnote w:id="275">
    <w:p w14:paraId="49CD308D" w14:textId="555DF581" w:rsidR="001321A9" w:rsidRPr="00E72E6E" w:rsidRDefault="001321A9" w:rsidP="0067230F">
      <w:pPr>
        <w:pStyle w:val="FootnoteText"/>
        <w:jc w:val="both"/>
      </w:pPr>
      <w:r w:rsidRPr="00E72E6E">
        <w:rPr>
          <w:rStyle w:val="FootnoteReference"/>
        </w:rPr>
        <w:footnoteRef/>
      </w:r>
      <w:r w:rsidRPr="00E72E6E">
        <w:t xml:space="preserve"> Complain</w:t>
      </w:r>
      <w:r w:rsidR="00A344CB">
        <w:t xml:space="preserve">t at 38, </w:t>
      </w:r>
      <w:r w:rsidR="00A344CB" w:rsidRPr="00E72E6E">
        <w:rPr>
          <w:i/>
          <w:iCs/>
        </w:rPr>
        <w:t>Am. Coll. of Obstetricians &amp; Gynecologists</w:t>
      </w:r>
      <w:r w:rsidR="00A344CB" w:rsidRPr="00E72E6E">
        <w:t>, 472 F. Supp. 3d 183.</w:t>
      </w:r>
      <w:r w:rsidR="00A344CB">
        <w:t xml:space="preserve"> </w:t>
      </w:r>
    </w:p>
  </w:footnote>
  <w:footnote w:id="276">
    <w:p w14:paraId="45405EB3" w14:textId="2B356D7B" w:rsidR="00ED0965" w:rsidRPr="00393873" w:rsidRDefault="00ED0965" w:rsidP="0067230F">
      <w:pPr>
        <w:pStyle w:val="FootnoteText"/>
        <w:jc w:val="both"/>
      </w:pPr>
      <w:r>
        <w:rPr>
          <w:rStyle w:val="FootnoteReference"/>
        </w:rPr>
        <w:footnoteRef/>
      </w:r>
      <w:r>
        <w:t xml:space="preserve"> </w:t>
      </w:r>
      <w:r w:rsidR="00393873" w:rsidRPr="00393873">
        <w:rPr>
          <w:i/>
          <w:iCs/>
        </w:rPr>
        <w:t xml:space="preserve">Arizona v. City &amp; </w:t>
      </w:r>
      <w:proofErr w:type="spellStart"/>
      <w:r w:rsidR="00393873" w:rsidRPr="00393873">
        <w:rPr>
          <w:i/>
          <w:iCs/>
        </w:rPr>
        <w:t>Cnty</w:t>
      </w:r>
      <w:proofErr w:type="spellEnd"/>
      <w:r w:rsidR="00393873" w:rsidRPr="00393873">
        <w:rPr>
          <w:i/>
          <w:iCs/>
        </w:rPr>
        <w:t>. of San Francisco, California</w:t>
      </w:r>
      <w:r w:rsidR="00393873">
        <w:t xml:space="preserve">, 142 S. Ct. 1926, 1928 (2022) (Roberts, J., concurring). </w:t>
      </w:r>
    </w:p>
  </w:footnote>
  <w:footnote w:id="277">
    <w:p w14:paraId="6EC41548" w14:textId="724E3868" w:rsidR="00ED30E9" w:rsidRPr="00B13002" w:rsidRDefault="00ED30E9" w:rsidP="0067230F">
      <w:pPr>
        <w:pStyle w:val="FootnoteText"/>
        <w:jc w:val="both"/>
      </w:pPr>
      <w:r>
        <w:rPr>
          <w:rStyle w:val="FootnoteReference"/>
        </w:rPr>
        <w:footnoteRef/>
      </w:r>
      <w:r>
        <w:t xml:space="preserve"> </w:t>
      </w:r>
      <w:r w:rsidR="00DD2146">
        <w:t xml:space="preserve">In this way, nationwide-injunction cases stand in stark contrast to </w:t>
      </w:r>
      <w:r w:rsidR="00C52718">
        <w:t xml:space="preserve">the </w:t>
      </w:r>
      <w:r w:rsidR="00BB7AA4">
        <w:t xml:space="preserve">history of intervention in </w:t>
      </w:r>
      <w:r w:rsidR="00DD2146">
        <w:t>antitrust-enforcement actions</w:t>
      </w:r>
      <w:r w:rsidR="00B13002">
        <w:t xml:space="preserve"> discussed </w:t>
      </w:r>
      <w:r w:rsidR="00CD43E1">
        <w:t xml:space="preserve">in section I.C., </w:t>
      </w:r>
      <w:r w:rsidR="00B13002">
        <w:rPr>
          <w:i/>
          <w:iCs/>
        </w:rPr>
        <w:t>infra</w:t>
      </w:r>
      <w:r w:rsidR="00B13002">
        <w:t xml:space="preserve">, where </w:t>
      </w:r>
      <w:r w:rsidR="00B84A2A">
        <w:t>intervention</w:t>
      </w:r>
      <w:r w:rsidR="00B13002">
        <w:t xml:space="preserve"> was largely foreclosed but predictable. </w:t>
      </w:r>
    </w:p>
  </w:footnote>
  <w:footnote w:id="278">
    <w:p w14:paraId="2FAC1581" w14:textId="165FB95F" w:rsidR="00E968AC" w:rsidRDefault="00E968AC" w:rsidP="0067230F">
      <w:pPr>
        <w:pStyle w:val="FootnoteText"/>
        <w:jc w:val="both"/>
      </w:pPr>
      <w:r>
        <w:rPr>
          <w:rStyle w:val="FootnoteReference"/>
        </w:rPr>
        <w:footnoteRef/>
      </w:r>
      <w:r>
        <w:t xml:space="preserve"> </w:t>
      </w:r>
      <w:proofErr w:type="spellStart"/>
      <w:r w:rsidR="00D32030" w:rsidRPr="000164B2">
        <w:rPr>
          <w:i/>
          <w:iCs/>
        </w:rPr>
        <w:t>Vanderstok</w:t>
      </w:r>
      <w:proofErr w:type="spellEnd"/>
      <w:r w:rsidR="00D32030" w:rsidRPr="000164B2">
        <w:rPr>
          <w:i/>
          <w:iCs/>
        </w:rPr>
        <w:t xml:space="preserve"> v. </w:t>
      </w:r>
      <w:proofErr w:type="spellStart"/>
      <w:r w:rsidR="00D32030" w:rsidRPr="000164B2">
        <w:rPr>
          <w:i/>
          <w:iCs/>
        </w:rPr>
        <w:t>BlackHawk</w:t>
      </w:r>
      <w:proofErr w:type="spellEnd"/>
      <w:r w:rsidR="00D32030" w:rsidRPr="000164B2">
        <w:rPr>
          <w:i/>
          <w:iCs/>
        </w:rPr>
        <w:t xml:space="preserve"> Mfg. Grp. Inc.</w:t>
      </w:r>
      <w:r w:rsidR="00D32030" w:rsidRPr="000164B2">
        <w:t xml:space="preserve">, No. 4:22-cv-00691, 2022 Us </w:t>
      </w:r>
      <w:proofErr w:type="spellStart"/>
      <w:r w:rsidR="00D32030" w:rsidRPr="000164B2">
        <w:t>Dist</w:t>
      </w:r>
      <w:proofErr w:type="spellEnd"/>
      <w:r w:rsidR="00D32030" w:rsidRPr="000164B2">
        <w:t xml:space="preserve"> Lexis 200315</w:t>
      </w:r>
      <w:r w:rsidR="00D32030">
        <w:t>, at *9</w:t>
      </w:r>
      <w:r w:rsidR="00D32030" w:rsidRPr="000164B2">
        <w:t xml:space="preserve"> (N.D. Tex. Nov. 03, 2022</w:t>
      </w:r>
      <w:proofErr w:type="gramStart"/>
      <w:r w:rsidR="00D32030" w:rsidRPr="000164B2">
        <w:t>)</w:t>
      </w:r>
      <w:r w:rsidR="00D32030">
        <w:t>;</w:t>
      </w:r>
      <w:proofErr w:type="gramEnd"/>
      <w:r w:rsidR="00D32030">
        <w:t xml:space="preserve"> </w:t>
      </w:r>
    </w:p>
  </w:footnote>
  <w:footnote w:id="279">
    <w:p w14:paraId="69D36F90" w14:textId="228D5160" w:rsidR="000A1360" w:rsidRDefault="000A1360" w:rsidP="0067230F">
      <w:pPr>
        <w:pStyle w:val="FootnoteText"/>
        <w:jc w:val="both"/>
      </w:pPr>
      <w:r>
        <w:rPr>
          <w:rStyle w:val="FootnoteReference"/>
        </w:rPr>
        <w:footnoteRef/>
      </w:r>
      <w:r>
        <w:t xml:space="preserve"> </w:t>
      </w:r>
      <w:r w:rsidR="00D32030" w:rsidRPr="00D32030">
        <w:rPr>
          <w:i/>
          <w:iCs/>
        </w:rPr>
        <w:t xml:space="preserve">Bd. of Educ. of Highland Local Sch. Dist. v. </w:t>
      </w:r>
      <w:proofErr w:type="spellStart"/>
      <w:r w:rsidR="00D32030" w:rsidRPr="00D32030">
        <w:rPr>
          <w:i/>
          <w:iCs/>
        </w:rPr>
        <w:t>Dep’t</w:t>
      </w:r>
      <w:proofErr w:type="spellEnd"/>
      <w:r w:rsidR="00D32030" w:rsidRPr="00D32030">
        <w:rPr>
          <w:i/>
          <w:iCs/>
        </w:rPr>
        <w:t xml:space="preserve"> of Educ.</w:t>
      </w:r>
      <w:r w:rsidR="00D32030" w:rsidRPr="00D32030">
        <w:t xml:space="preserve">, No. </w:t>
      </w:r>
      <w:r w:rsidR="00D32030">
        <w:t>1</w:t>
      </w:r>
      <w:r w:rsidR="00D32030" w:rsidRPr="00D32030">
        <w:t>6-</w:t>
      </w:r>
      <w:r w:rsidR="00D32030">
        <w:t>cv</w:t>
      </w:r>
      <w:r w:rsidR="00D32030" w:rsidRPr="00D32030">
        <w:t>-</w:t>
      </w:r>
      <w:r w:rsidR="00D32030">
        <w:t>00</w:t>
      </w:r>
      <w:r w:rsidR="00D32030" w:rsidRPr="00D32030">
        <w:t>524, 2016 WL 4269080</w:t>
      </w:r>
      <w:r w:rsidR="00D32030">
        <w:t>, at *4-5</w:t>
      </w:r>
      <w:r w:rsidR="00D32030" w:rsidRPr="00D32030">
        <w:t xml:space="preserve"> (S.D. Ohio Aug. 15, 2016)</w:t>
      </w:r>
      <w:r w:rsidR="00D32030">
        <w:t>.</w:t>
      </w:r>
    </w:p>
  </w:footnote>
  <w:footnote w:id="280">
    <w:p w14:paraId="7C6762D0" w14:textId="6A3ABDFB" w:rsidR="00CA57E5" w:rsidRDefault="00CA57E5" w:rsidP="0067230F">
      <w:pPr>
        <w:pStyle w:val="FootnoteText"/>
        <w:jc w:val="both"/>
      </w:pPr>
      <w:r>
        <w:rPr>
          <w:rStyle w:val="FootnoteReference"/>
        </w:rPr>
        <w:footnoteRef/>
      </w:r>
      <w:r>
        <w:t xml:space="preserve"> </w:t>
      </w:r>
      <w:r w:rsidR="00723A70" w:rsidRPr="00723A70">
        <w:rPr>
          <w:i/>
          <w:iCs/>
        </w:rPr>
        <w:t>Commonwealth of Pennsylvania v. President United States of Am.</w:t>
      </w:r>
      <w:r w:rsidR="00723A70">
        <w:t>, 888 F.3d 52, 58-59 (3d Cir. 2018).</w:t>
      </w:r>
    </w:p>
  </w:footnote>
  <w:footnote w:id="281">
    <w:p w14:paraId="2CA7C1ED" w14:textId="666955DD" w:rsidR="003F25A3" w:rsidRDefault="003F25A3" w:rsidP="0067230F">
      <w:pPr>
        <w:pStyle w:val="FootnoteText"/>
        <w:jc w:val="both"/>
      </w:pPr>
      <w:r>
        <w:rPr>
          <w:rStyle w:val="FootnoteReference"/>
        </w:rPr>
        <w:footnoteRef/>
      </w:r>
      <w:r>
        <w:t xml:space="preserve"> Waldron, </w:t>
      </w:r>
      <w:r w:rsidR="00AE56E7">
        <w:rPr>
          <w:i/>
          <w:iCs/>
        </w:rPr>
        <w:t>supra</w:t>
      </w:r>
      <w:r w:rsidR="00AE56E7">
        <w:t>,</w:t>
      </w:r>
      <w:r w:rsidR="00AE56E7">
        <w:rPr>
          <w:i/>
          <w:iCs/>
        </w:rPr>
        <w:t xml:space="preserve"> </w:t>
      </w:r>
      <w:r w:rsidR="00AE56E7" w:rsidRPr="00AE56E7">
        <w:t xml:space="preserve">at </w:t>
      </w:r>
      <w:r>
        <w:t>26 (2011)</w:t>
      </w:r>
      <w:r w:rsidR="00D41BA3">
        <w:rPr>
          <w:rStyle w:val="highlight"/>
        </w:rPr>
        <w:t xml:space="preserve">. </w:t>
      </w:r>
    </w:p>
  </w:footnote>
  <w:footnote w:id="282">
    <w:p w14:paraId="3AE00FBD" w14:textId="3A2BB9A0" w:rsidR="001F0B23" w:rsidRPr="00744BF9" w:rsidRDefault="001F0B23" w:rsidP="0067230F">
      <w:pPr>
        <w:pStyle w:val="FootnoteText"/>
        <w:jc w:val="both"/>
      </w:pPr>
      <w:r>
        <w:rPr>
          <w:rStyle w:val="FootnoteReference"/>
        </w:rPr>
        <w:footnoteRef/>
      </w:r>
      <w:r>
        <w:t xml:space="preserve"> Solum, </w:t>
      </w:r>
      <w:r w:rsidR="00C32EB9">
        <w:rPr>
          <w:i/>
          <w:iCs/>
        </w:rPr>
        <w:t>supra</w:t>
      </w:r>
      <w:r w:rsidR="00C32EB9">
        <w:t>,</w:t>
      </w:r>
      <w:r w:rsidR="00C32EB9">
        <w:rPr>
          <w:i/>
          <w:iCs/>
        </w:rPr>
        <w:t xml:space="preserve"> </w:t>
      </w:r>
      <w:r>
        <w:t xml:space="preserve">at 275-77. </w:t>
      </w:r>
    </w:p>
  </w:footnote>
  <w:footnote w:id="283">
    <w:p w14:paraId="30F7AEA3" w14:textId="11B1E51B" w:rsidR="00923FFA" w:rsidRDefault="00923FFA" w:rsidP="0067230F">
      <w:pPr>
        <w:pStyle w:val="FootnoteText"/>
        <w:jc w:val="both"/>
      </w:pPr>
      <w:r>
        <w:rPr>
          <w:rStyle w:val="FootnoteReference"/>
        </w:rPr>
        <w:footnoteRef/>
      </w:r>
      <w:r>
        <w:t xml:space="preserve"> Robert G. Bone, </w:t>
      </w:r>
      <w:r>
        <w:rPr>
          <w:i/>
          <w:iCs/>
        </w:rPr>
        <w:t xml:space="preserve">Procedure, Participation, </w:t>
      </w:r>
      <w:r w:rsidRPr="00072944">
        <w:rPr>
          <w:i/>
          <w:iCs/>
        </w:rPr>
        <w:t>Rights</w:t>
      </w:r>
      <w:r>
        <w:t xml:space="preserve">, 90 B.U.L. Rev. 1011, </w:t>
      </w:r>
      <w:r w:rsidRPr="00072944">
        <w:t>1027</w:t>
      </w:r>
      <w:r>
        <w:t xml:space="preserve"> (2010). </w:t>
      </w:r>
    </w:p>
  </w:footnote>
  <w:footnote w:id="284">
    <w:p w14:paraId="3B8D50F0" w14:textId="44E50498" w:rsidR="00B419F9" w:rsidRPr="00B419F9" w:rsidRDefault="00B419F9" w:rsidP="0067230F">
      <w:pPr>
        <w:pStyle w:val="FootnoteText"/>
        <w:jc w:val="both"/>
      </w:pPr>
      <w:r>
        <w:rPr>
          <w:rStyle w:val="FootnoteReference"/>
        </w:rPr>
        <w:footnoteRef/>
      </w:r>
      <w:r>
        <w:t xml:space="preserve"> This also provides an opportunity to protect the dignitary interests of minority voices who might not have other avenues to be heard</w:t>
      </w:r>
      <w:r w:rsidR="00314DDC">
        <w:t xml:space="preserve">, as </w:t>
      </w:r>
      <w:r>
        <w:t xml:space="preserve">the nationwide injunction cuts off the democratic process </w:t>
      </w:r>
      <w:r w:rsidR="00314DDC">
        <w:t>(</w:t>
      </w:r>
      <w:r>
        <w:t>or because they were also excluded from that process</w:t>
      </w:r>
      <w:r w:rsidR="00314DDC">
        <w:t>)</w:t>
      </w:r>
      <w:r>
        <w:t xml:space="preserve">. </w:t>
      </w:r>
      <w:r>
        <w:rPr>
          <w:i/>
          <w:iCs/>
        </w:rPr>
        <w:t>See</w:t>
      </w:r>
      <w:r>
        <w:t xml:space="preserve"> </w:t>
      </w:r>
      <w:r w:rsidRPr="000136F3">
        <w:t xml:space="preserve">Douglas </w:t>
      </w:r>
      <w:proofErr w:type="spellStart"/>
      <w:r w:rsidRPr="000136F3">
        <w:t>NeJaime</w:t>
      </w:r>
      <w:proofErr w:type="spellEnd"/>
      <w:r w:rsidRPr="000136F3">
        <w:t xml:space="preserve"> &amp; Reva Siegel, </w:t>
      </w:r>
      <w:r w:rsidRPr="000136F3">
        <w:rPr>
          <w:i/>
          <w:iCs/>
        </w:rPr>
        <w:t>Answering the Lochner Objection: Substantive Due Process and the Role of Courts in a Democracy</w:t>
      </w:r>
      <w:r w:rsidRPr="000136F3">
        <w:t xml:space="preserve">, 96 N.Y.U. L. Rev. 1902, 1954 (2021) (arguing that courts are </w:t>
      </w:r>
      <w:r>
        <w:t>“</w:t>
      </w:r>
      <w:r w:rsidRPr="000136F3">
        <w:t>important sites of</w:t>
      </w:r>
      <w:r>
        <w:t xml:space="preserve"> </w:t>
      </w:r>
      <w:r w:rsidRPr="000136F3">
        <w:t>communicative exchange</w:t>
      </w:r>
      <w:r>
        <w:t>”</w:t>
      </w:r>
      <w:r w:rsidRPr="000136F3">
        <w:t xml:space="preserve"> that </w:t>
      </w:r>
      <w:r>
        <w:t>“</w:t>
      </w:r>
      <w:r w:rsidRPr="000136F3">
        <w:t>can amplify voices marginalized in politics and make audible claims that lawmakers and the public fail to consider</w:t>
      </w:r>
      <w:r>
        <w:t>”</w:t>
      </w:r>
      <w:r w:rsidRPr="000136F3">
        <w:t>)</w:t>
      </w:r>
      <w:r>
        <w:t xml:space="preserve">; </w:t>
      </w:r>
      <w:r w:rsidRPr="00B419F9">
        <w:t>Solum</w:t>
      </w:r>
      <w:r>
        <w:t xml:space="preserve">, </w:t>
      </w:r>
      <w:r>
        <w:rPr>
          <w:i/>
          <w:iCs/>
        </w:rPr>
        <w:t>supra</w:t>
      </w:r>
      <w:r>
        <w:t>,</w:t>
      </w:r>
      <w:r w:rsidRPr="00B419F9">
        <w:t xml:space="preserve"> </w:t>
      </w:r>
      <w:r w:rsidR="00294D6A">
        <w:t xml:space="preserve">at </w:t>
      </w:r>
      <w:r w:rsidRPr="00B419F9">
        <w:t>236 n.137 (“By emphasizing rights of participation, procedural justice can at least ensure that the voices of excluded groups are heard when the rights of individual members of such groups are at stake.”)</w:t>
      </w:r>
      <w:r>
        <w:t xml:space="preserve">; Yamamoto, </w:t>
      </w:r>
      <w:r>
        <w:rPr>
          <w:i/>
          <w:iCs/>
        </w:rPr>
        <w:t>supra</w:t>
      </w:r>
      <w:r>
        <w:t xml:space="preserve">, </w:t>
      </w:r>
      <w:r w:rsidR="00294D6A">
        <w:t xml:space="preserve">at </w:t>
      </w:r>
      <w:r>
        <w:t xml:space="preserve">350-54, 420-21. </w:t>
      </w:r>
    </w:p>
  </w:footnote>
  <w:footnote w:id="285">
    <w:p w14:paraId="4528642A" w14:textId="2AE1599D" w:rsidR="00F26CE9" w:rsidRDefault="00F26CE9" w:rsidP="0067230F">
      <w:pPr>
        <w:pStyle w:val="FootnoteText"/>
        <w:jc w:val="both"/>
      </w:pPr>
      <w:r>
        <w:rPr>
          <w:rStyle w:val="FootnoteReference"/>
        </w:rPr>
        <w:footnoteRef/>
      </w:r>
      <w:r>
        <w:t xml:space="preserve"> Because nationwide injunctions settle a claim for all nonparties, they could be viewed as promoting judicial efficiency, since they prevent duplicat</w:t>
      </w:r>
      <w:r w:rsidR="003605C3">
        <w:t>ive</w:t>
      </w:r>
      <w:r>
        <w:t xml:space="preserve"> claims by similarly situated nonparties. But, as other scholars have noted, that efficiency might come with costs to other institutional benefits. Bray, </w:t>
      </w:r>
      <w:r>
        <w:rPr>
          <w:i/>
          <w:iCs/>
        </w:rPr>
        <w:t>supra</w:t>
      </w:r>
      <w:r>
        <w:t>, at 461-62.</w:t>
      </w:r>
    </w:p>
  </w:footnote>
  <w:footnote w:id="286">
    <w:p w14:paraId="5B7DBC96" w14:textId="6D278F40" w:rsidR="00B47A6B" w:rsidRDefault="00B47A6B" w:rsidP="0067230F">
      <w:pPr>
        <w:pStyle w:val="FootnoteText"/>
        <w:jc w:val="both"/>
      </w:pPr>
      <w:r>
        <w:rPr>
          <w:rStyle w:val="FootnoteReference"/>
        </w:rPr>
        <w:footnoteRef/>
      </w:r>
      <w:r>
        <w:t xml:space="preserve"> </w:t>
      </w:r>
      <w:r w:rsidR="00E44569">
        <w:t xml:space="preserve">Any efficiency gains </w:t>
      </w:r>
      <w:r>
        <w:t>depend</w:t>
      </w:r>
      <w:r w:rsidR="00EB14D0">
        <w:t xml:space="preserve"> in part</w:t>
      </w:r>
      <w:r>
        <w:t xml:space="preserve"> on whether the </w:t>
      </w:r>
      <w:r w:rsidR="008E29E3">
        <w:t>original party ha</w:t>
      </w:r>
      <w:r w:rsidR="00A86011">
        <w:t>s</w:t>
      </w:r>
      <w:r w:rsidR="008E29E3">
        <w:t xml:space="preserve"> standing to keep the case alive on their own and whether the </w:t>
      </w:r>
      <w:r>
        <w:t xml:space="preserve">intervenor </w:t>
      </w:r>
      <w:r w:rsidR="00A86011">
        <w:t xml:space="preserve">would </w:t>
      </w:r>
      <w:r w:rsidR="0005629A">
        <w:t xml:space="preserve">file suit separately </w:t>
      </w:r>
      <w:r w:rsidR="00A86011">
        <w:t>if they are denied. If the original party lack</w:t>
      </w:r>
      <w:r w:rsidR="00F07788">
        <w:t>s</w:t>
      </w:r>
      <w:r w:rsidR="00A86011">
        <w:t xml:space="preserve"> standing and the intervenor would have needed to file a separate suit to challenge the policy, </w:t>
      </w:r>
      <w:r w:rsidR="00F07788">
        <w:t xml:space="preserve">then there are plausible efficiency gains in saving the court from </w:t>
      </w:r>
      <w:r w:rsidR="000C6AD4">
        <w:t xml:space="preserve">adjudicating the dismissal of the first action and </w:t>
      </w:r>
      <w:r w:rsidR="00535F3F">
        <w:t xml:space="preserve">repeating </w:t>
      </w:r>
      <w:r w:rsidR="00F07788">
        <w:t xml:space="preserve">the </w:t>
      </w:r>
      <w:r w:rsidR="00F75A48">
        <w:t>administrative</w:t>
      </w:r>
      <w:r w:rsidR="00F07788">
        <w:t xml:space="preserve"> process to </w:t>
      </w:r>
      <w:r w:rsidR="007731FA">
        <w:t xml:space="preserve">start </w:t>
      </w:r>
      <w:r w:rsidR="000C6AD4">
        <w:t>the intervenor’s separate</w:t>
      </w:r>
      <w:r w:rsidR="00F07788">
        <w:t xml:space="preserve"> case</w:t>
      </w:r>
      <w:r w:rsidR="007731FA">
        <w:t>.</w:t>
      </w:r>
      <w:r w:rsidR="00F07788">
        <w:t xml:space="preserve"> </w:t>
      </w:r>
      <w:r w:rsidR="000C6AD4">
        <w:t xml:space="preserve">If the </w:t>
      </w:r>
      <w:r w:rsidR="003F3EE6">
        <w:t xml:space="preserve">original </w:t>
      </w:r>
      <w:r w:rsidR="000C6AD4">
        <w:t xml:space="preserve">party has standing, </w:t>
      </w:r>
      <w:r w:rsidR="003F3EE6">
        <w:t xml:space="preserve">then the question </w:t>
      </w:r>
      <w:r w:rsidR="00F75A48">
        <w:t>is</w:t>
      </w:r>
      <w:r w:rsidR="003F3EE6">
        <w:t xml:space="preserve"> whether the </w:t>
      </w:r>
      <w:r w:rsidR="00F75A48">
        <w:t>nonparty</w:t>
      </w:r>
      <w:r w:rsidR="003F3EE6">
        <w:t xml:space="preserve"> would file a separate suit if denied</w:t>
      </w:r>
      <w:r w:rsidR="007731FA">
        <w:t xml:space="preserve">. If they would file separately, granting intervention into the first case might </w:t>
      </w:r>
      <w:r w:rsidR="00B30F2D">
        <w:t>increase efficiency by consolidating claims</w:t>
      </w:r>
      <w:r w:rsidR="003F3EE6">
        <w:t xml:space="preserve">. </w:t>
      </w:r>
      <w:r w:rsidR="007731FA">
        <w:t>But i</w:t>
      </w:r>
      <w:r w:rsidR="008E29E3">
        <w:t xml:space="preserve">n the nationwide-injunction context, </w:t>
      </w:r>
      <w:r w:rsidR="00075191">
        <w:t>many plaintiffs have end</w:t>
      </w:r>
      <w:r w:rsidR="007731FA">
        <w:t>ed</w:t>
      </w:r>
      <w:r w:rsidR="00075191">
        <w:t xml:space="preserve"> or stay</w:t>
      </w:r>
      <w:r w:rsidR="007731FA">
        <w:t>ed</w:t>
      </w:r>
      <w:r w:rsidR="00075191">
        <w:t xml:space="preserve"> their own cases once the challenged policy has been enjoined</w:t>
      </w:r>
      <w:r w:rsidR="00AC53C7">
        <w:t>.</w:t>
      </w:r>
      <w:r w:rsidR="00250613">
        <w:t xml:space="preserve"> </w:t>
      </w:r>
      <w:proofErr w:type="gramStart"/>
      <w:r w:rsidR="00AC53C7">
        <w:t>S</w:t>
      </w:r>
      <w:r w:rsidR="00250613">
        <w:t>o</w:t>
      </w:r>
      <w:proofErr w:type="gramEnd"/>
      <w:r w:rsidR="00250613">
        <w:t xml:space="preserve"> it is unclear that rejected intervenors would routinely file separate suits to defend their own claims rather than wait to see how the original suit </w:t>
      </w:r>
      <w:r w:rsidR="006106B5">
        <w:t>turned</w:t>
      </w:r>
      <w:r w:rsidR="00250613">
        <w:t xml:space="preserve"> out. </w:t>
      </w:r>
    </w:p>
  </w:footnote>
  <w:footnote w:id="287">
    <w:p w14:paraId="72CBE3A8" w14:textId="01FD5BEB" w:rsidR="005B5DB5" w:rsidRDefault="005B5DB5" w:rsidP="0067230F">
      <w:pPr>
        <w:pStyle w:val="FootnoteText"/>
        <w:jc w:val="both"/>
      </w:pPr>
      <w:r>
        <w:rPr>
          <w:rStyle w:val="FootnoteReference"/>
        </w:rPr>
        <w:footnoteRef/>
      </w:r>
      <w:r>
        <w:t xml:space="preserve"> And if the procedural avenue for adding those arguments and evidence </w:t>
      </w:r>
      <w:proofErr w:type="gramStart"/>
      <w:r>
        <w:t>are</w:t>
      </w:r>
      <w:proofErr w:type="gramEnd"/>
      <w:r>
        <w:t xml:space="preserve"> likewise discretionary (like discovery), that compounds the costs to the parties who will then have to litigate </w:t>
      </w:r>
      <w:r w:rsidR="009F6B99">
        <w:t>those separate issues.</w:t>
      </w:r>
      <w:r w:rsidR="00B26C62">
        <w:t xml:space="preserve"> </w:t>
      </w:r>
    </w:p>
  </w:footnote>
  <w:footnote w:id="288">
    <w:p w14:paraId="2EF8E84C" w14:textId="379F9203" w:rsidR="00096438" w:rsidRPr="00E72E6E" w:rsidRDefault="00096438" w:rsidP="0067230F">
      <w:pPr>
        <w:pStyle w:val="FootnoteText"/>
        <w:jc w:val="both"/>
      </w:pPr>
      <w:r w:rsidRPr="00E72E6E">
        <w:rPr>
          <w:rStyle w:val="FootnoteReference"/>
        </w:rPr>
        <w:footnoteRef/>
      </w:r>
      <w:r w:rsidRPr="00E72E6E">
        <w:t xml:space="preserve"> Bray, </w:t>
      </w:r>
      <w:r w:rsidRPr="00E72E6E">
        <w:rPr>
          <w:i/>
          <w:iCs/>
        </w:rPr>
        <w:t>supra</w:t>
      </w:r>
      <w:r w:rsidRPr="00E72E6E">
        <w:t xml:space="preserve">, at 457-61; </w:t>
      </w:r>
      <w:proofErr w:type="spellStart"/>
      <w:r w:rsidRPr="00E72E6E">
        <w:rPr>
          <w:i/>
          <w:iCs/>
        </w:rPr>
        <w:t>Dep’t</w:t>
      </w:r>
      <w:proofErr w:type="spellEnd"/>
      <w:r w:rsidRPr="00E72E6E">
        <w:rPr>
          <w:i/>
          <w:iCs/>
        </w:rPr>
        <w:t xml:space="preserve"> of Homeland Sec. v. New York</w:t>
      </w:r>
      <w:r w:rsidRPr="00E72E6E">
        <w:t xml:space="preserve">, 140 S. Ct. 599, 601 (2020) (Gorsuch, J., concurring); </w:t>
      </w:r>
      <w:proofErr w:type="spellStart"/>
      <w:r w:rsidRPr="00E72E6E">
        <w:t>Rendleman</w:t>
      </w:r>
      <w:proofErr w:type="spellEnd"/>
      <w:r w:rsidRPr="00E72E6E">
        <w:t xml:space="preserve">, </w:t>
      </w:r>
      <w:r w:rsidR="00246D39">
        <w:rPr>
          <w:i/>
          <w:iCs/>
        </w:rPr>
        <w:t>supra</w:t>
      </w:r>
      <w:r w:rsidR="00246D39" w:rsidRPr="00246D39">
        <w:t xml:space="preserve">, </w:t>
      </w:r>
      <w:r w:rsidR="00246D39">
        <w:t>at 939</w:t>
      </w:r>
      <w:r w:rsidRPr="00E72E6E">
        <w:t xml:space="preserve">; Cass, </w:t>
      </w:r>
      <w:r w:rsidR="00246D39">
        <w:rPr>
          <w:i/>
          <w:iCs/>
        </w:rPr>
        <w:t>supra</w:t>
      </w:r>
      <w:r w:rsidR="00246D39" w:rsidRPr="00246D39">
        <w:t xml:space="preserve">, </w:t>
      </w:r>
      <w:r w:rsidR="00246D39">
        <w:t>at</w:t>
      </w:r>
      <w:r w:rsidR="00246D39" w:rsidRPr="00E72E6E">
        <w:rPr>
          <w:i/>
          <w:iCs/>
        </w:rPr>
        <w:t xml:space="preserve"> </w:t>
      </w:r>
      <w:r w:rsidRPr="00E72E6E">
        <w:t>49.</w:t>
      </w:r>
    </w:p>
  </w:footnote>
  <w:footnote w:id="289">
    <w:p w14:paraId="2E56C9CC" w14:textId="014DEFDD" w:rsidR="00096438" w:rsidRPr="00E72E6E" w:rsidRDefault="00096438" w:rsidP="0067230F">
      <w:pPr>
        <w:pStyle w:val="FootnoteText"/>
        <w:jc w:val="both"/>
      </w:pPr>
      <w:r w:rsidRPr="00E72E6E">
        <w:rPr>
          <w:rStyle w:val="FootnoteReference"/>
        </w:rPr>
        <w:footnoteRef/>
      </w:r>
      <w:r w:rsidRPr="00E72E6E">
        <w:t xml:space="preserve"> Bray, </w:t>
      </w:r>
      <w:r w:rsidRPr="00E72E6E">
        <w:rPr>
          <w:i/>
          <w:iCs/>
        </w:rPr>
        <w:t>supra</w:t>
      </w:r>
      <w:r w:rsidRPr="00E72E6E">
        <w:t xml:space="preserve">, </w:t>
      </w:r>
      <w:r w:rsidR="00294D6A">
        <w:t xml:space="preserve">at </w:t>
      </w:r>
      <w:r w:rsidRPr="00E72E6E">
        <w:t xml:space="preserve">249; Cass, </w:t>
      </w:r>
      <w:r w:rsidRPr="00E72E6E">
        <w:rPr>
          <w:i/>
          <w:iCs/>
        </w:rPr>
        <w:t>supra</w:t>
      </w:r>
      <w:r w:rsidRPr="00E72E6E">
        <w:t xml:space="preserve">, </w:t>
      </w:r>
      <w:r w:rsidR="00294D6A">
        <w:t xml:space="preserve">at </w:t>
      </w:r>
      <w:r w:rsidRPr="00E72E6E">
        <w:t xml:space="preserve">54; Wasserman, </w:t>
      </w:r>
      <w:r w:rsidRPr="00E72E6E">
        <w:rPr>
          <w:i/>
          <w:iCs/>
        </w:rPr>
        <w:t>supra</w:t>
      </w:r>
      <w:r w:rsidRPr="00E72E6E">
        <w:t xml:space="preserve">, </w:t>
      </w:r>
      <w:r w:rsidR="00294D6A">
        <w:t xml:space="preserve">at </w:t>
      </w:r>
      <w:r w:rsidRPr="00E72E6E">
        <w:t>15;</w:t>
      </w:r>
      <w:r w:rsidRPr="00E72E6E">
        <w:rPr>
          <w:i/>
          <w:iCs/>
        </w:rPr>
        <w:t xml:space="preserve"> </w:t>
      </w:r>
      <w:r w:rsidRPr="00E72E6E">
        <w:t xml:space="preserve">Gregg Costa, </w:t>
      </w:r>
      <w:r w:rsidRPr="00E72E6E">
        <w:rPr>
          <w:i/>
          <w:iCs/>
        </w:rPr>
        <w:t>An Old Solution to the Nationwide Injunction Problem</w:t>
      </w:r>
      <w:r w:rsidRPr="00E72E6E">
        <w:t>, Harv. L. Rev. Blog (Jan. 25, 2018), https://blog.harvardlawreview.org/an-old-solution-to-the-nationwide-injunction-problem</w:t>
      </w:r>
      <w:r w:rsidR="001B121A">
        <w:t>.</w:t>
      </w:r>
    </w:p>
  </w:footnote>
  <w:footnote w:id="290">
    <w:p w14:paraId="428B3EE4" w14:textId="1F31DDD6" w:rsidR="000E16C0" w:rsidRPr="00E72E6E" w:rsidRDefault="000E16C0" w:rsidP="0067230F">
      <w:pPr>
        <w:pStyle w:val="FootnoteText"/>
        <w:jc w:val="both"/>
      </w:pPr>
      <w:r w:rsidRPr="00E72E6E">
        <w:rPr>
          <w:rStyle w:val="FootnoteReference"/>
        </w:rPr>
        <w:footnoteRef/>
      </w:r>
      <w:r w:rsidRPr="00E72E6E">
        <w:t xml:space="preserve"> </w:t>
      </w:r>
      <w:r w:rsidRPr="00E72E6E">
        <w:rPr>
          <w:i/>
          <w:iCs/>
        </w:rPr>
        <w:t>See</w:t>
      </w:r>
      <w:r w:rsidRPr="00E72E6E">
        <w:t xml:space="preserve">, </w:t>
      </w:r>
      <w:r w:rsidRPr="00E72E6E">
        <w:rPr>
          <w:i/>
          <w:iCs/>
        </w:rPr>
        <w:t>e.g.</w:t>
      </w:r>
      <w:r w:rsidRPr="00E72E6E">
        <w:t xml:space="preserve">, Ruth Marcus, </w:t>
      </w:r>
      <w:r w:rsidRPr="00E72E6E">
        <w:rPr>
          <w:i/>
          <w:iCs/>
        </w:rPr>
        <w:t>Where Did All the Conservative Hand-Wringing Over Judicial Restraint Go?</w:t>
      </w:r>
      <w:r w:rsidRPr="00E72E6E">
        <w:t xml:space="preserve">, WaPo (Apr. 29, 2022), https://www.washingtonpost.com/opinions/2022/04/29/federal-judges-where-did-judicial-restraint-nationwide-injunction-immigration-title-42-mask-mandate/; </w:t>
      </w:r>
      <w:r w:rsidR="008E10DB" w:rsidRPr="00E72E6E">
        <w:t xml:space="preserve">David Smith, </w:t>
      </w:r>
      <w:r w:rsidR="008E10DB" w:rsidRPr="00E72E6E">
        <w:rPr>
          <w:i/>
          <w:iCs/>
        </w:rPr>
        <w:t>Trump-Appointed Judge Who Overturned Mask Mandate Becomes Instant Republican Heroine</w:t>
      </w:r>
      <w:r w:rsidR="008E10DB" w:rsidRPr="00E72E6E">
        <w:t>, The Guardian (Apr. 20, 2022), https://www.theguardian.com/us-news/2022/apr/19/trump-judge-kathryn-mizelle-mask-mandate-coronavirus-covid;</w:t>
      </w:r>
      <w:r w:rsidR="008E10DB">
        <w:t xml:space="preserve"> </w:t>
      </w:r>
      <w:r w:rsidRPr="00E72E6E">
        <w:t xml:space="preserve">Attorney General William P. Barr Delivers Remarks to the American Law Institute on Nationwide Injunctions (May 21, 2019), https://www.justice.gov/opa/speech/attorney-general-william-p-barr-delivers-remarks-american-law-institute-nationwide; Manny Fernandez, </w:t>
      </w:r>
      <w:r w:rsidRPr="00242A57">
        <w:rPr>
          <w:i/>
          <w:iCs/>
        </w:rPr>
        <w:t>In Weaponized Courts, Judge Who Halted Affordable Care Act Is a Conservative Favorite</w:t>
      </w:r>
      <w:r w:rsidRPr="00E72E6E">
        <w:t>, N.Y. T</w:t>
      </w:r>
      <w:r w:rsidR="00242A57">
        <w:t xml:space="preserve">imes </w:t>
      </w:r>
      <w:r w:rsidRPr="00E72E6E">
        <w:t xml:space="preserve">(Dec. 15, 2018), https://www.nytimes.com/2018/12/15/us/judge-obamacare-reed-oconnor.html; Andrew Kent, </w:t>
      </w:r>
      <w:r w:rsidRPr="00E72E6E">
        <w:rPr>
          <w:i/>
          <w:iCs/>
        </w:rPr>
        <w:t>Nationwide Injunctions and the Lower Federal Courts</w:t>
      </w:r>
      <w:r w:rsidRPr="00E72E6E">
        <w:t>, Lawfare (Feb. 3, 2017), https://www.lawfareblog.com/nationwide-injunctions-and-lower-federal-courts.</w:t>
      </w:r>
    </w:p>
  </w:footnote>
  <w:footnote w:id="291">
    <w:p w14:paraId="6D7F6133" w14:textId="1E492332" w:rsidR="000E16C0" w:rsidRPr="00E72E6E" w:rsidRDefault="000E16C0" w:rsidP="0067230F">
      <w:pPr>
        <w:pStyle w:val="FootnoteText"/>
        <w:jc w:val="both"/>
      </w:pPr>
      <w:r w:rsidRPr="00E72E6E">
        <w:rPr>
          <w:rStyle w:val="FootnoteReference"/>
        </w:rPr>
        <w:footnoteRef/>
      </w:r>
      <w:r w:rsidRPr="00E72E6E">
        <w:t xml:space="preserve"> </w:t>
      </w:r>
      <w:proofErr w:type="spellStart"/>
      <w:r w:rsidRPr="00E72E6E">
        <w:t>Sohoni</w:t>
      </w:r>
      <w:proofErr w:type="spellEnd"/>
      <w:r w:rsidRPr="00E72E6E">
        <w:t xml:space="preserve">, </w:t>
      </w:r>
      <w:r w:rsidRPr="00E72E6E">
        <w:rPr>
          <w:i/>
          <w:iCs/>
        </w:rPr>
        <w:t>Power to Vacate</w:t>
      </w:r>
      <w:r w:rsidRPr="00E72E6E">
        <w:t xml:space="preserve">, </w:t>
      </w:r>
      <w:r w:rsidR="00CC1FC8" w:rsidRPr="00E72E6E">
        <w:rPr>
          <w:i/>
          <w:iCs/>
        </w:rPr>
        <w:t>supra</w:t>
      </w:r>
      <w:r w:rsidR="00CC1FC8" w:rsidRPr="00E72E6E">
        <w:t xml:space="preserve">, </w:t>
      </w:r>
      <w:r w:rsidR="00CC1FC8">
        <w:t xml:space="preserve">at </w:t>
      </w:r>
      <w:r w:rsidRPr="00E72E6E">
        <w:t>1186.</w:t>
      </w:r>
    </w:p>
  </w:footnote>
  <w:footnote w:id="292">
    <w:p w14:paraId="3FF48443" w14:textId="1A45D251" w:rsidR="00370E08" w:rsidRPr="00E72E6E" w:rsidRDefault="00370E08" w:rsidP="0067230F">
      <w:pPr>
        <w:pStyle w:val="FootnoteText"/>
        <w:jc w:val="both"/>
      </w:pPr>
      <w:r w:rsidRPr="00E72E6E">
        <w:rPr>
          <w:rStyle w:val="FootnoteReference"/>
        </w:rPr>
        <w:footnoteRef/>
      </w:r>
      <w:r w:rsidRPr="00E72E6E">
        <w:t xml:space="preserve"> Cass, </w:t>
      </w:r>
      <w:r w:rsidR="00367F5C" w:rsidRPr="00E72E6E">
        <w:rPr>
          <w:i/>
          <w:iCs/>
        </w:rPr>
        <w:t>supra</w:t>
      </w:r>
      <w:r w:rsidR="00367F5C" w:rsidRPr="00E72E6E">
        <w:t xml:space="preserve">, at </w:t>
      </w:r>
      <w:r w:rsidRPr="00E72E6E">
        <w:t>54-55.</w:t>
      </w:r>
    </w:p>
  </w:footnote>
  <w:footnote w:id="293">
    <w:p w14:paraId="687B0051" w14:textId="36EA2E30" w:rsidR="00370E08" w:rsidRPr="00E72E6E" w:rsidRDefault="00370E08" w:rsidP="0067230F">
      <w:pPr>
        <w:pStyle w:val="FootnoteText"/>
        <w:jc w:val="both"/>
      </w:pPr>
      <w:r w:rsidRPr="00E72E6E">
        <w:rPr>
          <w:rStyle w:val="FootnoteReference"/>
        </w:rPr>
        <w:footnoteRef/>
      </w:r>
      <w:r w:rsidRPr="00E72E6E">
        <w:t xml:space="preserve"> Frost, </w:t>
      </w:r>
      <w:r w:rsidR="00B00F99" w:rsidRPr="00E72E6E">
        <w:rPr>
          <w:i/>
          <w:iCs/>
        </w:rPr>
        <w:t>supra</w:t>
      </w:r>
      <w:r w:rsidR="00B00F99" w:rsidRPr="00E72E6E">
        <w:t xml:space="preserve">, at </w:t>
      </w:r>
      <w:r w:rsidRPr="00E72E6E">
        <w:t xml:space="preserve">1104; Cass, </w:t>
      </w:r>
      <w:r w:rsidRPr="00E72E6E">
        <w:rPr>
          <w:i/>
          <w:iCs/>
        </w:rPr>
        <w:t>supra</w:t>
      </w:r>
      <w:r w:rsidRPr="00E72E6E">
        <w:t xml:space="preserve">, </w:t>
      </w:r>
      <w:r w:rsidR="00294D6A">
        <w:t xml:space="preserve">at </w:t>
      </w:r>
      <w:r w:rsidRPr="00E72E6E">
        <w:t xml:space="preserve">53. Some commentators argue that the nationwide injunction does nothing to </w:t>
      </w:r>
      <w:r w:rsidR="00B00F99">
        <w:t>worsen</w:t>
      </w:r>
      <w:r w:rsidRPr="00E72E6E">
        <w:t xml:space="preserve"> the court’s image as a political institution because “the federal judiciary already is politicized.” </w:t>
      </w:r>
      <w:proofErr w:type="spellStart"/>
      <w:r w:rsidRPr="00E72E6E">
        <w:t>Rendleman</w:t>
      </w:r>
      <w:proofErr w:type="spellEnd"/>
      <w:r w:rsidRPr="00E72E6E">
        <w:t xml:space="preserve">, </w:t>
      </w:r>
      <w:r w:rsidRPr="00E72E6E">
        <w:rPr>
          <w:i/>
          <w:iCs/>
        </w:rPr>
        <w:t>supra</w:t>
      </w:r>
      <w:r w:rsidRPr="00E72E6E">
        <w:t xml:space="preserve">, at 944. And empirical scholarship supports that judges’ leanings in different types of litigation can be discerned by identifying the party of the President who appointed them. </w:t>
      </w:r>
      <w:r w:rsidRPr="00E72E6E">
        <w:rPr>
          <w:i/>
          <w:iCs/>
        </w:rPr>
        <w:t xml:space="preserve">See </w:t>
      </w:r>
      <w:r w:rsidRPr="00E72E6E">
        <w:t xml:space="preserve">Stephen B. Burbank &amp; Sean </w:t>
      </w:r>
      <w:proofErr w:type="spellStart"/>
      <w:r w:rsidRPr="00E72E6E">
        <w:t>Farhang</w:t>
      </w:r>
      <w:proofErr w:type="spellEnd"/>
      <w:r w:rsidRPr="00E72E6E">
        <w:t xml:space="preserve">, </w:t>
      </w:r>
      <w:r w:rsidRPr="00E72E6E">
        <w:rPr>
          <w:i/>
          <w:iCs/>
        </w:rPr>
        <w:t>Politics, Identity, and Class Certification in the U.S. Courts of Appeals</w:t>
      </w:r>
      <w:r w:rsidRPr="00E72E6E">
        <w:t>, 119 Mich. L. Rev. 231 (2020). The concern discussed in this section is therefore not whether nationwide injunctions are a category uniquely problematic in politicizing the judiciary, but rather whether the judiciary as</w:t>
      </w:r>
      <w:r w:rsidR="00684DD8" w:rsidRPr="00E72E6E">
        <w:t xml:space="preserve"> an</w:t>
      </w:r>
      <w:r w:rsidRPr="00E72E6E">
        <w:t xml:space="preserve"> institution may benefit from reducing aspects of the practice.</w:t>
      </w:r>
    </w:p>
  </w:footnote>
  <w:footnote w:id="294">
    <w:p w14:paraId="15E52192" w14:textId="64CE2168" w:rsidR="004452E7" w:rsidRPr="004452E7" w:rsidRDefault="004452E7" w:rsidP="0067230F">
      <w:pPr>
        <w:pStyle w:val="FootnoteText"/>
        <w:jc w:val="both"/>
      </w:pPr>
      <w:r>
        <w:rPr>
          <w:rStyle w:val="FootnoteReference"/>
        </w:rPr>
        <w:footnoteRef/>
      </w:r>
      <w:r>
        <w:t xml:space="preserve"> Richard H. Fallon, Jr., </w:t>
      </w:r>
      <w:proofErr w:type="gramStart"/>
      <w:r>
        <w:rPr>
          <w:i/>
          <w:iCs/>
        </w:rPr>
        <w:t>Legitimacy</w:t>
      </w:r>
      <w:proofErr w:type="gramEnd"/>
      <w:r>
        <w:rPr>
          <w:i/>
          <w:iCs/>
        </w:rPr>
        <w:t xml:space="preserve"> and the Constitution</w:t>
      </w:r>
      <w:r>
        <w:t xml:space="preserve">, 118 Harv. L. Rev. 1787, 1794-95, 1839-42 (2005); </w:t>
      </w:r>
      <w:r w:rsidR="00890D78">
        <w:t xml:space="preserve">Barry Friedman, The Will of the People: How Public Opinion Has Influenced the Supreme Court and Shaped the Meaning of the Constitution 381 (2009); </w:t>
      </w:r>
      <w:r>
        <w:rPr>
          <w:i/>
          <w:iCs/>
        </w:rPr>
        <w:t>Planned Parenthood of Se. Pa. v. Casey</w:t>
      </w:r>
      <w:r>
        <w:t xml:space="preserve">, 505 U.S. 833, 864-66 (1992) (opinion of O’Connor, Kennedy, and Souter, JJ.). </w:t>
      </w:r>
    </w:p>
  </w:footnote>
  <w:footnote w:id="295">
    <w:p w14:paraId="5FEDC9B8" w14:textId="72941377" w:rsidR="00B25933" w:rsidRPr="00E72E6E" w:rsidRDefault="00B25933" w:rsidP="0067230F">
      <w:pPr>
        <w:pStyle w:val="FootnoteText"/>
        <w:jc w:val="both"/>
      </w:pPr>
      <w:r w:rsidRPr="00E72E6E">
        <w:rPr>
          <w:rStyle w:val="FootnoteReference"/>
        </w:rPr>
        <w:footnoteRef/>
      </w:r>
      <w:r w:rsidRPr="00E72E6E">
        <w:t xml:space="preserve"> </w:t>
      </w:r>
      <w:r w:rsidRPr="00E72E6E">
        <w:rPr>
          <w:i/>
          <w:iCs/>
        </w:rPr>
        <w:t>See</w:t>
      </w:r>
      <w:r w:rsidRPr="00E72E6E">
        <w:t xml:space="preserve">, </w:t>
      </w:r>
      <w:r w:rsidRPr="00E72E6E">
        <w:rPr>
          <w:i/>
          <w:iCs/>
        </w:rPr>
        <w:t>e.g.</w:t>
      </w:r>
      <w:r w:rsidRPr="00E72E6E">
        <w:t>, Josh Block, @JoshABlock, Twitter (Apr. 24, 2018, 11:52 AM), https://twitter.com/JoshABlock/status/988808006623289346 (noting “[t]he irony” in the Third Circuit granting the Little Sisters of the Poor the right to defend as intervenor a regulatory religious exemption from Health &amp; Human Services contraceptive mandate while “trans people and women seeking reproductive health care were blocked” from intervening in a challenge against HHS’s rule prohibiting sex discrimination on the basis of “termination of pregnancy” or “gender identity” in a district court in the Fifth Circuit).</w:t>
      </w:r>
    </w:p>
  </w:footnote>
  <w:footnote w:id="296">
    <w:p w14:paraId="04CF6744" w14:textId="389F8CB4" w:rsidR="00404E29" w:rsidRPr="00E72E6E" w:rsidRDefault="00404E29" w:rsidP="0067230F">
      <w:pPr>
        <w:pStyle w:val="FootnoteText"/>
        <w:jc w:val="both"/>
      </w:pPr>
      <w:r w:rsidRPr="00E72E6E">
        <w:rPr>
          <w:rStyle w:val="FootnoteReference"/>
        </w:rPr>
        <w:footnoteRef/>
      </w:r>
      <w:r w:rsidRPr="00E72E6E">
        <w:t xml:space="preserve"> </w:t>
      </w:r>
      <w:r w:rsidR="00AD5CC1" w:rsidRPr="00E72E6E">
        <w:t>Cass</w:t>
      </w:r>
      <w:r w:rsidRPr="00E72E6E">
        <w:t xml:space="preserve">, </w:t>
      </w:r>
      <w:r w:rsidRPr="00E72E6E">
        <w:rPr>
          <w:i/>
          <w:iCs/>
        </w:rPr>
        <w:t>supra</w:t>
      </w:r>
      <w:r w:rsidRPr="00E72E6E">
        <w:t xml:space="preserve">, </w:t>
      </w:r>
      <w:r w:rsidR="00294D6A">
        <w:t xml:space="preserve">at </w:t>
      </w:r>
      <w:r w:rsidRPr="00E72E6E">
        <w:t xml:space="preserve">55. </w:t>
      </w:r>
    </w:p>
  </w:footnote>
  <w:footnote w:id="297">
    <w:p w14:paraId="277B42A7" w14:textId="69D394D7" w:rsidR="00C4339D" w:rsidRDefault="00C4339D" w:rsidP="0067230F">
      <w:pPr>
        <w:pStyle w:val="FootnoteText"/>
        <w:jc w:val="both"/>
      </w:pPr>
      <w:r>
        <w:rPr>
          <w:rStyle w:val="FootnoteReference"/>
        </w:rPr>
        <w:footnoteRef/>
      </w:r>
      <w:r>
        <w:t xml:space="preserve"> </w:t>
      </w:r>
      <w:r w:rsidRPr="00E72E6E">
        <w:rPr>
          <w:i/>
          <w:iCs/>
        </w:rPr>
        <w:t>State v. Biden</w:t>
      </w:r>
      <w:r w:rsidRPr="00E72E6E">
        <w:t>, 338 F.R.D. 219, 225 (W.D. La. 2021).</w:t>
      </w:r>
    </w:p>
  </w:footnote>
  <w:footnote w:id="298">
    <w:p w14:paraId="3ABDD74F" w14:textId="226A79E9" w:rsidR="001B7972" w:rsidRPr="00C4339D" w:rsidRDefault="001B7972" w:rsidP="0067230F">
      <w:pPr>
        <w:pStyle w:val="FootnoteText"/>
        <w:jc w:val="both"/>
      </w:pPr>
      <w:r w:rsidRPr="00E72E6E">
        <w:rPr>
          <w:rStyle w:val="FootnoteReference"/>
        </w:rPr>
        <w:footnoteRef/>
      </w:r>
      <w:r w:rsidRPr="00E72E6E">
        <w:t xml:space="preserve"> </w:t>
      </w:r>
      <w:r w:rsidR="00C4339D">
        <w:rPr>
          <w:i/>
          <w:iCs/>
        </w:rPr>
        <w:t>Id.</w:t>
      </w:r>
    </w:p>
  </w:footnote>
  <w:footnote w:id="299">
    <w:p w14:paraId="4D751AC7" w14:textId="5B9751C5" w:rsidR="00A30A4F" w:rsidRPr="00E72E6E" w:rsidRDefault="00A30A4F" w:rsidP="0067230F">
      <w:pPr>
        <w:pStyle w:val="FootnoteText"/>
        <w:jc w:val="both"/>
      </w:pPr>
      <w:r w:rsidRPr="00E72E6E">
        <w:rPr>
          <w:rStyle w:val="FootnoteReference"/>
        </w:rPr>
        <w:footnoteRef/>
      </w:r>
      <w:r w:rsidRPr="00E72E6E">
        <w:t xml:space="preserve"> </w:t>
      </w:r>
      <w:r w:rsidRPr="00E72E6E">
        <w:rPr>
          <w:i/>
          <w:iCs/>
        </w:rPr>
        <w:t>Louisiana v. Biden</w:t>
      </w:r>
      <w:r w:rsidRPr="00E72E6E">
        <w:t xml:space="preserve">, No. 2:21-CV-00778, 2021 BL 441520, at *7-8 (W.D. La. Nov. 17, 2021). </w:t>
      </w:r>
    </w:p>
  </w:footnote>
  <w:footnote w:id="300">
    <w:p w14:paraId="2C8B4E62" w14:textId="311F3D4A" w:rsidR="0068114D" w:rsidRPr="00E72E6E" w:rsidRDefault="0068114D" w:rsidP="0067230F">
      <w:pPr>
        <w:pStyle w:val="FootnoteText"/>
        <w:jc w:val="both"/>
      </w:pPr>
      <w:r w:rsidRPr="00E72E6E">
        <w:rPr>
          <w:rStyle w:val="FootnoteReference"/>
        </w:rPr>
        <w:footnoteRef/>
      </w:r>
      <w:r w:rsidRPr="00E72E6E">
        <w:t xml:space="preserve"> </w:t>
      </w:r>
      <w:r w:rsidRPr="00A324C2">
        <w:rPr>
          <w:i/>
          <w:iCs/>
        </w:rPr>
        <w:t>Alabama</w:t>
      </w:r>
      <w:r w:rsidRPr="00E72E6E">
        <w:t xml:space="preserve">, 2018 WL 6570879, at *1. </w:t>
      </w:r>
    </w:p>
  </w:footnote>
  <w:footnote w:id="301">
    <w:p w14:paraId="7B7C26D0" w14:textId="248D0947" w:rsidR="003A1BE3" w:rsidRPr="003A1BE3" w:rsidRDefault="003A1BE3" w:rsidP="0067230F">
      <w:pPr>
        <w:pStyle w:val="FootnoteText"/>
        <w:jc w:val="both"/>
      </w:pPr>
      <w:r>
        <w:rPr>
          <w:rStyle w:val="FootnoteReference"/>
        </w:rPr>
        <w:footnoteRef/>
      </w:r>
      <w:r>
        <w:t xml:space="preserve"> </w:t>
      </w:r>
      <w:r>
        <w:rPr>
          <w:i/>
          <w:iCs/>
        </w:rPr>
        <w:t>Id.</w:t>
      </w:r>
      <w:r w:rsidRPr="003A1BE3">
        <w:t xml:space="preserve"> </w:t>
      </w:r>
      <w:r w:rsidRPr="00E72E6E">
        <w:t>at *3 n.2.</w:t>
      </w:r>
    </w:p>
  </w:footnote>
  <w:footnote w:id="302">
    <w:p w14:paraId="76636C20" w14:textId="1AF45BB0" w:rsidR="003A1BE3" w:rsidRPr="003A1BE3" w:rsidRDefault="003A1BE3" w:rsidP="0067230F">
      <w:pPr>
        <w:pStyle w:val="FootnoteText"/>
        <w:jc w:val="both"/>
      </w:pPr>
      <w:r>
        <w:rPr>
          <w:rStyle w:val="FootnoteReference"/>
        </w:rPr>
        <w:footnoteRef/>
      </w:r>
      <w:r>
        <w:t xml:space="preserve"> </w:t>
      </w:r>
      <w:r>
        <w:rPr>
          <w:i/>
          <w:iCs/>
        </w:rPr>
        <w:t>Id.</w:t>
      </w:r>
    </w:p>
  </w:footnote>
  <w:footnote w:id="303">
    <w:p w14:paraId="5F4741A0" w14:textId="629EFDD2" w:rsidR="00B8302C" w:rsidRPr="00E72E6E" w:rsidRDefault="00B8302C" w:rsidP="0067230F">
      <w:pPr>
        <w:pStyle w:val="FootnoteText"/>
        <w:jc w:val="both"/>
      </w:pPr>
      <w:r w:rsidRPr="00E72E6E">
        <w:rPr>
          <w:rStyle w:val="FootnoteReference"/>
        </w:rPr>
        <w:footnoteRef/>
      </w:r>
      <w:r w:rsidRPr="00E72E6E">
        <w:t xml:space="preserve"> </w:t>
      </w:r>
      <w:r w:rsidRPr="00E72E6E">
        <w:rPr>
          <w:i/>
          <w:iCs/>
        </w:rPr>
        <w:t>Id.</w:t>
      </w:r>
      <w:r w:rsidRPr="00E72E6E">
        <w:t xml:space="preserve"> </w:t>
      </w:r>
    </w:p>
  </w:footnote>
  <w:footnote w:id="304">
    <w:p w14:paraId="0F8DFD02" w14:textId="68C02AEA" w:rsidR="008F746B" w:rsidRPr="00E72E6E" w:rsidRDefault="008F746B" w:rsidP="0067230F">
      <w:pPr>
        <w:pStyle w:val="FootnoteText"/>
        <w:jc w:val="both"/>
      </w:pPr>
      <w:r w:rsidRPr="00E72E6E">
        <w:rPr>
          <w:rStyle w:val="FootnoteReference"/>
        </w:rPr>
        <w:footnoteRef/>
      </w:r>
      <w:r w:rsidRPr="00E72E6E">
        <w:t xml:space="preserve"> </w:t>
      </w:r>
      <w:r w:rsidRPr="00E72E6E">
        <w:rPr>
          <w:i/>
          <w:iCs/>
        </w:rPr>
        <w:t xml:space="preserve">Alabama v. United States </w:t>
      </w:r>
      <w:proofErr w:type="spellStart"/>
      <w:r w:rsidRPr="00E72E6E">
        <w:rPr>
          <w:i/>
          <w:iCs/>
        </w:rPr>
        <w:t>Dep’t</w:t>
      </w:r>
      <w:proofErr w:type="spellEnd"/>
      <w:r w:rsidRPr="00E72E6E">
        <w:rPr>
          <w:i/>
          <w:iCs/>
        </w:rPr>
        <w:t xml:space="preserve"> of Com.</w:t>
      </w:r>
      <w:r w:rsidRPr="00E72E6E">
        <w:t xml:space="preserve">, 396 F. Supp. 3d 1044, 1058 (N.D. Ala. 2019). </w:t>
      </w:r>
    </w:p>
  </w:footnote>
  <w:footnote w:id="305">
    <w:p w14:paraId="6BD81D23" w14:textId="15CCE9A7" w:rsidR="004D1F48" w:rsidRPr="00E72E6E" w:rsidRDefault="004D1F48" w:rsidP="0067230F">
      <w:pPr>
        <w:pStyle w:val="FootnoteText"/>
        <w:jc w:val="both"/>
      </w:pPr>
      <w:r w:rsidRPr="00E72E6E">
        <w:rPr>
          <w:rStyle w:val="FootnoteReference"/>
        </w:rPr>
        <w:footnoteRef/>
      </w:r>
      <w:r w:rsidRPr="00E72E6E">
        <w:t xml:space="preserve"> </w:t>
      </w:r>
      <w:r w:rsidR="00007C9E">
        <w:rPr>
          <w:i/>
          <w:iCs/>
        </w:rPr>
        <w:t>See</w:t>
      </w:r>
      <w:r w:rsidR="00007C9E">
        <w:t xml:space="preserve">, </w:t>
      </w:r>
      <w:r w:rsidR="00007C9E">
        <w:rPr>
          <w:i/>
          <w:iCs/>
        </w:rPr>
        <w:t>e.g.</w:t>
      </w:r>
      <w:r w:rsidR="00007C9E">
        <w:t xml:space="preserve">, Emma Coleman Jones, </w:t>
      </w:r>
      <w:r w:rsidR="00007C9E">
        <w:rPr>
          <w:i/>
          <w:iCs/>
        </w:rPr>
        <w:t>Litigation Without Representation: The Need for Intervention to Affirm Affirmative Action</w:t>
      </w:r>
      <w:r w:rsidR="00007C9E">
        <w:t>, 14 Harv. C.R.-C.L. L. Rev. 31,</w:t>
      </w:r>
      <w:r w:rsidR="00007C9E">
        <w:rPr>
          <w:i/>
          <w:iCs/>
        </w:rPr>
        <w:t xml:space="preserve"> </w:t>
      </w:r>
      <w:r w:rsidR="00007C9E">
        <w:t>47 (1979) (“In some instances it appears that a court which is sympathetic to the merits of the underlying claim of an intervention applicant will be more inclined to relax the procedural barriers to entry.”).</w:t>
      </w:r>
      <w:r w:rsidR="00007C9E">
        <w:rPr>
          <w:i/>
          <w:iCs/>
        </w:rPr>
        <w:t xml:space="preserve"> </w:t>
      </w:r>
      <w:r w:rsidRPr="00E72E6E">
        <w:t xml:space="preserve">Compare this result, for instance, </w:t>
      </w:r>
      <w:r w:rsidR="00E07341">
        <w:t xml:space="preserve">with </w:t>
      </w:r>
      <w:r w:rsidRPr="00E72E6E">
        <w:t xml:space="preserve">another district court’s decision denying intervention to a nonprofit organization that sought to intervene in a challenge to remove a war memorial with religious icons. </w:t>
      </w:r>
      <w:r w:rsidRPr="00E72E6E">
        <w:rPr>
          <w:i/>
          <w:iCs/>
        </w:rPr>
        <w:t>Trunk v. City of San Diego</w:t>
      </w:r>
      <w:r w:rsidRPr="00E72E6E">
        <w:t xml:space="preserve">, No. 06-cv-1597, 2006 WL 8442259, at *3 (S.D. Cal. Sept. 26, 2006). The proposed intervenor expressed concern that the government would </w:t>
      </w:r>
      <w:r w:rsidR="0057680B">
        <w:t xml:space="preserve">not challenge the plaintiffs’ standing, </w:t>
      </w:r>
      <w:r w:rsidRPr="00E72E6E">
        <w:t xml:space="preserve">as it had yet to do so. </w:t>
      </w:r>
      <w:r w:rsidRPr="00E72E6E">
        <w:rPr>
          <w:i/>
          <w:iCs/>
        </w:rPr>
        <w:t>Id.</w:t>
      </w:r>
      <w:r w:rsidRPr="00E72E6E">
        <w:t xml:space="preserve"> at 2. The court rejected that this was a basis for intervention because the court on its own could always determine that the plaintiffs lacked standing. </w:t>
      </w:r>
      <w:r w:rsidRPr="00E72E6E">
        <w:rPr>
          <w:i/>
          <w:iCs/>
        </w:rPr>
        <w:t>Id.</w:t>
      </w:r>
      <w:r w:rsidR="00E07341">
        <w:rPr>
          <w:i/>
          <w:iCs/>
        </w:rPr>
        <w:t xml:space="preserve"> </w:t>
      </w:r>
    </w:p>
  </w:footnote>
  <w:footnote w:id="306">
    <w:p w14:paraId="50DE0C4E" w14:textId="5ACE5651" w:rsidR="00952343" w:rsidRPr="00160D87" w:rsidRDefault="00952343" w:rsidP="0067230F">
      <w:pPr>
        <w:pStyle w:val="FootnoteText"/>
        <w:jc w:val="both"/>
      </w:pPr>
      <w:r>
        <w:rPr>
          <w:rStyle w:val="FootnoteReference"/>
        </w:rPr>
        <w:footnoteRef/>
      </w:r>
      <w:r>
        <w:t xml:space="preserve"> </w:t>
      </w:r>
      <w:r w:rsidR="00010D44">
        <w:t xml:space="preserve">For examples of reading intervention cases to signal the court’s thoughts on the merits of the underlying dispute, </w:t>
      </w:r>
      <w:r w:rsidR="00010D44">
        <w:rPr>
          <w:i/>
          <w:iCs/>
        </w:rPr>
        <w:t>s</w:t>
      </w:r>
      <w:r>
        <w:rPr>
          <w:i/>
          <w:iCs/>
        </w:rPr>
        <w:t xml:space="preserve">ee </w:t>
      </w:r>
      <w:r>
        <w:t xml:space="preserve">Steven D. Schwinn, </w:t>
      </w:r>
      <w:proofErr w:type="gramStart"/>
      <w:r>
        <w:rPr>
          <w:i/>
          <w:iCs/>
        </w:rPr>
        <w:t>Can</w:t>
      </w:r>
      <w:proofErr w:type="gramEnd"/>
      <w:r>
        <w:rPr>
          <w:i/>
          <w:iCs/>
        </w:rPr>
        <w:t xml:space="preserve"> a State Attorney General Intervene in a Case to Defend a State Anti-Abortion Law after an Appellate Panel Struck the Law, When a Different Attorney General Previously Voluntarily Withdrew from the Case, Renounced Authority to Enforce the Law, and Agreed to Abide by the Court’s Ruling?</w:t>
      </w:r>
      <w:r>
        <w:t xml:space="preserve"> </w:t>
      </w:r>
      <w:r>
        <w:rPr>
          <w:i/>
          <w:iCs/>
        </w:rPr>
        <w:t>(20-601)</w:t>
      </w:r>
      <w:r>
        <w:t>, 49 Preview U.S. Sup. Ct. Cas. 28 (2021) (“</w:t>
      </w:r>
      <w:r w:rsidR="00160D87">
        <w:t>[A]</w:t>
      </w:r>
      <w:r>
        <w:t xml:space="preserve"> technical ruling [on intervention] in this case could say much about the current Court’s thoughts on abortion.”)</w:t>
      </w:r>
      <w:r w:rsidR="00160D87">
        <w:t xml:space="preserve">; Steven D. Schwinn, </w:t>
      </w:r>
      <w:r w:rsidR="00160D87">
        <w:rPr>
          <w:i/>
          <w:iCs/>
        </w:rPr>
        <w:t>May States Intervene in an Appeal to Defend the Trump Administration’s ‘Public Charge’ Rule When the Biden Administration Has Declined to Defend It? (20-1775)</w:t>
      </w:r>
      <w:r w:rsidR="00160D87">
        <w:t xml:space="preserve">, 49 Preview U.S. Sup. Ct. Cas. 13 (2022) (“Stripping away the technical issues, this case is really about the validity of the Trump Administration’s 2019 rule and Arizona’s opportunity to defend it.”). </w:t>
      </w:r>
    </w:p>
  </w:footnote>
  <w:footnote w:id="307">
    <w:p w14:paraId="254FA342" w14:textId="4176256E" w:rsidR="009614AB" w:rsidRPr="009614AB" w:rsidRDefault="009614AB" w:rsidP="0067230F">
      <w:pPr>
        <w:pStyle w:val="FootnoteText"/>
        <w:jc w:val="both"/>
      </w:pPr>
      <w:r>
        <w:rPr>
          <w:rStyle w:val="FootnoteReference"/>
        </w:rPr>
        <w:footnoteRef/>
      </w:r>
      <w:r>
        <w:t xml:space="preserve"> Vladeck, </w:t>
      </w:r>
      <w:r w:rsidR="00A33204">
        <w:rPr>
          <w:i/>
          <w:iCs/>
        </w:rPr>
        <w:t>Solicitor General</w:t>
      </w:r>
      <w:r w:rsidR="000B5DD4">
        <w:t>,</w:t>
      </w:r>
      <w:r w:rsidR="000B5DD4">
        <w:rPr>
          <w:i/>
          <w:iCs/>
        </w:rPr>
        <w:t xml:space="preserve"> </w:t>
      </w:r>
      <w:r w:rsidR="000B5DD4" w:rsidRPr="00E72E6E">
        <w:rPr>
          <w:i/>
          <w:iCs/>
        </w:rPr>
        <w:t>supra</w:t>
      </w:r>
      <w:r w:rsidR="000B5DD4" w:rsidRPr="00E72E6E">
        <w:t xml:space="preserve">, at </w:t>
      </w:r>
      <w:r>
        <w:t>157.</w:t>
      </w:r>
    </w:p>
  </w:footnote>
  <w:footnote w:id="308">
    <w:p w14:paraId="0AE92623" w14:textId="458E1796" w:rsidR="00F92C16" w:rsidRPr="00E72E6E" w:rsidRDefault="00F92C16" w:rsidP="0067230F">
      <w:pPr>
        <w:pStyle w:val="FootnoteText"/>
        <w:jc w:val="both"/>
      </w:pPr>
      <w:r w:rsidRPr="00E72E6E">
        <w:rPr>
          <w:rStyle w:val="FootnoteReference"/>
        </w:rPr>
        <w:footnoteRef/>
      </w:r>
      <w:r w:rsidRPr="00E72E6E">
        <w:t xml:space="preserve"> Another part of Rule 24 facilitates this discretion. Rule 24(c) nominally requires third parties to provide the court with a pleading that includes the arguments they plan to raise and potentially a summary of the evidence they plan to present. Even if proposed intervenors do</w:t>
      </w:r>
      <w:r w:rsidR="0078673A" w:rsidRPr="00E72E6E">
        <w:t xml:space="preserve"> not</w:t>
      </w:r>
      <w:r w:rsidRPr="00E72E6E">
        <w:t xml:space="preserve"> volunteer this information, courts have broad discretion to require third parties to address such questions at a </w:t>
      </w:r>
      <w:r w:rsidR="000362AB" w:rsidRPr="00E72E6E">
        <w:t xml:space="preserve">motions </w:t>
      </w:r>
      <w:r w:rsidRPr="00E72E6E">
        <w:t>hearing</w:t>
      </w:r>
      <w:r w:rsidR="00923687" w:rsidRPr="00E72E6E">
        <w:t xml:space="preserve">. </w:t>
      </w:r>
    </w:p>
  </w:footnote>
  <w:footnote w:id="309">
    <w:p w14:paraId="61B4EAFD" w14:textId="692BBA0E" w:rsidR="00E72E6E" w:rsidRPr="00E72E6E" w:rsidRDefault="00E72E6E" w:rsidP="0067230F">
      <w:pPr>
        <w:pStyle w:val="O-BodyText"/>
        <w:spacing w:after="0" w:line="240" w:lineRule="auto"/>
        <w:jc w:val="both"/>
        <w:rPr>
          <w:rFonts w:ascii="Garamond" w:hAnsi="Garamond"/>
        </w:rPr>
      </w:pPr>
      <w:r w:rsidRPr="00E72E6E">
        <w:rPr>
          <w:rStyle w:val="FootnoteReference"/>
          <w:rFonts w:ascii="Garamond" w:hAnsi="Garamond"/>
        </w:rPr>
        <w:footnoteRef/>
      </w:r>
      <w:r w:rsidRPr="00E72E6E">
        <w:rPr>
          <w:rFonts w:ascii="Garamond" w:hAnsi="Garamond"/>
        </w:rPr>
        <w:t xml:space="preserve"> </w:t>
      </w:r>
      <w:r w:rsidRPr="00E72E6E">
        <w:rPr>
          <w:rFonts w:ascii="Garamond" w:hAnsi="Garamond"/>
          <w:i/>
          <w:iCs/>
        </w:rPr>
        <w:t>See</w:t>
      </w:r>
      <w:r w:rsidRPr="00E72E6E">
        <w:rPr>
          <w:rFonts w:ascii="Garamond" w:hAnsi="Garamond"/>
        </w:rPr>
        <w:t xml:space="preserve">, </w:t>
      </w:r>
      <w:r w:rsidRPr="00E72E6E">
        <w:rPr>
          <w:rFonts w:ascii="Garamond" w:hAnsi="Garamond"/>
          <w:i/>
          <w:iCs/>
        </w:rPr>
        <w:t>e.g.</w:t>
      </w:r>
      <w:r w:rsidRPr="00E72E6E">
        <w:rPr>
          <w:rFonts w:ascii="Garamond" w:hAnsi="Garamond"/>
        </w:rPr>
        <w:t xml:space="preserve">, </w:t>
      </w:r>
      <w:r w:rsidRPr="00E72E6E">
        <w:rPr>
          <w:rFonts w:ascii="Garamond" w:hAnsi="Garamond"/>
          <w:i/>
          <w:iCs/>
        </w:rPr>
        <w:t>Students for Fair Admissions, Inc. v. President &amp; Fellows of Harvard Coll.</w:t>
      </w:r>
      <w:r w:rsidRPr="00E72E6E">
        <w:rPr>
          <w:rFonts w:ascii="Garamond" w:hAnsi="Garamond"/>
        </w:rPr>
        <w:t>, 807 F.3d 472, 474 (1st Cir. 2015) (“Students argue that they will be more single-mindedly zealous than Harvard because Harvard</w:t>
      </w:r>
      <w:r w:rsidR="009A5159">
        <w:rPr>
          <w:rFonts w:ascii="Garamond" w:hAnsi="Garamond"/>
        </w:rPr>
        <w:t>’</w:t>
      </w:r>
      <w:r w:rsidRPr="00E72E6E">
        <w:rPr>
          <w:rFonts w:ascii="Garamond" w:hAnsi="Garamond"/>
        </w:rPr>
        <w:t xml:space="preserve">s balancing of competing priorities may pose a ‘settlement risk.’”). </w:t>
      </w:r>
    </w:p>
  </w:footnote>
  <w:footnote w:id="310">
    <w:p w14:paraId="74A7C8BE" w14:textId="28EB898C" w:rsidR="00E72E6E" w:rsidRPr="00E72E6E" w:rsidRDefault="00E72E6E" w:rsidP="0067230F">
      <w:pPr>
        <w:pStyle w:val="FootnoteText"/>
        <w:jc w:val="both"/>
      </w:pPr>
      <w:r w:rsidRPr="00E72E6E">
        <w:rPr>
          <w:rStyle w:val="FootnoteReference"/>
        </w:rPr>
        <w:footnoteRef/>
      </w:r>
      <w:r w:rsidRPr="00E72E6E">
        <w:t xml:space="preserve"> </w:t>
      </w:r>
      <w:r w:rsidRPr="00E72E6E">
        <w:rPr>
          <w:i/>
          <w:iCs/>
        </w:rPr>
        <w:t>ACLU of Texas</w:t>
      </w:r>
      <w:r w:rsidRPr="00E72E6E">
        <w:t xml:space="preserve">, No. 17-10135, ECF No. 00514055754, at 4 (Costa, J., concurring); </w:t>
      </w:r>
      <w:r w:rsidRPr="00E72E6E">
        <w:rPr>
          <w:i/>
          <w:iCs/>
        </w:rPr>
        <w:t>Davis v. Lifetime Capital, Inc.</w:t>
      </w:r>
      <w:r w:rsidRPr="00E72E6E">
        <w:t xml:space="preserve">, 560 F. </w:t>
      </w:r>
      <w:proofErr w:type="spellStart"/>
      <w:r w:rsidRPr="00E72E6E">
        <w:t>App’x</w:t>
      </w:r>
      <w:proofErr w:type="spellEnd"/>
      <w:r w:rsidRPr="00E72E6E">
        <w:t xml:space="preserve"> 477, 491 (6th Cir. 2014) (“Had the lower court resolved the motion to intervene more promptly, the disruptive effect on nearly concluded proceedings would have been substantially less.”).</w:t>
      </w:r>
    </w:p>
  </w:footnote>
  <w:footnote w:id="311">
    <w:p w14:paraId="42B3C0B4" w14:textId="77777777" w:rsidR="006A1D85" w:rsidRPr="00E72E6E" w:rsidRDefault="006A1D85" w:rsidP="0067230F">
      <w:pPr>
        <w:pStyle w:val="FootnoteText"/>
        <w:jc w:val="both"/>
      </w:pPr>
      <w:r w:rsidRPr="00E72E6E">
        <w:rPr>
          <w:rStyle w:val="FootnoteReference"/>
        </w:rPr>
        <w:footnoteRef/>
      </w:r>
      <w:r w:rsidRPr="00E72E6E">
        <w:t xml:space="preserve"> </w:t>
      </w:r>
      <w:r w:rsidRPr="00E72E6E">
        <w:rPr>
          <w:i/>
          <w:iCs/>
        </w:rPr>
        <w:t>See, e.g.</w:t>
      </w:r>
      <w:r w:rsidRPr="00E72E6E">
        <w:t xml:space="preserve">, </w:t>
      </w:r>
      <w:r w:rsidRPr="00E72E6E">
        <w:rPr>
          <w:i/>
          <w:iCs/>
        </w:rPr>
        <w:t xml:space="preserve">State of California </w:t>
      </w:r>
      <w:proofErr w:type="spellStart"/>
      <w:r w:rsidRPr="00E72E6E">
        <w:rPr>
          <w:i/>
          <w:iCs/>
        </w:rPr>
        <w:t>Dep’t</w:t>
      </w:r>
      <w:proofErr w:type="spellEnd"/>
      <w:r w:rsidRPr="00E72E6E">
        <w:rPr>
          <w:i/>
          <w:iCs/>
        </w:rPr>
        <w:t xml:space="preserve"> of Soc. Servs. v. Thompson</w:t>
      </w:r>
      <w:r w:rsidRPr="00E72E6E">
        <w:t>, 321 F.3d 835, 845 (9th Cir. 2003) (collecting cases in which “[</w:t>
      </w:r>
      <w:proofErr w:type="spellStart"/>
      <w:r w:rsidRPr="00E72E6E">
        <w:t>i</w:t>
      </w:r>
      <w:proofErr w:type="spellEnd"/>
      <w:r w:rsidRPr="00E72E6E">
        <w:t>]</w:t>
      </w:r>
      <w:proofErr w:type="spellStart"/>
      <w:r w:rsidRPr="00E72E6E">
        <w:t>ntervenors</w:t>
      </w:r>
      <w:proofErr w:type="spellEnd"/>
      <w:r w:rsidRPr="00E72E6E">
        <w:t xml:space="preserve"> in suits with a governmental party” have “continue[d] an appeal after the governmental party has declined to do so”).</w:t>
      </w:r>
    </w:p>
  </w:footnote>
  <w:footnote w:id="312">
    <w:p w14:paraId="4DF86495" w14:textId="2FE86A6D" w:rsidR="007A2D32" w:rsidRPr="00906E1B" w:rsidRDefault="007A2D32" w:rsidP="0067230F">
      <w:pPr>
        <w:pStyle w:val="FootnoteText"/>
        <w:jc w:val="both"/>
      </w:pPr>
      <w:r>
        <w:rPr>
          <w:rStyle w:val="FootnoteReference"/>
        </w:rPr>
        <w:footnoteRef/>
      </w:r>
      <w:r>
        <w:t xml:space="preserve"> Bickel, </w:t>
      </w:r>
      <w:r w:rsidR="00D92A29" w:rsidRPr="00E72E6E">
        <w:rPr>
          <w:i/>
          <w:iCs/>
        </w:rPr>
        <w:t>supra</w:t>
      </w:r>
      <w:r w:rsidR="00D92A29" w:rsidRPr="00E72E6E">
        <w:t xml:space="preserve">, at </w:t>
      </w:r>
      <w:r w:rsidR="00D92A29">
        <w:t>40-47</w:t>
      </w:r>
      <w:r w:rsidR="00D94F14">
        <w:t xml:space="preserve"> (discussing doctrines like standing, ripeness, mootness, and political questions)</w:t>
      </w:r>
      <w:r>
        <w:t xml:space="preserve">; Chayes, </w:t>
      </w:r>
      <w:r w:rsidR="00CC1FC8" w:rsidRPr="00CC1FC8">
        <w:rPr>
          <w:i/>
          <w:iCs/>
        </w:rPr>
        <w:t>Public Law Litigation</w:t>
      </w:r>
      <w:r w:rsidR="00CC1FC8">
        <w:t xml:space="preserve">, </w:t>
      </w:r>
      <w:r>
        <w:rPr>
          <w:i/>
          <w:iCs/>
        </w:rPr>
        <w:t>supra</w:t>
      </w:r>
      <w:r>
        <w:t>, at 1299</w:t>
      </w:r>
      <w:r w:rsidR="00A33EEB">
        <w:t xml:space="preserve"> (settlement)</w:t>
      </w:r>
      <w:r>
        <w:t xml:space="preserve">. </w:t>
      </w:r>
    </w:p>
  </w:footnote>
  <w:footnote w:id="313">
    <w:p w14:paraId="3215938D" w14:textId="37C3AE8B" w:rsidR="00AC6174" w:rsidRPr="00E72E6E" w:rsidRDefault="00AC6174" w:rsidP="0067230F">
      <w:pPr>
        <w:pStyle w:val="FootnoteText"/>
        <w:jc w:val="both"/>
      </w:pPr>
      <w:r w:rsidRPr="00E72E6E">
        <w:rPr>
          <w:rStyle w:val="FootnoteReference"/>
        </w:rPr>
        <w:footnoteRef/>
      </w:r>
      <w:r w:rsidRPr="00E72E6E">
        <w:t xml:space="preserve"> Seth Davis, </w:t>
      </w:r>
      <w:r w:rsidRPr="00E72E6E">
        <w:rPr>
          <w:i/>
          <w:iCs/>
        </w:rPr>
        <w:t>The New Public Standing</w:t>
      </w:r>
      <w:r w:rsidRPr="00E72E6E">
        <w:t xml:space="preserve">, 71 Stan. L. Rev. 1229, 1289 (2019). Scholars have billed this feature as a “significant advantage” that states have over intervening private and nonprofit organizations or class actions because state “have built-in mechanisms of democratic accountability for their conduct of litigation on behalf of their citizens.” Ernest A. Young, </w:t>
      </w:r>
      <w:r w:rsidRPr="00E72E6E">
        <w:rPr>
          <w:i/>
          <w:iCs/>
        </w:rPr>
        <w:t>State Standing and Cooperative Federalism</w:t>
      </w:r>
      <w:r w:rsidRPr="00E72E6E">
        <w:t xml:space="preserve">, 94 Notre Dame L. Rev. 1893, 1923 (2019); </w:t>
      </w:r>
      <w:r w:rsidRPr="00E72E6E">
        <w:rPr>
          <w:i/>
          <w:iCs/>
        </w:rPr>
        <w:t xml:space="preserve">see also </w:t>
      </w:r>
      <w:r w:rsidRPr="00E72E6E">
        <w:t xml:space="preserve">Bradford </w:t>
      </w:r>
      <w:proofErr w:type="spellStart"/>
      <w:r w:rsidRPr="00E72E6E">
        <w:t>Mank</w:t>
      </w:r>
      <w:proofErr w:type="spellEnd"/>
      <w:r w:rsidRPr="00E72E6E">
        <w:t xml:space="preserve">, </w:t>
      </w:r>
      <w:r w:rsidRPr="00E72E6E">
        <w:rPr>
          <w:i/>
          <w:iCs/>
        </w:rPr>
        <w:t xml:space="preserve">Should States Have Greater Standing Rights than Ordinary </w:t>
      </w:r>
      <w:proofErr w:type="gramStart"/>
      <w:r w:rsidRPr="00E72E6E">
        <w:rPr>
          <w:i/>
          <w:iCs/>
        </w:rPr>
        <w:t>Citizens?:</w:t>
      </w:r>
      <w:proofErr w:type="gramEnd"/>
      <w:r w:rsidRPr="00E72E6E">
        <w:rPr>
          <w:i/>
          <w:iCs/>
        </w:rPr>
        <w:t xml:space="preserve"> </w:t>
      </w:r>
      <w:r w:rsidRPr="00E72E6E">
        <w:t>Massachusetts v. EPA</w:t>
      </w:r>
      <w:r w:rsidRPr="00E72E6E">
        <w:rPr>
          <w:i/>
          <w:iCs/>
        </w:rPr>
        <w:t>’s New Standing Test for States</w:t>
      </w:r>
      <w:r w:rsidRPr="00E72E6E">
        <w:t xml:space="preserve">, 49 Wm. &amp; Mary L. Rev. 1701, 1784 (2008); </w:t>
      </w:r>
      <w:proofErr w:type="spellStart"/>
      <w:r w:rsidRPr="00E72E6E">
        <w:t>Lemos</w:t>
      </w:r>
      <w:proofErr w:type="spellEnd"/>
      <w:r w:rsidRPr="00E72E6E">
        <w:t xml:space="preserve"> &amp; Young, </w:t>
      </w:r>
      <w:r w:rsidR="00C1085C">
        <w:rPr>
          <w:i/>
          <w:iCs/>
        </w:rPr>
        <w:t>supra</w:t>
      </w:r>
      <w:r w:rsidR="00C1085C" w:rsidRPr="00D92A29">
        <w:t>,</w:t>
      </w:r>
      <w:r w:rsidR="00C1085C">
        <w:rPr>
          <w:i/>
          <w:iCs/>
        </w:rPr>
        <w:t xml:space="preserve"> </w:t>
      </w:r>
      <w:r w:rsidR="00C1085C">
        <w:t xml:space="preserve">at </w:t>
      </w:r>
      <w:r w:rsidRPr="00E72E6E">
        <w:t xml:space="preserve">113-17. </w:t>
      </w:r>
    </w:p>
  </w:footnote>
  <w:footnote w:id="314">
    <w:p w14:paraId="00CA648A" w14:textId="0569A3F2" w:rsidR="00AC6174" w:rsidRPr="00E72E6E" w:rsidRDefault="00AC6174" w:rsidP="0067230F">
      <w:pPr>
        <w:pStyle w:val="FootnoteText"/>
        <w:jc w:val="both"/>
      </w:pPr>
      <w:r w:rsidRPr="00E72E6E">
        <w:rPr>
          <w:rStyle w:val="FootnoteReference"/>
        </w:rPr>
        <w:footnoteRef/>
      </w:r>
      <w:r w:rsidRPr="00E72E6E">
        <w:t xml:space="preserve"> 476 U.S. 54, 64 n.16 (1986). </w:t>
      </w:r>
    </w:p>
  </w:footnote>
  <w:footnote w:id="315">
    <w:p w14:paraId="6F7FAD37" w14:textId="5CFDD36A" w:rsidR="00AC6174" w:rsidRPr="00E72E6E" w:rsidRDefault="00AC6174" w:rsidP="0067230F">
      <w:pPr>
        <w:pStyle w:val="FootnoteText"/>
        <w:jc w:val="both"/>
      </w:pPr>
      <w:r w:rsidRPr="00E72E6E">
        <w:rPr>
          <w:rStyle w:val="FootnoteReference"/>
        </w:rPr>
        <w:footnoteRef/>
      </w:r>
      <w:r w:rsidRPr="00E72E6E">
        <w:t xml:space="preserve"> </w:t>
      </w:r>
      <w:r w:rsidRPr="00E72E6E">
        <w:rPr>
          <w:i/>
          <w:iCs/>
        </w:rPr>
        <w:t>Cameron</w:t>
      </w:r>
      <w:r w:rsidRPr="00E72E6E">
        <w:t xml:space="preserve">, 142 S. Ct. </w:t>
      </w:r>
      <w:r w:rsidR="002B2BEC">
        <w:t xml:space="preserve">at </w:t>
      </w:r>
      <w:r w:rsidRPr="00E72E6E">
        <w:t>1013</w:t>
      </w:r>
      <w:r w:rsidR="0085144D">
        <w:t>;</w:t>
      </w:r>
      <w:r w:rsidRPr="00E72E6E">
        <w:t xml:space="preserve"> </w:t>
      </w:r>
      <w:r w:rsidR="0085144D">
        <w:rPr>
          <w:i/>
          <w:iCs/>
        </w:rPr>
        <w:t>s</w:t>
      </w:r>
      <w:r w:rsidRPr="00E72E6E">
        <w:rPr>
          <w:i/>
          <w:iCs/>
        </w:rPr>
        <w:t>ee also</w:t>
      </w:r>
      <w:r w:rsidRPr="00E72E6E">
        <w:t xml:space="preserve">, Mitch Smith &amp; Monica Davey, </w:t>
      </w:r>
      <w:r w:rsidRPr="00E72E6E">
        <w:rPr>
          <w:i/>
          <w:iCs/>
        </w:rPr>
        <w:t>Wisconsin’s Scott Walker Signs Bill Stripping Powers from Incoming Governor</w:t>
      </w:r>
      <w:r w:rsidRPr="00E72E6E">
        <w:t>, N.Y. Times (Dec. 14, 2018), https://www.nytimes.com/2018/</w:t>
      </w:r>
      <w:r w:rsidR="00DF0C06">
        <w:t xml:space="preserve"> </w:t>
      </w:r>
      <w:r w:rsidRPr="00E72E6E">
        <w:t>12/14/us/wisconsin-governor-scott-walker.html</w:t>
      </w:r>
      <w:r w:rsidR="00DF0C06">
        <w:t xml:space="preserve"> </w:t>
      </w:r>
      <w:r w:rsidRPr="00E72E6E">
        <w:t xml:space="preserve">(describing law passed to prevent new officials “from withdrawing the state from a lawsuit challenging the Affordable Care Act”). </w:t>
      </w:r>
    </w:p>
  </w:footnote>
  <w:footnote w:id="316">
    <w:p w14:paraId="59793D05" w14:textId="5ED9DA6C" w:rsidR="00AC6174" w:rsidRPr="00EC3D57" w:rsidRDefault="00AC6174" w:rsidP="0067230F">
      <w:pPr>
        <w:pStyle w:val="FootnoteText"/>
        <w:jc w:val="both"/>
      </w:pPr>
      <w:r w:rsidRPr="00E72E6E">
        <w:rPr>
          <w:rStyle w:val="FootnoteReference"/>
        </w:rPr>
        <w:footnoteRef/>
      </w:r>
      <w:r w:rsidRPr="00E72E6E">
        <w:t xml:space="preserve"> 570 U.S. </w:t>
      </w:r>
      <w:r w:rsidR="0074450E">
        <w:t xml:space="preserve">at </w:t>
      </w:r>
      <w:r w:rsidRPr="00E72E6E">
        <w:t>754.</w:t>
      </w:r>
      <w:r w:rsidR="00D6075E">
        <w:t xml:space="preserve"> </w:t>
      </w:r>
      <w:r w:rsidR="00EC3D57">
        <w:rPr>
          <w:i/>
          <w:iCs/>
        </w:rPr>
        <w:t>Windsor</w:t>
      </w:r>
      <w:r w:rsidR="00EC3D57">
        <w:t xml:space="preserve"> featured a democratic president declining to defend a law signed by a previous democratic president. For a history of DOMA, and the </w:t>
      </w:r>
      <w:r w:rsidR="00EC3D57">
        <w:rPr>
          <w:i/>
          <w:iCs/>
        </w:rPr>
        <w:t>Windsor</w:t>
      </w:r>
      <w:r w:rsidR="00EC3D57">
        <w:t xml:space="preserve"> litigation, </w:t>
      </w:r>
      <w:r w:rsidR="00EC3D57">
        <w:rPr>
          <w:i/>
          <w:iCs/>
        </w:rPr>
        <w:t>see generally</w:t>
      </w:r>
      <w:r w:rsidR="00EC3D57">
        <w:t xml:space="preserve"> Roberta A. Kaplan, Then Comes Marriage: </w:t>
      </w:r>
      <w:r w:rsidR="00EC3D57">
        <w:rPr>
          <w:i/>
          <w:iCs/>
        </w:rPr>
        <w:t>United States v. Windsor</w:t>
      </w:r>
      <w:r w:rsidR="00EC3D57">
        <w:t xml:space="preserve"> and the defeat of DOMA (2015). </w:t>
      </w:r>
    </w:p>
  </w:footnote>
  <w:footnote w:id="317">
    <w:p w14:paraId="1B26D10B" w14:textId="6FC1BAAF" w:rsidR="00AC6174" w:rsidRPr="00E72E6E" w:rsidRDefault="00AC6174" w:rsidP="0067230F">
      <w:pPr>
        <w:pStyle w:val="FootnoteText"/>
        <w:jc w:val="both"/>
        <w:rPr>
          <w:i/>
          <w:iCs/>
        </w:rPr>
      </w:pPr>
      <w:r w:rsidRPr="00E72E6E">
        <w:rPr>
          <w:rStyle w:val="FootnoteReference"/>
        </w:rPr>
        <w:footnoteRef/>
      </w:r>
      <w:r w:rsidRPr="00E72E6E">
        <w:t xml:space="preserve"> </w:t>
      </w:r>
      <w:r w:rsidRPr="00E72E6E">
        <w:rPr>
          <w:i/>
          <w:iCs/>
        </w:rPr>
        <w:t>Diamond</w:t>
      </w:r>
      <w:r w:rsidRPr="00E72E6E">
        <w:t>, 476 U.S. at 65</w:t>
      </w:r>
      <w:r w:rsidR="001B5C34" w:rsidRPr="00E72E6E">
        <w:t xml:space="preserve">; </w:t>
      </w:r>
      <w:r w:rsidR="001B5C34" w:rsidRPr="00E72E6E">
        <w:rPr>
          <w:i/>
          <w:iCs/>
        </w:rPr>
        <w:t>see also Cameron</w:t>
      </w:r>
      <w:r w:rsidR="001B5C34" w:rsidRPr="00E72E6E">
        <w:t xml:space="preserve">, 142 S. Ct. at 1013; </w:t>
      </w:r>
      <w:r w:rsidR="001B5C34" w:rsidRPr="00E72E6E">
        <w:rPr>
          <w:i/>
          <w:iCs/>
        </w:rPr>
        <w:t>Berger</w:t>
      </w:r>
      <w:r w:rsidR="001B5C34" w:rsidRPr="00E72E6E">
        <w:t xml:space="preserve">, 142 S. Ct. at 2206. </w:t>
      </w:r>
    </w:p>
  </w:footnote>
  <w:footnote w:id="318">
    <w:p w14:paraId="0FE7554F" w14:textId="61AB2BD2" w:rsidR="00F140E2" w:rsidRPr="00E72E6E" w:rsidRDefault="00F140E2" w:rsidP="0067230F">
      <w:pPr>
        <w:pStyle w:val="FootnoteText"/>
        <w:jc w:val="both"/>
      </w:pPr>
      <w:r w:rsidRPr="00E72E6E">
        <w:rPr>
          <w:rStyle w:val="FootnoteReference"/>
        </w:rPr>
        <w:footnoteRef/>
      </w:r>
      <w:r w:rsidRPr="00E72E6E">
        <w:t xml:space="preserve"> </w:t>
      </w:r>
      <w:r w:rsidRPr="00E72E6E">
        <w:rPr>
          <w:i/>
          <w:iCs/>
        </w:rPr>
        <w:t>Arizona</w:t>
      </w:r>
      <w:r w:rsidRPr="00E72E6E">
        <w:t xml:space="preserve">, 142 S. Ct. </w:t>
      </w:r>
      <w:r w:rsidR="008A090A">
        <w:t xml:space="preserve">at </w:t>
      </w:r>
      <w:r w:rsidRPr="00E72E6E">
        <w:t xml:space="preserve">1928 (Roberts, C.J., concurring); </w:t>
      </w:r>
      <w:proofErr w:type="spellStart"/>
      <w:r w:rsidR="006B56E9" w:rsidRPr="00E72E6E">
        <w:rPr>
          <w:i/>
          <w:iCs/>
        </w:rPr>
        <w:t>Danco</w:t>
      </w:r>
      <w:proofErr w:type="spellEnd"/>
      <w:r w:rsidR="006B56E9" w:rsidRPr="00E72E6E">
        <w:rPr>
          <w:i/>
          <w:iCs/>
        </w:rPr>
        <w:t xml:space="preserve"> Laboratories, LLC v. Alliance for Hippocratic Medicine</w:t>
      </w:r>
      <w:r w:rsidR="006B56E9" w:rsidRPr="00E72E6E">
        <w:t xml:space="preserve">, </w:t>
      </w:r>
      <w:r w:rsidR="001F3018">
        <w:t>143 S. Ct. 1075, 1075-76 (2023)</w:t>
      </w:r>
      <w:r w:rsidR="006B56E9" w:rsidRPr="00E72E6E">
        <w:t xml:space="preserve"> (Alito, J., dissenting from grant of applications for stays). </w:t>
      </w:r>
    </w:p>
  </w:footnote>
  <w:footnote w:id="319">
    <w:p w14:paraId="52ED7DF9" w14:textId="4E5E958E" w:rsidR="005240C1" w:rsidRDefault="005240C1" w:rsidP="0067230F">
      <w:pPr>
        <w:pStyle w:val="FootnoteText"/>
        <w:jc w:val="both"/>
      </w:pPr>
      <w:r>
        <w:rPr>
          <w:rStyle w:val="FootnoteReference"/>
        </w:rPr>
        <w:footnoteRef/>
      </w:r>
      <w:r>
        <w:t xml:space="preserve"> </w:t>
      </w:r>
      <w:r w:rsidR="006E6C3E">
        <w:t>Many thanks to</w:t>
      </w:r>
      <w:r>
        <w:t xml:space="preserve"> Stephen Sac</w:t>
      </w:r>
      <w:r w:rsidR="004F4225">
        <w:t>h</w:t>
      </w:r>
      <w:r>
        <w:t xml:space="preserve">s for this </w:t>
      </w:r>
      <w:r w:rsidR="009875F6">
        <w:t>point</w:t>
      </w:r>
      <w:r>
        <w:t xml:space="preserve">. </w:t>
      </w:r>
    </w:p>
  </w:footnote>
  <w:footnote w:id="320">
    <w:p w14:paraId="681EED64" w14:textId="0E7498A8" w:rsidR="009130CE" w:rsidRPr="00A4225C" w:rsidRDefault="009130CE" w:rsidP="0067230F">
      <w:pPr>
        <w:pStyle w:val="FootnoteText"/>
        <w:jc w:val="both"/>
      </w:pPr>
      <w:r>
        <w:rPr>
          <w:rStyle w:val="FootnoteReference"/>
        </w:rPr>
        <w:footnoteRef/>
      </w:r>
      <w:r>
        <w:t xml:space="preserve"> David Marcus, </w:t>
      </w:r>
      <w:r>
        <w:rPr>
          <w:i/>
          <w:iCs/>
        </w:rPr>
        <w:t xml:space="preserve">The Collapse of the Federal Rules </w:t>
      </w:r>
      <w:r w:rsidRPr="005878FC">
        <w:rPr>
          <w:i/>
          <w:iCs/>
        </w:rPr>
        <w:t>System</w:t>
      </w:r>
      <w:r>
        <w:t>, 169 U. Pa. L. Rev. 2485, 2488 (2021) (“[D]</w:t>
      </w:r>
      <w:proofErr w:type="spellStart"/>
      <w:r>
        <w:t>eeper</w:t>
      </w:r>
      <w:proofErr w:type="spellEnd"/>
      <w:r>
        <w:t xml:space="preserve"> currents in American political, social, and economic life have largely determined possibilities for the evolution of procedural doctrine.”)</w:t>
      </w:r>
      <w:r w:rsidR="00A619AE">
        <w:t xml:space="preserve">; </w:t>
      </w:r>
      <w:r w:rsidR="00A4225C">
        <w:t xml:space="preserve">Lahav, </w:t>
      </w:r>
      <w:r w:rsidR="00890E5D">
        <w:rPr>
          <w:i/>
          <w:iCs/>
        </w:rPr>
        <w:t>supra</w:t>
      </w:r>
      <w:r w:rsidR="00890E5D">
        <w:t>,</w:t>
      </w:r>
      <w:r w:rsidR="00890E5D">
        <w:rPr>
          <w:i/>
          <w:iCs/>
        </w:rPr>
        <w:t xml:space="preserve"> </w:t>
      </w:r>
      <w:r w:rsidR="00890E5D" w:rsidRPr="00890E5D">
        <w:t xml:space="preserve">at </w:t>
      </w:r>
      <w:r w:rsidR="00A4225C">
        <w:t>8</w:t>
      </w:r>
      <w:r w:rsidR="00890E5D">
        <w:t>85</w:t>
      </w:r>
      <w:r w:rsidR="00F34AED">
        <w:t>.</w:t>
      </w:r>
    </w:p>
  </w:footnote>
  <w:footnote w:id="321">
    <w:p w14:paraId="6AE911F5" w14:textId="4E2181E7" w:rsidR="001470A6" w:rsidRPr="00146E34" w:rsidRDefault="00E70A15" w:rsidP="0067230F">
      <w:pPr>
        <w:pStyle w:val="FootnoteText"/>
        <w:jc w:val="both"/>
      </w:pPr>
      <w:r>
        <w:rPr>
          <w:rStyle w:val="FootnoteReference"/>
        </w:rPr>
        <w:footnoteRef/>
      </w:r>
      <w:r>
        <w:t xml:space="preserve"> </w:t>
      </w:r>
      <w:r w:rsidR="00146E34" w:rsidRPr="005878FC">
        <w:t>Suzette</w:t>
      </w:r>
      <w:r w:rsidR="00146E34">
        <w:t xml:space="preserve"> Malveaux, </w:t>
      </w:r>
      <w:r w:rsidR="00146E34">
        <w:rPr>
          <w:i/>
          <w:iCs/>
        </w:rPr>
        <w:t xml:space="preserve">A Diamond in the Rough: Trans-Substantivity of the Federal Rules of Civil Procedure and Its </w:t>
      </w:r>
      <w:r w:rsidR="00DD3AE0">
        <w:rPr>
          <w:i/>
          <w:iCs/>
        </w:rPr>
        <w:t>Detrimental</w:t>
      </w:r>
      <w:r w:rsidR="00146E34">
        <w:rPr>
          <w:i/>
          <w:iCs/>
        </w:rPr>
        <w:t xml:space="preserve"> Impact on Civil Rights</w:t>
      </w:r>
      <w:r w:rsidR="00146E34">
        <w:t xml:space="preserve">, 92 Wash. U. L. Rev. 455, 456 (2014) (“[T]his one-size-fits-all approach to process has been increasingly questioned in a society growing in complexity, size, and specialization.”). </w:t>
      </w:r>
    </w:p>
  </w:footnote>
  <w:footnote w:id="322">
    <w:p w14:paraId="7A9C96F6" w14:textId="005B6AEC" w:rsidR="0044273D" w:rsidRDefault="0044273D" w:rsidP="0067230F">
      <w:pPr>
        <w:pStyle w:val="FootnoteText"/>
        <w:jc w:val="both"/>
      </w:pPr>
      <w:r>
        <w:rPr>
          <w:rStyle w:val="FootnoteReference"/>
        </w:rPr>
        <w:footnoteRef/>
      </w:r>
      <w:r>
        <w:t xml:space="preserve"> </w:t>
      </w:r>
      <w:r w:rsidR="00F34AED">
        <w:t>For example, t</w:t>
      </w:r>
      <w:r w:rsidR="00532065">
        <w:t xml:space="preserve">he federal rules have been substantially amended to address changes brought on by the civil rights movement, new statutory causes of action, and the perceived rise of litigation costs. </w:t>
      </w:r>
      <w:r w:rsidR="00DE274B">
        <w:rPr>
          <w:i/>
          <w:iCs/>
        </w:rPr>
        <w:t xml:space="preserve">See </w:t>
      </w:r>
      <w:proofErr w:type="spellStart"/>
      <w:r w:rsidR="00DE274B">
        <w:t>Subrin</w:t>
      </w:r>
      <w:proofErr w:type="spellEnd"/>
      <w:r w:rsidR="00DE274B">
        <w:t xml:space="preserve"> &amp; Main, </w:t>
      </w:r>
      <w:r w:rsidR="00DE274B">
        <w:rPr>
          <w:i/>
          <w:iCs/>
        </w:rPr>
        <w:t>supra</w:t>
      </w:r>
      <w:r w:rsidR="00DE274B">
        <w:t>, at 1856-77.</w:t>
      </w:r>
    </w:p>
  </w:footnote>
  <w:footnote w:id="323">
    <w:p w14:paraId="2930EF67" w14:textId="6BACB2FE" w:rsidR="00994406" w:rsidRPr="00994406" w:rsidRDefault="00994406" w:rsidP="0067230F">
      <w:pPr>
        <w:pStyle w:val="FootnoteText"/>
        <w:jc w:val="both"/>
      </w:pPr>
      <w:r>
        <w:rPr>
          <w:rStyle w:val="FootnoteReference"/>
        </w:rPr>
        <w:footnoteRef/>
      </w:r>
      <w:r>
        <w:t xml:space="preserve"> </w:t>
      </w:r>
      <w:r w:rsidR="00FD76C2">
        <w:rPr>
          <w:i/>
          <w:iCs/>
        </w:rPr>
        <w:t>See, e.g.</w:t>
      </w:r>
      <w:r w:rsidR="00FD76C2">
        <w:t>,</w:t>
      </w:r>
      <w:r w:rsidR="00FD76C2">
        <w:rPr>
          <w:i/>
          <w:iCs/>
        </w:rPr>
        <w:t xml:space="preserve"> </w:t>
      </w:r>
      <w:r>
        <w:rPr>
          <w:i/>
          <w:iCs/>
        </w:rPr>
        <w:t>Massachusetts v. EPA</w:t>
      </w:r>
      <w:r>
        <w:t xml:space="preserve">, </w:t>
      </w:r>
      <w:r w:rsidRPr="00FA09A9">
        <w:t>549 U.S. 497, 520 (2007)</w:t>
      </w:r>
      <w:r>
        <w:t xml:space="preserve">; </w:t>
      </w:r>
      <w:r w:rsidRPr="00FA09A9">
        <w:rPr>
          <w:i/>
          <w:iCs/>
        </w:rPr>
        <w:t>Texas v. United States</w:t>
      </w:r>
      <w:r w:rsidRPr="00FA09A9">
        <w:t>, 787 F.3d 733, 743, 748</w:t>
      </w:r>
      <w:r w:rsidR="00C22C16">
        <w:t>-</w:t>
      </w:r>
      <w:r w:rsidRPr="00FA09A9">
        <w:t xml:space="preserve">54 (5th Cir. 2015), </w:t>
      </w:r>
      <w:r w:rsidRPr="00FA09A9">
        <w:rPr>
          <w:i/>
          <w:iCs/>
        </w:rPr>
        <w:t xml:space="preserve">aff’d per </w:t>
      </w:r>
      <w:proofErr w:type="spellStart"/>
      <w:r w:rsidRPr="00FA09A9">
        <w:rPr>
          <w:i/>
          <w:iCs/>
        </w:rPr>
        <w:t>curiam</w:t>
      </w:r>
      <w:proofErr w:type="spellEnd"/>
      <w:r w:rsidRPr="00FA09A9">
        <w:rPr>
          <w:i/>
          <w:iCs/>
        </w:rPr>
        <w:t xml:space="preserve"> by an equally divided court</w:t>
      </w:r>
      <w:r w:rsidRPr="00FA09A9">
        <w:rPr>
          <w:iCs/>
        </w:rPr>
        <w:t xml:space="preserve">, 136 S. Ct. 2271 (2016); </w:t>
      </w:r>
      <w:r w:rsidRPr="00FA09A9">
        <w:rPr>
          <w:i/>
        </w:rPr>
        <w:t>Hawaii</w:t>
      </w:r>
      <w:r w:rsidRPr="00FA09A9">
        <w:rPr>
          <w:iCs/>
        </w:rPr>
        <w:t xml:space="preserve">, 878 F.3d </w:t>
      </w:r>
      <w:r w:rsidR="00054286">
        <w:rPr>
          <w:iCs/>
        </w:rPr>
        <w:t xml:space="preserve">at </w:t>
      </w:r>
      <w:r w:rsidRPr="00FA09A9">
        <w:rPr>
          <w:iCs/>
        </w:rPr>
        <w:t xml:space="preserve">682 (per </w:t>
      </w:r>
      <w:proofErr w:type="spellStart"/>
      <w:r w:rsidRPr="00FA09A9">
        <w:rPr>
          <w:iCs/>
        </w:rPr>
        <w:t>curiam</w:t>
      </w:r>
      <w:proofErr w:type="spellEnd"/>
      <w:r w:rsidRPr="00FA09A9">
        <w:rPr>
          <w:iCs/>
        </w:rPr>
        <w:t xml:space="preserve">), </w:t>
      </w:r>
      <w:proofErr w:type="spellStart"/>
      <w:r w:rsidRPr="00FA09A9">
        <w:rPr>
          <w:i/>
        </w:rPr>
        <w:t>rev’d</w:t>
      </w:r>
      <w:proofErr w:type="spellEnd"/>
      <w:r w:rsidRPr="00FA09A9">
        <w:rPr>
          <w:iCs/>
        </w:rPr>
        <w:t xml:space="preserve">, 138 S. Ct. 2392 (2018); </w:t>
      </w:r>
      <w:r>
        <w:rPr>
          <w:i/>
        </w:rPr>
        <w:t xml:space="preserve">see also </w:t>
      </w:r>
      <w:r w:rsidRPr="00FA09A9">
        <w:t xml:space="preserve">Tara Leigh Grove, </w:t>
      </w:r>
      <w:r w:rsidRPr="00FA09A9">
        <w:rPr>
          <w:i/>
          <w:iCs/>
        </w:rPr>
        <w:t>When Can a State Sue the United States</w:t>
      </w:r>
      <w:r w:rsidRPr="00FA09A9">
        <w:t>, 101 Cornell L. Rev. 851, 854 &amp; nn.1-4 (2016)</w:t>
      </w:r>
      <w:r>
        <w:t xml:space="preserve">. </w:t>
      </w:r>
    </w:p>
  </w:footnote>
  <w:footnote w:id="324">
    <w:p w14:paraId="496AEF03" w14:textId="5A7C7B29" w:rsidR="00BD342E" w:rsidRDefault="00BD342E" w:rsidP="0067230F">
      <w:pPr>
        <w:pStyle w:val="FootnoteText"/>
        <w:jc w:val="both"/>
      </w:pPr>
      <w:r>
        <w:rPr>
          <w:rStyle w:val="FootnoteReference"/>
        </w:rPr>
        <w:footnoteRef/>
      </w:r>
      <w:r>
        <w:t xml:space="preserve"> </w:t>
      </w:r>
      <w:r w:rsidRPr="00E72E6E">
        <w:t xml:space="preserve">Bray, </w:t>
      </w:r>
      <w:r w:rsidRPr="00E72E6E">
        <w:rPr>
          <w:i/>
          <w:iCs/>
        </w:rPr>
        <w:t>supra</w:t>
      </w:r>
      <w:r w:rsidRPr="00E72E6E">
        <w:t xml:space="preserve">, </w:t>
      </w:r>
      <w:r w:rsidR="00294D6A">
        <w:t xml:space="preserve">at </w:t>
      </w:r>
      <w:r w:rsidRPr="00E72E6E">
        <w:t>445-457</w:t>
      </w:r>
      <w:r>
        <w:t>.</w:t>
      </w:r>
    </w:p>
  </w:footnote>
  <w:footnote w:id="325">
    <w:p w14:paraId="198003A5" w14:textId="4922370C" w:rsidR="00BD342E" w:rsidRDefault="00BD342E" w:rsidP="0067230F">
      <w:pPr>
        <w:pStyle w:val="FootnoteText"/>
        <w:jc w:val="both"/>
      </w:pPr>
      <w:r>
        <w:rPr>
          <w:rStyle w:val="FootnoteReference"/>
        </w:rPr>
        <w:footnoteRef/>
      </w:r>
      <w:r>
        <w:t xml:space="preserve"> </w:t>
      </w:r>
      <w:proofErr w:type="spellStart"/>
      <w:r w:rsidRPr="00E72E6E">
        <w:t>Ahdout</w:t>
      </w:r>
      <w:proofErr w:type="spellEnd"/>
      <w:r w:rsidRPr="00E72E6E">
        <w:t xml:space="preserve">, </w:t>
      </w:r>
      <w:r w:rsidRPr="00E72E6E">
        <w:rPr>
          <w:i/>
          <w:iCs/>
        </w:rPr>
        <w:t>supra</w:t>
      </w:r>
      <w:r w:rsidRPr="00E72E6E">
        <w:t xml:space="preserve">, </w:t>
      </w:r>
      <w:r w:rsidR="00294D6A">
        <w:t xml:space="preserve">at </w:t>
      </w:r>
      <w:r w:rsidRPr="00E72E6E">
        <w:t>948-956</w:t>
      </w:r>
      <w:r>
        <w:t xml:space="preserve">. </w:t>
      </w:r>
    </w:p>
  </w:footnote>
  <w:footnote w:id="326">
    <w:p w14:paraId="0F8192D0" w14:textId="5716259B" w:rsidR="00533C25" w:rsidRDefault="00533C25" w:rsidP="0067230F">
      <w:pPr>
        <w:pStyle w:val="FootnoteText"/>
        <w:jc w:val="both"/>
      </w:pPr>
      <w:r>
        <w:rPr>
          <w:rStyle w:val="FootnoteReference"/>
        </w:rPr>
        <w:footnoteRef/>
      </w:r>
      <w:r>
        <w:t xml:space="preserve"> </w:t>
      </w:r>
      <w:r w:rsidR="004C295F" w:rsidRPr="00E72E6E">
        <w:t xml:space="preserve">Nash, </w:t>
      </w:r>
      <w:r w:rsidR="004C295F" w:rsidRPr="00E72E6E">
        <w:rPr>
          <w:i/>
          <w:iCs/>
        </w:rPr>
        <w:t>supra</w:t>
      </w:r>
      <w:r w:rsidR="004C295F" w:rsidRPr="00E72E6E">
        <w:t xml:space="preserve">, </w:t>
      </w:r>
      <w:r w:rsidR="00294D6A">
        <w:t xml:space="preserve">at </w:t>
      </w:r>
      <w:r w:rsidR="004C295F" w:rsidRPr="00E72E6E">
        <w:t xml:space="preserve">1990-91; Huddleston, </w:t>
      </w:r>
      <w:r w:rsidR="004C295F" w:rsidRPr="00E72E6E">
        <w:rPr>
          <w:i/>
          <w:iCs/>
        </w:rPr>
        <w:t>supra</w:t>
      </w:r>
      <w:r w:rsidR="004C295F" w:rsidRPr="00E72E6E">
        <w:t xml:space="preserve">, </w:t>
      </w:r>
      <w:r w:rsidR="00294D6A">
        <w:t xml:space="preserve">at </w:t>
      </w:r>
      <w:r w:rsidR="004C295F" w:rsidRPr="00E72E6E">
        <w:t xml:space="preserve">248-49; Young, </w:t>
      </w:r>
      <w:r w:rsidR="004C295F" w:rsidRPr="00E72E6E">
        <w:rPr>
          <w:i/>
          <w:iCs/>
        </w:rPr>
        <w:t>supra</w:t>
      </w:r>
      <w:r w:rsidR="004C295F" w:rsidRPr="00E72E6E">
        <w:t xml:space="preserve">, </w:t>
      </w:r>
      <w:r w:rsidR="00294D6A">
        <w:t xml:space="preserve">at </w:t>
      </w:r>
      <w:r w:rsidR="004C295F" w:rsidRPr="00E72E6E">
        <w:t>880.</w:t>
      </w:r>
      <w:r w:rsidR="004C295F" w:rsidRPr="00E72E6E">
        <w:rPr>
          <w:i/>
          <w:iCs/>
        </w:rPr>
        <w:t xml:space="preserve"> </w:t>
      </w:r>
    </w:p>
  </w:footnote>
  <w:footnote w:id="327">
    <w:p w14:paraId="615BFF51" w14:textId="29F4E7D1" w:rsidR="00FE6CD6" w:rsidRDefault="00FE6CD6" w:rsidP="0067230F">
      <w:pPr>
        <w:pStyle w:val="FootnoteText"/>
        <w:jc w:val="both"/>
      </w:pPr>
      <w:r>
        <w:rPr>
          <w:rStyle w:val="FootnoteReference"/>
        </w:rPr>
        <w:footnoteRef/>
      </w:r>
      <w:r>
        <w:t xml:space="preserve"> </w:t>
      </w:r>
      <w:r w:rsidRPr="00AE40B5">
        <w:rPr>
          <w:i/>
          <w:iCs/>
        </w:rPr>
        <w:t>Stuart v. Huff</w:t>
      </w:r>
      <w:r w:rsidRPr="00D90031">
        <w:t>, 706 F.3d 345, 354 (4th Cir. 2013)</w:t>
      </w:r>
      <w:r w:rsidR="003E7FEC">
        <w:t xml:space="preserve">. </w:t>
      </w:r>
    </w:p>
  </w:footnote>
  <w:footnote w:id="328">
    <w:p w14:paraId="6A8B8203" w14:textId="7FF66105" w:rsidR="00FE6CD6" w:rsidRDefault="00FE6CD6" w:rsidP="0067230F">
      <w:pPr>
        <w:pStyle w:val="FootnoteText"/>
        <w:jc w:val="both"/>
      </w:pPr>
      <w:r>
        <w:rPr>
          <w:rStyle w:val="FootnoteReference"/>
        </w:rPr>
        <w:footnoteRef/>
      </w:r>
      <w:r>
        <w:t xml:space="preserve"> </w:t>
      </w:r>
      <w:r w:rsidR="003E7FEC" w:rsidRPr="003E7FEC">
        <w:rPr>
          <w:i/>
          <w:iCs/>
        </w:rPr>
        <w:t>Diamond</w:t>
      </w:r>
      <w:r w:rsidR="003E7FEC" w:rsidRPr="003E7FEC">
        <w:t xml:space="preserve">, 476 U.S. </w:t>
      </w:r>
      <w:r w:rsidR="00175B44">
        <w:t xml:space="preserve">at </w:t>
      </w:r>
      <w:r w:rsidR="003E7FEC" w:rsidRPr="003E7FEC">
        <w:t>65</w:t>
      </w:r>
      <w:r w:rsidR="003E7FEC">
        <w:t xml:space="preserve">; </w:t>
      </w:r>
      <w:r w:rsidR="003E7FEC" w:rsidRPr="003E7FEC">
        <w:t>Neal</w:t>
      </w:r>
      <w:r w:rsidR="003E7FEC">
        <w:t xml:space="preserve"> </w:t>
      </w:r>
      <w:proofErr w:type="spellStart"/>
      <w:r w:rsidR="003E7FEC">
        <w:t>Devins</w:t>
      </w:r>
      <w:proofErr w:type="spellEnd"/>
      <w:r w:rsidR="003E7FEC">
        <w:t xml:space="preserve"> &amp; </w:t>
      </w:r>
      <w:proofErr w:type="spellStart"/>
      <w:r w:rsidR="003E7FEC">
        <w:t>Saikrishna</w:t>
      </w:r>
      <w:proofErr w:type="spellEnd"/>
      <w:r w:rsidR="003E7FEC">
        <w:t xml:space="preserve"> Prakash, </w:t>
      </w:r>
      <w:r w:rsidR="003E7FEC">
        <w:rPr>
          <w:i/>
          <w:iCs/>
        </w:rPr>
        <w:t>The Indefensible Duty to Defend</w:t>
      </w:r>
      <w:r w:rsidR="003E7FEC">
        <w:t>, 112 Colum. L. Rev. 507, 575-76 (2012)</w:t>
      </w:r>
      <w:r w:rsidR="007B0E4B">
        <w:t xml:space="preserve">; Cristina M. Rodriguez, </w:t>
      </w:r>
      <w:r w:rsidR="007B0E4B">
        <w:rPr>
          <w:i/>
          <w:iCs/>
        </w:rPr>
        <w:t>Regime Change</w:t>
      </w:r>
      <w:r w:rsidR="007B0E4B">
        <w:t>, 135 Harv. L. Rev. 1, 19 (2021)</w:t>
      </w:r>
      <w:r w:rsidR="003E7FEC">
        <w:t xml:space="preserve">. </w:t>
      </w:r>
    </w:p>
  </w:footnote>
  <w:footnote w:id="329">
    <w:p w14:paraId="0DA1E12A" w14:textId="1D400F2E" w:rsidR="001253D4" w:rsidRPr="001253D4" w:rsidRDefault="001253D4" w:rsidP="0067230F">
      <w:pPr>
        <w:pStyle w:val="FootnoteText"/>
        <w:jc w:val="both"/>
      </w:pPr>
      <w:r>
        <w:rPr>
          <w:rStyle w:val="FootnoteReference"/>
        </w:rPr>
        <w:footnoteRef/>
      </w:r>
      <w:r>
        <w:t xml:space="preserve"> For an example outside the nationwide</w:t>
      </w:r>
      <w:r w:rsidR="00E06FE2">
        <w:t>-</w:t>
      </w:r>
      <w:r>
        <w:t xml:space="preserve">injunction context, </w:t>
      </w:r>
      <w:r>
        <w:rPr>
          <w:i/>
          <w:iCs/>
        </w:rPr>
        <w:t>see Perry v. Proposition 8 Official Proponents</w:t>
      </w:r>
      <w:r>
        <w:t xml:space="preserve">, 587 F.3d 947 </w:t>
      </w:r>
      <w:r w:rsidR="00E06FE2">
        <w:t xml:space="preserve">(9th Cir. </w:t>
      </w:r>
      <w:r>
        <w:t>2009) (rejecting intervention by one group of support</w:t>
      </w:r>
      <w:r w:rsidR="00066988">
        <w:t>er</w:t>
      </w:r>
      <w:r>
        <w:t xml:space="preserve">s, the Campaign for California Families, </w:t>
      </w:r>
      <w:r w:rsidR="00E06FE2">
        <w:t>as</w:t>
      </w:r>
      <w:r>
        <w:t xml:space="preserve"> it was adequately represented by </w:t>
      </w:r>
      <w:r w:rsidR="00C60166">
        <w:t>another group of supporters that the court allow</w:t>
      </w:r>
      <w:r w:rsidR="00066988">
        <w:t>ed</w:t>
      </w:r>
      <w:r w:rsidR="00C60166">
        <w:t xml:space="preserve"> to intervene</w:t>
      </w:r>
      <w:r>
        <w:t xml:space="preserve">). </w:t>
      </w:r>
    </w:p>
  </w:footnote>
  <w:footnote w:id="330">
    <w:p w14:paraId="042A23AA" w14:textId="77777777" w:rsidR="00214493" w:rsidRDefault="008D357E" w:rsidP="0067230F">
      <w:pPr>
        <w:pStyle w:val="FootnoteText"/>
        <w:jc w:val="both"/>
      </w:pPr>
      <w:r>
        <w:rPr>
          <w:rStyle w:val="FootnoteReference"/>
        </w:rPr>
        <w:footnoteRef/>
      </w:r>
      <w:r>
        <w:t xml:space="preserve"> </w:t>
      </w:r>
      <w:r w:rsidR="00214493">
        <w:t xml:space="preserve">For insight into whether textualism does or should apply to interpret the federal rules, </w:t>
      </w:r>
      <w:r w:rsidR="00214493">
        <w:rPr>
          <w:i/>
          <w:iCs/>
        </w:rPr>
        <w:t xml:space="preserve">see </w:t>
      </w:r>
      <w:r w:rsidR="00214493">
        <w:t xml:space="preserve">Lumen N. Mulligan &amp; Glen </w:t>
      </w:r>
      <w:proofErr w:type="spellStart"/>
      <w:r w:rsidR="00214493">
        <w:t>Staszewski</w:t>
      </w:r>
      <w:proofErr w:type="spellEnd"/>
      <w:r w:rsidR="00214493">
        <w:t xml:space="preserve">, </w:t>
      </w:r>
      <w:r w:rsidR="00214493">
        <w:rPr>
          <w:i/>
          <w:iCs/>
        </w:rPr>
        <w:t>Civil Rules Interpretive Theory</w:t>
      </w:r>
      <w:r w:rsidR="00214493">
        <w:t>, 101 Minn. L. Rev. 2167 (2017);</w:t>
      </w:r>
      <w:r w:rsidR="00214493">
        <w:rPr>
          <w:i/>
          <w:iCs/>
        </w:rPr>
        <w:t xml:space="preserve"> </w:t>
      </w:r>
      <w:r w:rsidR="00214493">
        <w:t xml:space="preserve">Elizabeth G. Porter, </w:t>
      </w:r>
      <w:r w:rsidR="00214493">
        <w:rPr>
          <w:i/>
          <w:iCs/>
        </w:rPr>
        <w:t>Pragmatism Rules</w:t>
      </w:r>
      <w:r w:rsidR="00214493">
        <w:t>, 101 Cornell L. Rev. 123 (2015);</w:t>
      </w:r>
      <w:r w:rsidR="00214493">
        <w:rPr>
          <w:i/>
          <w:iCs/>
        </w:rPr>
        <w:t xml:space="preserve"> </w:t>
      </w:r>
      <w:r w:rsidR="00214493" w:rsidRPr="00214493">
        <w:t xml:space="preserve">David Marcus, </w:t>
      </w:r>
      <w:proofErr w:type="gramStart"/>
      <w:r w:rsidR="00214493" w:rsidRPr="00214493">
        <w:rPr>
          <w:i/>
          <w:iCs/>
        </w:rPr>
        <w:t>Institutions</w:t>
      </w:r>
      <w:proofErr w:type="gramEnd"/>
      <w:r w:rsidR="00214493" w:rsidRPr="00214493">
        <w:rPr>
          <w:i/>
          <w:iCs/>
        </w:rPr>
        <w:t xml:space="preserve"> and an Interpretive Methodology for the Federal Rules of Civil Procedure</w:t>
      </w:r>
      <w:r w:rsidR="00214493" w:rsidRPr="00214493">
        <w:t>, 2011 U</w:t>
      </w:r>
      <w:r w:rsidR="00214493">
        <w:t>tah</w:t>
      </w:r>
      <w:r w:rsidR="00214493" w:rsidRPr="00214493">
        <w:t xml:space="preserve"> L. R</w:t>
      </w:r>
      <w:r w:rsidR="00214493">
        <w:t>ev</w:t>
      </w:r>
      <w:r w:rsidR="00214493" w:rsidRPr="00214493">
        <w:t>. 927 (2011)</w:t>
      </w:r>
      <w:r w:rsidR="004312DD">
        <w:t xml:space="preserve">. </w:t>
      </w:r>
    </w:p>
    <w:p w14:paraId="57D3EDAD" w14:textId="25EA32D9" w:rsidR="00AA3662" w:rsidRPr="001F121B" w:rsidRDefault="004312DD" w:rsidP="0067230F">
      <w:pPr>
        <w:pStyle w:val="FootnoteText"/>
        <w:ind w:firstLine="360"/>
        <w:jc w:val="both"/>
      </w:pPr>
      <w:r>
        <w:t xml:space="preserve">A related objection is whether courts should still apply the exceptions that allow intervenors to overcome this presumption, in cases of collusion, malfeasance, or nonfeasance. </w:t>
      </w:r>
      <w:r w:rsidR="000D60A4">
        <w:rPr>
          <w:i/>
          <w:iCs/>
        </w:rPr>
        <w:t xml:space="preserve">See, e.g. </w:t>
      </w:r>
      <w:r w:rsidR="000D60A4" w:rsidRPr="00E93ED5">
        <w:rPr>
          <w:i/>
          <w:iCs/>
        </w:rPr>
        <w:t>Stuart</w:t>
      </w:r>
      <w:r w:rsidR="000D60A4">
        <w:t xml:space="preserve">, 706 F.3d </w:t>
      </w:r>
      <w:r w:rsidR="00175B44">
        <w:t xml:space="preserve">at </w:t>
      </w:r>
      <w:r w:rsidR="000D60A4">
        <w:t xml:space="preserve">350; </w:t>
      </w:r>
      <w:r w:rsidR="000D60A4" w:rsidRPr="00C77422">
        <w:rPr>
          <w:i/>
          <w:iCs/>
        </w:rPr>
        <w:t>Daggett</w:t>
      </w:r>
      <w:r w:rsidR="000D60A4">
        <w:t xml:space="preserve">, 172 F.3d </w:t>
      </w:r>
      <w:r w:rsidR="00214493">
        <w:t xml:space="preserve">at </w:t>
      </w:r>
      <w:r w:rsidR="000D60A4">
        <w:t xml:space="preserve">111; </w:t>
      </w:r>
      <w:r w:rsidR="000D60A4" w:rsidRPr="00AD2CC2">
        <w:rPr>
          <w:i/>
          <w:iCs/>
        </w:rPr>
        <w:t xml:space="preserve">Kneeland v. </w:t>
      </w:r>
      <w:proofErr w:type="spellStart"/>
      <w:r w:rsidR="000D60A4" w:rsidRPr="00AD2CC2">
        <w:rPr>
          <w:i/>
          <w:iCs/>
        </w:rPr>
        <w:t>Nat’l</w:t>
      </w:r>
      <w:proofErr w:type="spellEnd"/>
      <w:r w:rsidR="000D60A4" w:rsidRPr="00AD2CC2">
        <w:rPr>
          <w:i/>
          <w:iCs/>
        </w:rPr>
        <w:t xml:space="preserve"> Collegiate Athletic </w:t>
      </w:r>
      <w:proofErr w:type="spellStart"/>
      <w:r w:rsidR="000D60A4" w:rsidRPr="00AD2CC2">
        <w:rPr>
          <w:i/>
          <w:iCs/>
        </w:rPr>
        <w:t>Ass’n</w:t>
      </w:r>
      <w:proofErr w:type="spellEnd"/>
      <w:r w:rsidR="000D60A4">
        <w:t>, 806 F.2d 1285, 1288 (5th Cir. 1987). It is important to differentiate malfeasance—when the government has intentionally engaged in misconduct—</w:t>
      </w:r>
      <w:r w:rsidR="00C60A15">
        <w:t xml:space="preserve">from </w:t>
      </w:r>
      <w:r w:rsidR="000D60A4">
        <w:t>nonfeasance—when the government has chosen not to do something</w:t>
      </w:r>
      <w:r w:rsidR="00C60A15">
        <w:t>. T</w:t>
      </w:r>
      <w:r w:rsidR="000D60A4">
        <w:t xml:space="preserve">his section argues </w:t>
      </w:r>
      <w:r w:rsidR="00C60A15">
        <w:t xml:space="preserve">that nonfeasance does </w:t>
      </w:r>
      <w:r w:rsidR="000D60A4">
        <w:t>not justify intervention. What’s more, t</w:t>
      </w:r>
      <w:r w:rsidR="007305C0">
        <w:t>o the extent that th</w:t>
      </w:r>
      <w:r w:rsidR="004C0484">
        <w:t>ese</w:t>
      </w:r>
      <w:r w:rsidR="007305C0">
        <w:t xml:space="preserve"> exceptions </w:t>
      </w:r>
      <w:r w:rsidR="00D2537A">
        <w:t xml:space="preserve">merely </w:t>
      </w:r>
      <w:r w:rsidR="007305C0">
        <w:t xml:space="preserve">allow outsiders to restyle the same </w:t>
      </w:r>
      <w:r w:rsidR="007A65D3">
        <w:t xml:space="preserve">problematic </w:t>
      </w:r>
      <w:r w:rsidR="007305C0">
        <w:t>arguments to overcome the presumption—for example, by arguing that the government is colluding</w:t>
      </w:r>
      <w:r w:rsidR="007A65D3">
        <w:t xml:space="preserve"> with the plaintiffs</w:t>
      </w:r>
      <w:r w:rsidR="007305C0">
        <w:t xml:space="preserve"> or committing malfeasance by declining to appeal an injunction against a disfavored policy—</w:t>
      </w:r>
      <w:r w:rsidR="00D2537A">
        <w:t>those arguments</w:t>
      </w:r>
      <w:r w:rsidR="004C0484">
        <w:t xml:space="preserve"> should be rejected. </w:t>
      </w:r>
      <w:r w:rsidR="00FA4AE8">
        <w:rPr>
          <w:i/>
          <w:iCs/>
        </w:rPr>
        <w:t>See</w:t>
      </w:r>
      <w:r w:rsidR="00C60A15">
        <w:rPr>
          <w:i/>
          <w:iCs/>
        </w:rPr>
        <w:t xml:space="preserve"> </w:t>
      </w:r>
      <w:r w:rsidR="00FA4AE8" w:rsidRPr="00FA4AE8">
        <w:rPr>
          <w:i/>
          <w:iCs/>
        </w:rPr>
        <w:t>Stuart</w:t>
      </w:r>
      <w:r w:rsidR="00FA4AE8" w:rsidRPr="00FA4AE8">
        <w:t xml:space="preserve">, 706 F.3d </w:t>
      </w:r>
      <w:r w:rsidR="000D60A4">
        <w:t xml:space="preserve">at </w:t>
      </w:r>
      <w:r w:rsidR="00FA4AE8" w:rsidRPr="00FA4AE8">
        <w:t>354</w:t>
      </w:r>
      <w:r w:rsidR="00FA4AE8">
        <w:t xml:space="preserve">. </w:t>
      </w:r>
    </w:p>
  </w:footnote>
  <w:footnote w:id="331">
    <w:p w14:paraId="09A5304B" w14:textId="3D944216" w:rsidR="00882B25" w:rsidRDefault="00882B25" w:rsidP="0067230F">
      <w:pPr>
        <w:pStyle w:val="FootnoteText"/>
        <w:jc w:val="both"/>
      </w:pPr>
      <w:r>
        <w:rPr>
          <w:rStyle w:val="FootnoteReference"/>
        </w:rPr>
        <w:footnoteRef/>
      </w:r>
      <w:r>
        <w:t xml:space="preserve"> </w:t>
      </w:r>
      <w:r w:rsidR="006A7833">
        <w:rPr>
          <w:i/>
          <w:iCs/>
        </w:rPr>
        <w:t xml:space="preserve">See </w:t>
      </w:r>
      <w:r w:rsidR="006A7833">
        <w:t xml:space="preserve">Alexandra Lahav, In Praise of Litigation 73 (2017). </w:t>
      </w:r>
    </w:p>
  </w:footnote>
  <w:footnote w:id="332">
    <w:p w14:paraId="7EC46D01" w14:textId="021379D2" w:rsidR="006D23FC" w:rsidRPr="00E72E6E" w:rsidRDefault="006D23FC" w:rsidP="0067230F">
      <w:pPr>
        <w:pStyle w:val="FootnoteText"/>
        <w:jc w:val="both"/>
      </w:pPr>
      <w:r w:rsidRPr="00E72E6E">
        <w:rPr>
          <w:rStyle w:val="FootnoteReference"/>
        </w:rPr>
        <w:footnoteRef/>
      </w:r>
      <w:r w:rsidRPr="00E72E6E">
        <w:t xml:space="preserve"> 570 U.S. 693, 713 (2013). </w:t>
      </w:r>
    </w:p>
  </w:footnote>
  <w:footnote w:id="333">
    <w:p w14:paraId="1D8A1FA3" w14:textId="27B59069" w:rsidR="007F673E" w:rsidRPr="006D23FC" w:rsidRDefault="007F673E" w:rsidP="0067230F">
      <w:pPr>
        <w:pStyle w:val="FootnoteText"/>
        <w:jc w:val="both"/>
      </w:pPr>
      <w:r>
        <w:rPr>
          <w:rStyle w:val="FootnoteReference"/>
        </w:rPr>
        <w:footnoteRef/>
      </w:r>
      <w:r>
        <w:t xml:space="preserve"> </w:t>
      </w:r>
      <w:r>
        <w:rPr>
          <w:i/>
          <w:iCs/>
        </w:rPr>
        <w:t>See</w:t>
      </w:r>
      <w:r>
        <w:t xml:space="preserve">, </w:t>
      </w:r>
      <w:r>
        <w:rPr>
          <w:i/>
          <w:iCs/>
        </w:rPr>
        <w:t>e.g.</w:t>
      </w:r>
      <w:r>
        <w:t xml:space="preserve">, </w:t>
      </w:r>
      <w:r w:rsidRPr="007F673E">
        <w:t xml:space="preserve">Karl Manheim, John S. </w:t>
      </w:r>
      <w:proofErr w:type="spellStart"/>
      <w:r w:rsidRPr="007F673E">
        <w:t>Caragozian</w:t>
      </w:r>
      <w:proofErr w:type="spellEnd"/>
      <w:r w:rsidRPr="007F673E">
        <w:t xml:space="preserve"> &amp; Donald Warner, </w:t>
      </w:r>
      <w:r w:rsidRPr="007F673E">
        <w:rPr>
          <w:i/>
          <w:iCs/>
        </w:rPr>
        <w:t>Fixing Hollingsworth: Standing in Initiative Cases</w:t>
      </w:r>
      <w:r w:rsidRPr="007F673E">
        <w:t>, 48 L</w:t>
      </w:r>
      <w:r>
        <w:t>oy</w:t>
      </w:r>
      <w:r w:rsidRPr="007F673E">
        <w:t>. L. A. L. R</w:t>
      </w:r>
      <w:r>
        <w:t>ev</w:t>
      </w:r>
      <w:r w:rsidRPr="007F673E">
        <w:t>. 1069</w:t>
      </w:r>
      <w:r>
        <w:t>,</w:t>
      </w:r>
      <w:r w:rsidRPr="007F673E">
        <w:t xml:space="preserve"> </w:t>
      </w:r>
      <w:r>
        <w:t xml:space="preserve">1072 </w:t>
      </w:r>
      <w:r w:rsidRPr="007F673E">
        <w:t>(2015)</w:t>
      </w:r>
      <w:r w:rsidR="00A43D1D">
        <w:t xml:space="preserve">. </w:t>
      </w:r>
      <w:r w:rsidR="006D23FC">
        <w:t xml:space="preserve">For information about the intervenors, </w:t>
      </w:r>
      <w:r w:rsidR="006D23FC">
        <w:rPr>
          <w:i/>
          <w:iCs/>
        </w:rPr>
        <w:t>see</w:t>
      </w:r>
      <w:r w:rsidR="006D23FC">
        <w:t xml:space="preserve"> </w:t>
      </w:r>
      <w:r w:rsidR="006D23FC" w:rsidRPr="00E72E6E">
        <w:rPr>
          <w:i/>
          <w:iCs/>
        </w:rPr>
        <w:t>Perry v. Schwarzenegger</w:t>
      </w:r>
      <w:r w:rsidR="006D23FC" w:rsidRPr="00E72E6E">
        <w:t xml:space="preserve">, 704 F. Supp. 2d 921, 928 (N.D. Cal. 2010), </w:t>
      </w:r>
      <w:r w:rsidR="006D23FC" w:rsidRPr="00E72E6E">
        <w:rPr>
          <w:i/>
          <w:iCs/>
        </w:rPr>
        <w:t>aff</w:t>
      </w:r>
      <w:r w:rsidR="001D6B33">
        <w:rPr>
          <w:i/>
          <w:iCs/>
        </w:rPr>
        <w:t>’</w:t>
      </w:r>
      <w:r w:rsidR="006D23FC" w:rsidRPr="00E72E6E">
        <w:rPr>
          <w:i/>
          <w:iCs/>
        </w:rPr>
        <w:t>d sub nom. Perry v. Brown</w:t>
      </w:r>
      <w:r w:rsidR="006D23FC" w:rsidRPr="00E72E6E">
        <w:t>, 671 F.3d 1052 (9th Cir. 2012)</w:t>
      </w:r>
      <w:r w:rsidR="006C74DC">
        <w:t xml:space="preserve"> </w:t>
      </w:r>
      <w:r w:rsidR="006D23FC" w:rsidRPr="00E72E6E">
        <w:t>(describing intervention by Proposition 8 supporters).</w:t>
      </w:r>
    </w:p>
  </w:footnote>
  <w:footnote w:id="334">
    <w:p w14:paraId="19C056DB" w14:textId="29EEF9EB" w:rsidR="0061138F" w:rsidRDefault="0061138F" w:rsidP="0067230F">
      <w:pPr>
        <w:pStyle w:val="FootnoteText"/>
        <w:jc w:val="both"/>
      </w:pPr>
      <w:r>
        <w:rPr>
          <w:rStyle w:val="FootnoteReference"/>
        </w:rPr>
        <w:footnoteRef/>
      </w:r>
      <w:r>
        <w:t xml:space="preserve"> </w:t>
      </w:r>
      <w:r w:rsidR="00330FCD">
        <w:t>Reply Brief</w:t>
      </w:r>
      <w:r w:rsidR="007129CB">
        <w:t xml:space="preserve"> at 19</w:t>
      </w:r>
      <w:r w:rsidR="00330FCD">
        <w:t xml:space="preserve">, </w:t>
      </w:r>
      <w:r w:rsidR="00330FCD">
        <w:rPr>
          <w:i/>
          <w:iCs/>
        </w:rPr>
        <w:t>Arizona</w:t>
      </w:r>
      <w:r w:rsidR="00330FCD">
        <w:t xml:space="preserve">, </w:t>
      </w:r>
      <w:r w:rsidR="007129CB">
        <w:t>143 S. Ct. 1312</w:t>
      </w:r>
      <w:r w:rsidR="00330FCD">
        <w:t>;</w:t>
      </w:r>
      <w:r w:rsidR="00330FCD">
        <w:rPr>
          <w:i/>
          <w:iCs/>
        </w:rPr>
        <w:t xml:space="preserve"> </w:t>
      </w:r>
      <w:r>
        <w:rPr>
          <w:i/>
          <w:iCs/>
        </w:rPr>
        <w:t>See</w:t>
      </w:r>
      <w:r w:rsidR="00330FCD">
        <w:rPr>
          <w:i/>
          <w:iCs/>
        </w:rPr>
        <w:t xml:space="preserve"> also</w:t>
      </w:r>
      <w:r>
        <w:t>,</w:t>
      </w:r>
      <w:r>
        <w:rPr>
          <w:i/>
          <w:iCs/>
        </w:rPr>
        <w:t xml:space="preserve"> </w:t>
      </w:r>
      <w:r>
        <w:t xml:space="preserve">Motion to Reconsider Motion to Intervene of the States of California, New York, and Oregon at 4, </w:t>
      </w:r>
      <w:r>
        <w:rPr>
          <w:i/>
          <w:iCs/>
        </w:rPr>
        <w:t>Chamber of Commerce of the United States</w:t>
      </w:r>
      <w:r>
        <w:t xml:space="preserve">, </w:t>
      </w:r>
      <w:r w:rsidR="007129CB" w:rsidRPr="00E72E6E">
        <w:t>885 F.3d 360</w:t>
      </w:r>
      <w:r w:rsidR="003224D1">
        <w:t xml:space="preserve">; </w:t>
      </w:r>
      <w:r>
        <w:t xml:space="preserve">Brief of Amici Curiae States of Ohio, Alaska, Kentucky, and Nebraska in Support of Petitioners, </w:t>
      </w:r>
      <w:r>
        <w:rPr>
          <w:i/>
          <w:iCs/>
        </w:rPr>
        <w:t>Arizona</w:t>
      </w:r>
      <w:r w:rsidRPr="00BC685F">
        <w:t>,</w:t>
      </w:r>
      <w:r>
        <w:rPr>
          <w:i/>
          <w:iCs/>
        </w:rPr>
        <w:t xml:space="preserve"> </w:t>
      </w:r>
      <w:r w:rsidRPr="00E86124">
        <w:t>2021 WL 6124827</w:t>
      </w:r>
      <w:r>
        <w:t xml:space="preserve">. </w:t>
      </w:r>
    </w:p>
  </w:footnote>
  <w:footnote w:id="335">
    <w:p w14:paraId="1C2DCB25" w14:textId="4ECB4ECE" w:rsidR="00B65844" w:rsidRPr="001A2E16" w:rsidRDefault="00B65844" w:rsidP="0067230F">
      <w:pPr>
        <w:pStyle w:val="FootnoteText"/>
        <w:jc w:val="both"/>
      </w:pPr>
      <w:r>
        <w:rPr>
          <w:rStyle w:val="FootnoteReference"/>
        </w:rPr>
        <w:footnoteRef/>
      </w:r>
      <w:r>
        <w:t xml:space="preserve"> </w:t>
      </w:r>
      <w:r w:rsidR="001A2E16">
        <w:rPr>
          <w:i/>
          <w:iCs/>
        </w:rPr>
        <w:t>Berger</w:t>
      </w:r>
      <w:r w:rsidR="001A2E16">
        <w:t>, 142 S. Ct. at 2197.</w:t>
      </w:r>
    </w:p>
  </w:footnote>
  <w:footnote w:id="336">
    <w:p w14:paraId="1FEAE3AF" w14:textId="7AFDDD86" w:rsidR="0090587D" w:rsidRDefault="0090587D" w:rsidP="0067230F">
      <w:pPr>
        <w:pStyle w:val="FootnoteText"/>
        <w:jc w:val="both"/>
      </w:pPr>
      <w:r>
        <w:rPr>
          <w:rStyle w:val="FootnoteReference"/>
        </w:rPr>
        <w:footnoteRef/>
      </w:r>
      <w:r>
        <w:t xml:space="preserve"> The Supreme Court has recognized that Congress “is the proper party to defend the validity of a statute when an agency of government, as a defendant charged with enforcing the statute, agrees with the plaintiffs that the statute is inapplicable or unconstitutional.” </w:t>
      </w:r>
      <w:r w:rsidRPr="00CD4339">
        <w:rPr>
          <w:i/>
          <w:iCs/>
        </w:rPr>
        <w:t>I.N.S. v. Chadha</w:t>
      </w:r>
      <w:r>
        <w:t xml:space="preserve">, 462 U.S. 919, 940 (1983); </w:t>
      </w:r>
      <w:r>
        <w:rPr>
          <w:i/>
          <w:iCs/>
        </w:rPr>
        <w:t xml:space="preserve">see also </w:t>
      </w:r>
      <w:r w:rsidRPr="0090587D">
        <w:rPr>
          <w:i/>
          <w:iCs/>
        </w:rPr>
        <w:t>United States v. Lovett</w:t>
      </w:r>
      <w:r w:rsidRPr="0090587D">
        <w:t>, 328 U.S. 303, 306 (1946)</w:t>
      </w:r>
      <w:r>
        <w:t>.</w:t>
      </w:r>
    </w:p>
  </w:footnote>
  <w:footnote w:id="337">
    <w:p w14:paraId="52270D01" w14:textId="382F3090" w:rsidR="007E185B" w:rsidRDefault="00847CA4" w:rsidP="00551C63">
      <w:pPr>
        <w:pStyle w:val="FootnoteText"/>
        <w:jc w:val="both"/>
      </w:pPr>
      <w:r>
        <w:rPr>
          <w:rStyle w:val="FootnoteReference"/>
        </w:rPr>
        <w:footnoteRef/>
      </w:r>
      <w:r>
        <w:t xml:space="preserve"> </w:t>
      </w:r>
      <w:r w:rsidRPr="00847CA4">
        <w:rPr>
          <w:i/>
          <w:iCs/>
        </w:rPr>
        <w:t>Windsor v. United States</w:t>
      </w:r>
      <w:r>
        <w:t xml:space="preserve">, 797 F. Supp. 2d 320, 324 (S.D.N.Y. 2011). The district court also cited to other cases where </w:t>
      </w:r>
      <w:r w:rsidR="00551C63">
        <w:t xml:space="preserve">courts </w:t>
      </w:r>
      <w:r>
        <w:t xml:space="preserve">“permitted Congress to intervene as a fully party … where the Executive Branch decline[d] to enforce a statute that is alleged to be unconstitutional, although they have often neglected to explain their rationale for doing so.” </w:t>
      </w:r>
      <w:r>
        <w:rPr>
          <w:i/>
          <w:iCs/>
        </w:rPr>
        <w:t>Id.</w:t>
      </w:r>
      <w:r>
        <w:t xml:space="preserve"> </w:t>
      </w:r>
    </w:p>
  </w:footnote>
  <w:footnote w:id="338">
    <w:p w14:paraId="7A1B0775" w14:textId="19140BFC" w:rsidR="009B657A" w:rsidRPr="0074450E" w:rsidRDefault="009B657A" w:rsidP="0067230F">
      <w:pPr>
        <w:pStyle w:val="FootnoteText"/>
        <w:jc w:val="both"/>
      </w:pPr>
      <w:r>
        <w:rPr>
          <w:rStyle w:val="FootnoteReference"/>
        </w:rPr>
        <w:footnoteRef/>
      </w:r>
      <w:r>
        <w:t xml:space="preserve"> </w:t>
      </w:r>
      <w:r w:rsidR="00D13FCF">
        <w:rPr>
          <w:i/>
          <w:iCs/>
        </w:rPr>
        <w:t>See, e.g.</w:t>
      </w:r>
      <w:r w:rsidR="00D13FCF" w:rsidRPr="00D13FCF">
        <w:t xml:space="preserve">, </w:t>
      </w:r>
      <w:r w:rsidR="00BD2A1F">
        <w:t xml:space="preserve">Elizabeth Earle </w:t>
      </w:r>
      <w:proofErr w:type="spellStart"/>
      <w:r w:rsidR="00BD2A1F">
        <w:t>Beske</w:t>
      </w:r>
      <w:proofErr w:type="spellEnd"/>
      <w:r w:rsidR="00BD2A1F">
        <w:t xml:space="preserve">, </w:t>
      </w:r>
      <w:r w:rsidR="00BD2A1F">
        <w:rPr>
          <w:i/>
          <w:iCs/>
        </w:rPr>
        <w:t>Litigating the Separation of Powers</w:t>
      </w:r>
      <w:r w:rsidR="00BD2A1F">
        <w:t xml:space="preserve">, </w:t>
      </w:r>
      <w:r w:rsidR="00BD2A1F" w:rsidRPr="00BD2A1F">
        <w:t>73 A</w:t>
      </w:r>
      <w:r w:rsidR="00BD2A1F">
        <w:t>la</w:t>
      </w:r>
      <w:r w:rsidR="00BD2A1F" w:rsidRPr="00BD2A1F">
        <w:t>. L. R</w:t>
      </w:r>
      <w:r w:rsidR="00BD2A1F">
        <w:t>ev</w:t>
      </w:r>
      <w:r w:rsidR="00BD2A1F" w:rsidRPr="00BD2A1F">
        <w:t>. 823</w:t>
      </w:r>
      <w:r w:rsidR="00BD2A1F">
        <w:t>, 868-76</w:t>
      </w:r>
      <w:r w:rsidR="00BD2A1F" w:rsidRPr="00BD2A1F">
        <w:t xml:space="preserve"> (2022)</w:t>
      </w:r>
      <w:r w:rsidR="00BD2A1F">
        <w:t xml:space="preserve">; </w:t>
      </w:r>
      <w:r w:rsidR="0074450E">
        <w:t xml:space="preserve">Tara Leigh Grove, </w:t>
      </w:r>
      <w:r w:rsidR="0074450E">
        <w:rPr>
          <w:i/>
          <w:iCs/>
        </w:rPr>
        <w:t>Government Standing and the Fallacy of Institutional Injury</w:t>
      </w:r>
      <w:r w:rsidR="0074450E">
        <w:t>, 167 U. Pa. L. Rev. 611 (2019);</w:t>
      </w:r>
      <w:r w:rsidR="0074450E">
        <w:rPr>
          <w:i/>
          <w:iCs/>
        </w:rPr>
        <w:t xml:space="preserve"> </w:t>
      </w:r>
      <w:r w:rsidR="00BD2A1F">
        <w:t xml:space="preserve">Vicki C. Jackson, </w:t>
      </w:r>
      <w:r w:rsidR="00BD2A1F">
        <w:rPr>
          <w:i/>
          <w:iCs/>
        </w:rPr>
        <w:t>Congressional Standing to Sue: The Role of Courts and Congress in the U.S. Constitutional Democracy</w:t>
      </w:r>
      <w:r w:rsidR="00BD2A1F">
        <w:t xml:space="preserve">, 93 Ind. L.J. 845, 876-85, 893 (2018); </w:t>
      </w:r>
      <w:r w:rsidR="00D13FCF" w:rsidRPr="00D13FCF">
        <w:t xml:space="preserve">Matthew I. Hall, </w:t>
      </w:r>
      <w:r w:rsidR="00D13FCF" w:rsidRPr="00D13FCF">
        <w:rPr>
          <w:i/>
          <w:iCs/>
        </w:rPr>
        <w:t>Making Sense of Legislative Standing</w:t>
      </w:r>
      <w:r w:rsidR="00D13FCF" w:rsidRPr="00D13FCF">
        <w:t>, 90 S. C</w:t>
      </w:r>
      <w:r w:rsidR="00D13FCF">
        <w:t>al</w:t>
      </w:r>
      <w:r w:rsidR="00D13FCF" w:rsidRPr="00D13FCF">
        <w:t>. L. R</w:t>
      </w:r>
      <w:r w:rsidR="00D13FCF">
        <w:t>ev</w:t>
      </w:r>
      <w:r w:rsidR="00D13FCF" w:rsidRPr="00D13FCF">
        <w:t>. 1 (2016)</w:t>
      </w:r>
      <w:r w:rsidR="0074450E">
        <w:t xml:space="preserve">; Jonathan Remy Nash, </w:t>
      </w:r>
      <w:r w:rsidR="0074450E">
        <w:rPr>
          <w:i/>
          <w:iCs/>
        </w:rPr>
        <w:t>A Functional Theory of Congressional Standing</w:t>
      </w:r>
      <w:r w:rsidR="0074450E">
        <w:t>, 114 Mich. L. Rev. 339, 343-44 (2015);</w:t>
      </w:r>
      <w:r w:rsidR="0074450E">
        <w:rPr>
          <w:i/>
          <w:iCs/>
        </w:rPr>
        <w:t xml:space="preserve"> </w:t>
      </w:r>
      <w:r w:rsidR="0074450E">
        <w:t xml:space="preserve">Jamal Greene, </w:t>
      </w:r>
      <w:r w:rsidR="0074450E">
        <w:rPr>
          <w:i/>
          <w:iCs/>
        </w:rPr>
        <w:t>The Supreme Court as a Constitutional Court</w:t>
      </w:r>
      <w:r w:rsidR="0074450E">
        <w:t xml:space="preserve">, 128 Harv. L. Rev. 124, 128 (2014); Aziz Z. Huq, </w:t>
      </w:r>
      <w:r w:rsidR="0074450E">
        <w:rPr>
          <w:i/>
          <w:iCs/>
        </w:rPr>
        <w:t>Standing for the Structural Constitution</w:t>
      </w:r>
      <w:r w:rsidR="0074450E">
        <w:t>, 99 Va. L. Rev. 1435, 1440 n.16, 1514-15 (2013)</w:t>
      </w:r>
      <w:r w:rsidR="00BD2A1F">
        <w:t>.</w:t>
      </w:r>
    </w:p>
  </w:footnote>
  <w:footnote w:id="339">
    <w:p w14:paraId="23312D18" w14:textId="07ACC2EA" w:rsidR="000E570F" w:rsidRPr="00B65A1F" w:rsidRDefault="000E570F" w:rsidP="0067230F">
      <w:pPr>
        <w:pStyle w:val="FootnoteText"/>
        <w:jc w:val="both"/>
      </w:pPr>
      <w:r>
        <w:rPr>
          <w:rStyle w:val="FootnoteReference"/>
        </w:rPr>
        <w:footnoteRef/>
      </w:r>
      <w:r>
        <w:t xml:space="preserve"> For instance, the Solicitor General argued in </w:t>
      </w:r>
      <w:r>
        <w:rPr>
          <w:i/>
          <w:iCs/>
        </w:rPr>
        <w:t>Windsor</w:t>
      </w:r>
      <w:r>
        <w:t xml:space="preserve"> that BLAG </w:t>
      </w:r>
      <w:r w:rsidR="00B65A1F">
        <w:t xml:space="preserve">could not represent the interests of the United States and </w:t>
      </w:r>
      <w:r>
        <w:t xml:space="preserve">did not have standing because it was not authorized to litigate on behalf of the full House until a vote that occurred after the appeal. </w:t>
      </w:r>
      <w:r>
        <w:rPr>
          <w:i/>
          <w:iCs/>
        </w:rPr>
        <w:t xml:space="preserve">See </w:t>
      </w:r>
      <w:r w:rsidR="00B65A1F">
        <w:t xml:space="preserve">Brief for the United States on Jurisdictional Questions, </w:t>
      </w:r>
      <w:r w:rsidR="00B65A1F">
        <w:rPr>
          <w:i/>
          <w:iCs/>
        </w:rPr>
        <w:t>United States v. Windsor</w:t>
      </w:r>
      <w:r w:rsidR="00B65A1F">
        <w:t xml:space="preserve">, No. 12-307, </w:t>
      </w:r>
      <w:r w:rsidR="00B65A1F" w:rsidRPr="00B65A1F">
        <w:t>2013 WL 683046</w:t>
      </w:r>
      <w:r w:rsidR="00B65A1F">
        <w:t>, at *28-37 (2013)</w:t>
      </w:r>
      <w:r w:rsidR="00D32183">
        <w:t xml:space="preserve">. The Supreme Court’s majority opinion did not address this issue, though Justice Alito’s dissent (joined by Justice Thomas) suggested support. </w:t>
      </w:r>
      <w:r w:rsidR="00D32183" w:rsidRPr="00D32183">
        <w:rPr>
          <w:i/>
          <w:iCs/>
        </w:rPr>
        <w:t>See</w:t>
      </w:r>
      <w:r w:rsidR="00D32183">
        <w:t xml:space="preserve"> </w:t>
      </w:r>
      <w:r w:rsidR="00FE044D" w:rsidRPr="0090587D">
        <w:rPr>
          <w:i/>
          <w:iCs/>
        </w:rPr>
        <w:t>Windsor</w:t>
      </w:r>
      <w:r w:rsidR="00FE044D">
        <w:t xml:space="preserve">, 570 U.S. </w:t>
      </w:r>
      <w:r w:rsidR="0074450E">
        <w:t xml:space="preserve">at </w:t>
      </w:r>
      <w:r w:rsidR="00FE044D">
        <w:t xml:space="preserve">804 (Alito, J., dissenting) </w:t>
      </w:r>
      <w:r w:rsidR="005B146B">
        <w:t xml:space="preserve">(noting that it was a “more difficult question” whether BLAG had standing, but </w:t>
      </w:r>
      <w:r w:rsidR="007851A8">
        <w:t xml:space="preserve">accepting that the House had “authorized BLAG to represent its interests in this matter” and </w:t>
      </w:r>
      <w:r w:rsidR="005B146B">
        <w:t>concluding that “in the narrow category of cases in which a court strikes down an Act of Congress and the Executive declines to defend the Act, Congress both has standing to defend the undefended statute and is a proper party to do so”).</w:t>
      </w:r>
    </w:p>
  </w:footnote>
  <w:footnote w:id="340">
    <w:p w14:paraId="16E290A3" w14:textId="76C7E0B8" w:rsidR="004A7427" w:rsidRPr="008D4822" w:rsidRDefault="004A7427" w:rsidP="0067230F">
      <w:pPr>
        <w:pStyle w:val="FootnoteText"/>
        <w:jc w:val="both"/>
      </w:pPr>
      <w:r>
        <w:rPr>
          <w:rStyle w:val="FootnoteReference"/>
        </w:rPr>
        <w:footnoteRef/>
      </w:r>
      <w:r>
        <w:t xml:space="preserve"> One additional benefit is that this proposal would largely negate difficult questions about the timeliness of intervention, especially on appeal</w:t>
      </w:r>
      <w:r w:rsidR="005A2015">
        <w:t xml:space="preserve">, that often arise because </w:t>
      </w:r>
      <w:r w:rsidR="009F3226">
        <w:t>the government has decided to stop defending a federal policy</w:t>
      </w:r>
      <w:r>
        <w:t xml:space="preserve">. </w:t>
      </w:r>
      <w:r w:rsidR="008D4822">
        <w:rPr>
          <w:i/>
          <w:iCs/>
        </w:rPr>
        <w:t>See, e.g.</w:t>
      </w:r>
      <w:r w:rsidR="008D4822">
        <w:t xml:space="preserve">, </w:t>
      </w:r>
      <w:proofErr w:type="spellStart"/>
      <w:r w:rsidR="008D4822" w:rsidRPr="008D4822">
        <w:rPr>
          <w:i/>
          <w:iCs/>
        </w:rPr>
        <w:t>Huisha-Huisha</w:t>
      </w:r>
      <w:proofErr w:type="spellEnd"/>
      <w:r w:rsidR="008D4822" w:rsidRPr="008D4822">
        <w:rPr>
          <w:i/>
          <w:iCs/>
        </w:rPr>
        <w:t xml:space="preserve"> v. Mayorkas</w:t>
      </w:r>
      <w:r w:rsidR="008D4822">
        <w:t xml:space="preserve">, No. 22-5325, 2022 WL 19653946, at *1 (D.C. Cir. Dec. 16, 2022), </w:t>
      </w:r>
      <w:r w:rsidR="008D4822" w:rsidRPr="008D4822">
        <w:rPr>
          <w:i/>
          <w:iCs/>
        </w:rPr>
        <w:t>vacated and remanded sub nom. Arizona v. Mayorkas</w:t>
      </w:r>
      <w:r w:rsidR="008D4822">
        <w:t>, 143 S. Ct. 1312 (2023).</w:t>
      </w:r>
    </w:p>
  </w:footnote>
  <w:footnote w:id="341">
    <w:p w14:paraId="65738DC4" w14:textId="04D58BA1" w:rsidR="00636BB4" w:rsidRDefault="00636BB4" w:rsidP="0067230F">
      <w:pPr>
        <w:pStyle w:val="FootnoteText"/>
        <w:jc w:val="both"/>
      </w:pPr>
      <w:r>
        <w:rPr>
          <w:rStyle w:val="FootnoteReference"/>
        </w:rPr>
        <w:footnoteRef/>
      </w:r>
      <w:r>
        <w:t xml:space="preserve"> This is the rulemaking process provided in the Rules Enabling Act, 28 U.S.C. § 270</w:t>
      </w:r>
      <w:r w:rsidR="005F3F10">
        <w:t xml:space="preserve">1 </w:t>
      </w:r>
      <w:r w:rsidR="005F3F10">
        <w:rPr>
          <w:i/>
          <w:iCs/>
        </w:rPr>
        <w:t>et seq</w:t>
      </w:r>
      <w:r>
        <w:t xml:space="preserve">. </w:t>
      </w:r>
    </w:p>
  </w:footnote>
  <w:footnote w:id="342">
    <w:p w14:paraId="15373765" w14:textId="2C2A8571" w:rsidR="00BD048A" w:rsidRPr="007340DE" w:rsidRDefault="00BD048A" w:rsidP="0067230F">
      <w:pPr>
        <w:pStyle w:val="FootnoteText"/>
        <w:jc w:val="both"/>
      </w:pPr>
      <w:r>
        <w:rPr>
          <w:rStyle w:val="FootnoteReference"/>
        </w:rPr>
        <w:footnoteRef/>
      </w:r>
      <w:r>
        <w:t xml:space="preserve"> </w:t>
      </w:r>
      <w:r w:rsidRPr="00BD048A">
        <w:rPr>
          <w:i/>
          <w:iCs/>
        </w:rPr>
        <w:t>Mohawk Indus., Inc. v. Carpenter</w:t>
      </w:r>
      <w:r>
        <w:t xml:space="preserve">, 558 U.S. 100, 113 (2009) (quoting </w:t>
      </w:r>
      <w:r w:rsidRPr="00BD048A">
        <w:rPr>
          <w:i/>
          <w:iCs/>
        </w:rPr>
        <w:t xml:space="preserve">Swint v. Chambers </w:t>
      </w:r>
      <w:proofErr w:type="spellStart"/>
      <w:r w:rsidRPr="00BD048A">
        <w:rPr>
          <w:i/>
          <w:iCs/>
        </w:rPr>
        <w:t>Cnty</w:t>
      </w:r>
      <w:proofErr w:type="spellEnd"/>
      <w:r w:rsidRPr="00BD048A">
        <w:rPr>
          <w:i/>
          <w:iCs/>
        </w:rPr>
        <w:t>. Comm’n</w:t>
      </w:r>
      <w:r w:rsidRPr="00BD048A">
        <w:t>, 514 U.S. 35, 48 (1995)</w:t>
      </w:r>
      <w:r w:rsidR="00EC54B1">
        <w:t>.</w:t>
      </w:r>
      <w:r w:rsidR="007340DE">
        <w:t xml:space="preserve"> And it has at times disclaimed the power to amend the federal rules through adjudication. </w:t>
      </w:r>
      <w:r w:rsidR="007340DE">
        <w:rPr>
          <w:i/>
          <w:iCs/>
        </w:rPr>
        <w:t xml:space="preserve">See Ortiz v. </w:t>
      </w:r>
      <w:proofErr w:type="spellStart"/>
      <w:r w:rsidR="007340DE">
        <w:rPr>
          <w:i/>
          <w:iCs/>
        </w:rPr>
        <w:t>Fibreboard</w:t>
      </w:r>
      <w:proofErr w:type="spellEnd"/>
      <w:r w:rsidR="007340DE">
        <w:rPr>
          <w:i/>
          <w:iCs/>
        </w:rPr>
        <w:t xml:space="preserve"> Corp.</w:t>
      </w:r>
      <w:r w:rsidR="007340DE">
        <w:t xml:space="preserve">, 527 U.S. 815, 861 (1999) (“[W]e </w:t>
      </w:r>
      <w:proofErr w:type="gramStart"/>
      <w:r w:rsidR="007340DE">
        <w:t>are</w:t>
      </w:r>
      <w:proofErr w:type="gramEnd"/>
      <w:r w:rsidR="007340DE">
        <w:t xml:space="preserve"> bound to follow Rule 23 as we understood it upon its adoption, and … we are not free to alter it except through the process prescribed by Congress in the Rules Enabling Act.”)</w:t>
      </w:r>
      <w:r w:rsidR="00DD2339">
        <w:t>.</w:t>
      </w:r>
    </w:p>
  </w:footnote>
  <w:footnote w:id="343">
    <w:p w14:paraId="0440C151" w14:textId="0A8D426D" w:rsidR="00B45184" w:rsidRPr="00B45184" w:rsidRDefault="00B45184" w:rsidP="0067230F">
      <w:pPr>
        <w:pStyle w:val="FootnoteText"/>
        <w:jc w:val="both"/>
      </w:pPr>
      <w:r>
        <w:rPr>
          <w:rStyle w:val="FootnoteReference"/>
        </w:rPr>
        <w:footnoteRef/>
      </w:r>
      <w:r>
        <w:t xml:space="preserve"> </w:t>
      </w:r>
      <w:r>
        <w:rPr>
          <w:i/>
          <w:iCs/>
        </w:rPr>
        <w:t>Id.</w:t>
      </w:r>
      <w:r>
        <w:t xml:space="preserve"> at 114</w:t>
      </w:r>
      <w:r w:rsidR="000C0678">
        <w:t xml:space="preserve">.; </w:t>
      </w:r>
      <w:r w:rsidR="000C0678">
        <w:rPr>
          <w:i/>
          <w:iCs/>
        </w:rPr>
        <w:t xml:space="preserve">see also </w:t>
      </w:r>
      <w:r w:rsidR="000C0678" w:rsidRPr="00205203">
        <w:rPr>
          <w:i/>
          <w:iCs/>
        </w:rPr>
        <w:t xml:space="preserve">Miner v. </w:t>
      </w:r>
      <w:proofErr w:type="spellStart"/>
      <w:r w:rsidR="000C0678" w:rsidRPr="00205203">
        <w:rPr>
          <w:i/>
          <w:iCs/>
        </w:rPr>
        <w:t>Atlass</w:t>
      </w:r>
      <w:proofErr w:type="spellEnd"/>
      <w:r w:rsidR="000C0678">
        <w:t xml:space="preserve">, 363 U.S. 641, 651 (1960) (explaining that the Judicial Conference is “left wholly free to approach the question of amendment … in the light of whatever considerations seem relevant to them, including the course of experience gained by the District Courts”). </w:t>
      </w:r>
    </w:p>
  </w:footnote>
  <w:footnote w:id="344">
    <w:p w14:paraId="6537825D" w14:textId="0C3214DA" w:rsidR="00AA5FE1" w:rsidRPr="00AA5FE1" w:rsidRDefault="00AA5FE1" w:rsidP="0067230F">
      <w:pPr>
        <w:pStyle w:val="FootnoteText"/>
        <w:jc w:val="both"/>
      </w:pPr>
      <w:r>
        <w:rPr>
          <w:rStyle w:val="FootnoteReference"/>
        </w:rPr>
        <w:footnoteRef/>
      </w:r>
      <w:r>
        <w:t xml:space="preserve"> </w:t>
      </w:r>
      <w:r>
        <w:rPr>
          <w:i/>
          <w:iCs/>
        </w:rPr>
        <w:t xml:space="preserve">Cf. </w:t>
      </w:r>
      <w:r w:rsidRPr="00AA5FE1">
        <w:rPr>
          <w:i/>
          <w:iCs/>
        </w:rPr>
        <w:t>Harris v. Nelson</w:t>
      </w:r>
      <w:r w:rsidRPr="00AA5FE1">
        <w:t>, 394 U.S. 286, 306 (1969)</w:t>
      </w:r>
      <w:r>
        <w:t xml:space="preserve"> (Harlan, J., dissenting) (“</w:t>
      </w:r>
      <w:r w:rsidRPr="00AA5FE1">
        <w:t>Their deliberations would be free from the time pressures and piecemeal character of case-by-case adjudication</w:t>
      </w:r>
      <w:r>
        <w:t>.”)</w:t>
      </w:r>
    </w:p>
  </w:footnote>
  <w:footnote w:id="345">
    <w:p w14:paraId="40C21BF7" w14:textId="12FA6FCE" w:rsidR="00604EA3" w:rsidRPr="00283BAE" w:rsidRDefault="00604EA3" w:rsidP="0067230F">
      <w:pPr>
        <w:pStyle w:val="FootnoteText"/>
        <w:jc w:val="both"/>
      </w:pPr>
      <w:r>
        <w:rPr>
          <w:rStyle w:val="FootnoteReference"/>
        </w:rPr>
        <w:footnoteRef/>
      </w:r>
      <w:r>
        <w:t xml:space="preserve"> </w:t>
      </w:r>
      <w:r w:rsidR="00764CFB">
        <w:rPr>
          <w:i/>
          <w:iCs/>
        </w:rPr>
        <w:t xml:space="preserve">See </w:t>
      </w:r>
      <w:r>
        <w:t xml:space="preserve">Zachary D. Clopton, </w:t>
      </w:r>
      <w:r>
        <w:rPr>
          <w:i/>
          <w:iCs/>
        </w:rPr>
        <w:t>MDL as Category</w:t>
      </w:r>
      <w:r>
        <w:t xml:space="preserve">, 105 Cornell L. Rev. </w:t>
      </w:r>
      <w:r w:rsidRPr="00223A7F">
        <w:t>1297 (2020) (cautioning against adopting general rules based on high-profile or unusual cases)</w:t>
      </w:r>
      <w:r w:rsidR="00283BAE">
        <w:t xml:space="preserve">; </w:t>
      </w:r>
      <w:proofErr w:type="spellStart"/>
      <w:r w:rsidR="00283BAE">
        <w:t>Suja</w:t>
      </w:r>
      <w:proofErr w:type="spellEnd"/>
      <w:r w:rsidR="00283BAE">
        <w:t xml:space="preserve"> A. Thomas &amp; Dawson Price, </w:t>
      </w:r>
      <w:r w:rsidR="00283BAE">
        <w:rPr>
          <w:i/>
          <w:iCs/>
        </w:rPr>
        <w:t>How Atypical Cases Make Bad Rules: A Commentary on the Rulemaking Process</w:t>
      </w:r>
      <w:r w:rsidR="00283BAE">
        <w:t>, 15 Nev. L.J. 1141 (2015)</w:t>
      </w:r>
      <w:r w:rsidR="00881A61">
        <w:t>.</w:t>
      </w:r>
    </w:p>
  </w:footnote>
  <w:footnote w:id="346">
    <w:p w14:paraId="0108F377" w14:textId="11F3853F" w:rsidR="00AB7302" w:rsidRPr="0040689C" w:rsidRDefault="00E422E4" w:rsidP="0067230F">
      <w:pPr>
        <w:pStyle w:val="FootnoteText"/>
        <w:jc w:val="both"/>
      </w:pPr>
      <w:r>
        <w:rPr>
          <w:rStyle w:val="FootnoteReference"/>
        </w:rPr>
        <w:footnoteRef/>
      </w:r>
      <w:r>
        <w:t xml:space="preserve"> </w:t>
      </w:r>
      <w:r w:rsidR="00466985">
        <w:rPr>
          <w:i/>
          <w:iCs/>
        </w:rPr>
        <w:t xml:space="preserve">See </w:t>
      </w:r>
      <w:r>
        <w:t xml:space="preserve">Burbank &amp; </w:t>
      </w:r>
      <w:proofErr w:type="spellStart"/>
      <w:r w:rsidR="00205203">
        <w:t>F</w:t>
      </w:r>
      <w:r>
        <w:t>arhang</w:t>
      </w:r>
      <w:proofErr w:type="spellEnd"/>
      <w:r>
        <w:t xml:space="preserve">, </w:t>
      </w:r>
      <w:r w:rsidR="00205203">
        <w:rPr>
          <w:i/>
          <w:iCs/>
        </w:rPr>
        <w:t>supra</w:t>
      </w:r>
      <w:r w:rsidR="00205203">
        <w:t xml:space="preserve">, at </w:t>
      </w:r>
      <w:r w:rsidR="005E20FA">
        <w:t xml:space="preserve">109-120 </w:t>
      </w:r>
      <w:r>
        <w:t>(2017)</w:t>
      </w:r>
      <w:r w:rsidR="00466985">
        <w:t xml:space="preserve">; </w:t>
      </w:r>
      <w:r w:rsidR="005E20FA">
        <w:t xml:space="preserve">Marcus, </w:t>
      </w:r>
      <w:r w:rsidR="005E20FA">
        <w:rPr>
          <w:i/>
          <w:iCs/>
        </w:rPr>
        <w:t>supra</w:t>
      </w:r>
      <w:r w:rsidR="005E20FA">
        <w:t xml:space="preserve">, </w:t>
      </w:r>
      <w:r w:rsidR="00294D6A">
        <w:t xml:space="preserve">at </w:t>
      </w:r>
      <w:r w:rsidR="005E20FA">
        <w:t>2497-98</w:t>
      </w:r>
      <w:r w:rsidR="00C77B93">
        <w:t xml:space="preserve">; </w:t>
      </w:r>
      <w:r w:rsidR="00C77B93" w:rsidRPr="00C77B93">
        <w:t xml:space="preserve">Luke Norris, </w:t>
      </w:r>
      <w:r w:rsidR="00C77B93" w:rsidRPr="00C77B93">
        <w:rPr>
          <w:i/>
          <w:iCs/>
        </w:rPr>
        <w:t>Neoliberal Civil Procedure</w:t>
      </w:r>
      <w:r w:rsidR="00C77B93" w:rsidRPr="00C77B93">
        <w:t>, 12 U.C. Irvine L. Rev.</w:t>
      </w:r>
      <w:r w:rsidR="00C77B93">
        <w:t xml:space="preserve"> 471</w:t>
      </w:r>
      <w:r w:rsidR="00DC7FEB">
        <w:t>, 511-22</w:t>
      </w:r>
      <w:r w:rsidR="00C77B93">
        <w:t xml:space="preserve"> (2022)</w:t>
      </w:r>
      <w:r w:rsidR="0040689C">
        <w:t xml:space="preserve">. </w:t>
      </w:r>
      <w:r w:rsidR="0040689C">
        <w:rPr>
          <w:i/>
          <w:iCs/>
        </w:rPr>
        <w:t xml:space="preserve">But see </w:t>
      </w:r>
      <w:r w:rsidR="0040689C" w:rsidRPr="0040689C">
        <w:t xml:space="preserve">Brooke Coleman, </w:t>
      </w:r>
      <w:r w:rsidR="0040689C" w:rsidRPr="0040689C">
        <w:rPr>
          <w:i/>
          <w:iCs/>
        </w:rPr>
        <w:t>Janus-Faced Rulemaking</w:t>
      </w:r>
      <w:r w:rsidR="0040689C" w:rsidRPr="0040689C">
        <w:t>,</w:t>
      </w:r>
      <w:r w:rsidR="0040689C" w:rsidRPr="0040689C">
        <w:rPr>
          <w:i/>
          <w:iCs/>
        </w:rPr>
        <w:t xml:space="preserve"> </w:t>
      </w:r>
      <w:r w:rsidR="0040689C" w:rsidRPr="0040689C">
        <w:t>41 Cardozo L. R</w:t>
      </w:r>
      <w:r w:rsidR="0040689C">
        <w:t>e</w:t>
      </w:r>
      <w:r w:rsidR="0040689C" w:rsidRPr="0040689C">
        <w:t>v. 921, 942 (2020) (“While there are valid critiques of the rule making process, it is still an excellent vehicle for rule reform.”</w:t>
      </w:r>
      <w:r w:rsidR="0040689C">
        <w:t>).</w:t>
      </w:r>
    </w:p>
  </w:footnote>
  <w:footnote w:id="347">
    <w:p w14:paraId="3B53E376" w14:textId="7D37B842" w:rsidR="00AF2118" w:rsidRPr="000C632E" w:rsidRDefault="00AF2118" w:rsidP="0067230F">
      <w:pPr>
        <w:pStyle w:val="FootnoteText"/>
        <w:jc w:val="both"/>
      </w:pPr>
      <w:r>
        <w:rPr>
          <w:rStyle w:val="FootnoteReference"/>
        </w:rPr>
        <w:footnoteRef/>
      </w:r>
      <w:r>
        <w:t xml:space="preserve"> Advisory Comm. on App. Rules, </w:t>
      </w:r>
      <w:r>
        <w:rPr>
          <w:i/>
          <w:iCs/>
        </w:rPr>
        <w:t>Minutes of Spring 2022 Meeting</w:t>
      </w:r>
      <w:r>
        <w:t xml:space="preserve"> 19 (Mar. 30, 2022), </w:t>
      </w:r>
      <w:hyperlink r:id="rId4" w:history="1">
        <w:r w:rsidRPr="00C72BAC">
          <w:rPr>
            <w:rStyle w:val="Hyperlink"/>
          </w:rPr>
          <w:t>https://www.uscourts.gov/rules-policies/archives/meeting-minutes/advisory-committee-appellate-rules-march-2022</w:t>
        </w:r>
      </w:hyperlink>
      <w:r>
        <w:t>.</w:t>
      </w:r>
    </w:p>
  </w:footnote>
  <w:footnote w:id="348">
    <w:p w14:paraId="4977D252" w14:textId="5DA92B90" w:rsidR="00504A64" w:rsidRPr="00B9199D" w:rsidRDefault="00504A64" w:rsidP="0067230F">
      <w:pPr>
        <w:pStyle w:val="FootnoteText"/>
        <w:jc w:val="both"/>
      </w:pPr>
      <w:r>
        <w:rPr>
          <w:rStyle w:val="FootnoteReference"/>
        </w:rPr>
        <w:footnoteRef/>
      </w:r>
      <w:r>
        <w:t xml:space="preserve"> </w:t>
      </w:r>
      <w:r w:rsidR="00B9199D" w:rsidRPr="00E72E6E">
        <w:t xml:space="preserve">Morley, </w:t>
      </w:r>
      <w:r w:rsidR="00B9199D" w:rsidRPr="00E72E6E">
        <w:rPr>
          <w:i/>
          <w:iCs/>
        </w:rPr>
        <w:t>De Facto Class Actions</w:t>
      </w:r>
      <w:r w:rsidR="00B9199D" w:rsidRPr="00E72E6E">
        <w:t xml:space="preserve">, </w:t>
      </w:r>
      <w:r w:rsidR="00B9199D" w:rsidRPr="00E72E6E">
        <w:rPr>
          <w:i/>
          <w:iCs/>
        </w:rPr>
        <w:t>supra</w:t>
      </w:r>
      <w:r w:rsidR="00B9199D" w:rsidRPr="00E72E6E">
        <w:t xml:space="preserve">, at 528; Young, </w:t>
      </w:r>
      <w:r w:rsidR="00B9199D" w:rsidRPr="00E72E6E">
        <w:rPr>
          <w:i/>
          <w:iCs/>
        </w:rPr>
        <w:t>supra</w:t>
      </w:r>
      <w:r w:rsidR="00B9199D" w:rsidRPr="00E72E6E">
        <w:t xml:space="preserve">, </w:t>
      </w:r>
      <w:r w:rsidR="00294D6A">
        <w:t xml:space="preserve">at </w:t>
      </w:r>
      <w:r w:rsidR="00B9199D" w:rsidRPr="00E72E6E">
        <w:t xml:space="preserve">911-12; </w:t>
      </w:r>
      <w:proofErr w:type="spellStart"/>
      <w:r w:rsidR="00B9199D" w:rsidRPr="00E72E6E">
        <w:t>Linthorst</w:t>
      </w:r>
      <w:proofErr w:type="spellEnd"/>
      <w:r w:rsidR="00B9199D" w:rsidRPr="00E72E6E">
        <w:t xml:space="preserve">, </w:t>
      </w:r>
      <w:r w:rsidR="00B9199D" w:rsidRPr="00E72E6E">
        <w:rPr>
          <w:i/>
          <w:iCs/>
        </w:rPr>
        <w:t>supra</w:t>
      </w:r>
      <w:r w:rsidR="00B9199D" w:rsidRPr="00E72E6E">
        <w:t xml:space="preserve">, </w:t>
      </w:r>
      <w:r w:rsidR="00294D6A">
        <w:t xml:space="preserve">at </w:t>
      </w:r>
      <w:r w:rsidR="00B9199D" w:rsidRPr="00E72E6E">
        <w:t xml:space="preserve">79; Trammell, </w:t>
      </w:r>
      <w:r w:rsidR="00B9199D" w:rsidRPr="00E72E6E">
        <w:rPr>
          <w:i/>
          <w:iCs/>
        </w:rPr>
        <w:t>supra</w:t>
      </w:r>
      <w:r w:rsidR="00B9199D" w:rsidRPr="00E72E6E">
        <w:t xml:space="preserve">, </w:t>
      </w:r>
      <w:r w:rsidR="00294D6A">
        <w:t xml:space="preserve">at </w:t>
      </w:r>
      <w:r w:rsidR="00B9199D" w:rsidRPr="00E72E6E">
        <w:t>74-78</w:t>
      </w:r>
      <w:r w:rsidR="00BD2CFB">
        <w:t xml:space="preserve">; Nicholas Bagley, </w:t>
      </w:r>
      <w:r w:rsidR="00BD2CFB">
        <w:rPr>
          <w:i/>
          <w:iCs/>
        </w:rPr>
        <w:t>A Single Judge Shouldn’t Have This Kind of National Power</w:t>
      </w:r>
      <w:r w:rsidR="00BD2CFB">
        <w:t xml:space="preserve">, The Atlantic (April 14, 2023), </w:t>
      </w:r>
      <w:hyperlink r:id="rId5" w:history="1">
        <w:r w:rsidR="00BD2CFB" w:rsidRPr="00C72BAC">
          <w:rPr>
            <w:rStyle w:val="Hyperlink"/>
          </w:rPr>
          <w:t>https://www.theatlantic.com/ideas/archive/2023/04/mifepristone-case-problem-federal-judiciary/673724/</w:t>
        </w:r>
      </w:hyperlink>
      <w:r w:rsidR="00BD2CFB">
        <w:t xml:space="preserve">. </w:t>
      </w:r>
    </w:p>
  </w:footnote>
  <w:footnote w:id="349">
    <w:p w14:paraId="746908F5" w14:textId="0E98239A" w:rsidR="00C40B74" w:rsidRDefault="00C40B74" w:rsidP="0067230F">
      <w:pPr>
        <w:pStyle w:val="FootnoteText"/>
        <w:jc w:val="both"/>
      </w:pPr>
      <w:r>
        <w:rPr>
          <w:rStyle w:val="FootnoteReference"/>
        </w:rPr>
        <w:footnoteRef/>
      </w:r>
      <w:r>
        <w:t xml:space="preserve"> </w:t>
      </w:r>
      <w:r w:rsidRPr="00C40B74">
        <w:rPr>
          <w:i/>
          <w:iCs/>
        </w:rPr>
        <w:t>Georgia</w:t>
      </w:r>
      <w:r>
        <w:t xml:space="preserve">, 46 F.4th </w:t>
      </w:r>
      <w:r w:rsidR="00941DEC">
        <w:t xml:space="preserve">at </w:t>
      </w:r>
      <w:r>
        <w:t xml:space="preserve">1306 </w:t>
      </w:r>
      <w:r w:rsidR="007A7601">
        <w:t>(emphasis omitted)</w:t>
      </w:r>
      <w:r>
        <w:t>.</w:t>
      </w:r>
    </w:p>
  </w:footnote>
  <w:footnote w:id="350">
    <w:p w14:paraId="389C42F6" w14:textId="357AE265" w:rsidR="00675935" w:rsidRPr="007C0FD1" w:rsidRDefault="00675935" w:rsidP="0067230F">
      <w:pPr>
        <w:pStyle w:val="FootnoteText"/>
        <w:jc w:val="both"/>
      </w:pPr>
      <w:r>
        <w:rPr>
          <w:rStyle w:val="FootnoteReference"/>
        </w:rPr>
        <w:footnoteRef/>
      </w:r>
      <w:r>
        <w:t xml:space="preserve"> </w:t>
      </w:r>
      <w:r w:rsidR="001E75A1">
        <w:rPr>
          <w:i/>
          <w:iCs/>
        </w:rPr>
        <w:t xml:space="preserve">See </w:t>
      </w:r>
      <w:r w:rsidR="007C0FD1">
        <w:rPr>
          <w:i/>
          <w:iCs/>
        </w:rPr>
        <w:t xml:space="preserve">Taylor v. </w:t>
      </w:r>
      <w:proofErr w:type="spellStart"/>
      <w:r w:rsidR="007C0FD1">
        <w:rPr>
          <w:i/>
          <w:iCs/>
        </w:rPr>
        <w:t>Sturgell</w:t>
      </w:r>
      <w:proofErr w:type="spellEnd"/>
      <w:r w:rsidR="007C0FD1">
        <w:t>, 553 U.S. 880, 892-93 (2008)</w:t>
      </w:r>
      <w:r w:rsidR="00FE743C">
        <w:t xml:space="preserve">; </w:t>
      </w:r>
      <w:r w:rsidR="00FE743C">
        <w:rPr>
          <w:i/>
          <w:iCs/>
        </w:rPr>
        <w:t xml:space="preserve">Richards v. Jefferson </w:t>
      </w:r>
      <w:proofErr w:type="spellStart"/>
      <w:r w:rsidR="00FE743C">
        <w:rPr>
          <w:i/>
          <w:iCs/>
        </w:rPr>
        <w:t>Cnty</w:t>
      </w:r>
      <w:proofErr w:type="spellEnd"/>
      <w:r w:rsidR="00FE743C">
        <w:rPr>
          <w:i/>
          <w:iCs/>
        </w:rPr>
        <w:t>.</w:t>
      </w:r>
      <w:r w:rsidR="00FE743C">
        <w:t xml:space="preserve">, 517 U.S. 793, 797-98, 797 n.4 (1996); </w:t>
      </w:r>
      <w:r w:rsidR="00FE743C">
        <w:rPr>
          <w:i/>
          <w:iCs/>
        </w:rPr>
        <w:t>Wilks</w:t>
      </w:r>
      <w:r w:rsidR="00FE743C">
        <w:t xml:space="preserve">, 490 U.S. </w:t>
      </w:r>
      <w:r w:rsidR="00F136CE">
        <w:t xml:space="preserve">at </w:t>
      </w:r>
      <w:r w:rsidR="00FE743C">
        <w:t>761-62</w:t>
      </w:r>
      <w:r w:rsidR="006A0EC8">
        <w:t>.</w:t>
      </w:r>
    </w:p>
  </w:footnote>
  <w:footnote w:id="351">
    <w:p w14:paraId="6BEF9A2C" w14:textId="66FEECC0" w:rsidR="0044165E" w:rsidRPr="0044165E" w:rsidRDefault="0044165E" w:rsidP="0067230F">
      <w:pPr>
        <w:pStyle w:val="FootnoteText"/>
        <w:jc w:val="both"/>
      </w:pPr>
      <w:r>
        <w:rPr>
          <w:rStyle w:val="FootnoteReference"/>
        </w:rPr>
        <w:footnoteRef/>
      </w:r>
      <w:r>
        <w:t xml:space="preserve"> Solum, </w:t>
      </w:r>
      <w:r>
        <w:rPr>
          <w:i/>
          <w:iCs/>
        </w:rPr>
        <w:t>supra</w:t>
      </w:r>
      <w:r>
        <w:t xml:space="preserve">, </w:t>
      </w:r>
      <w:r w:rsidR="00294D6A">
        <w:t xml:space="preserve">at </w:t>
      </w:r>
      <w:r>
        <w:t>275</w:t>
      </w:r>
      <w:r w:rsidR="00B02735">
        <w:t xml:space="preserve">. </w:t>
      </w:r>
    </w:p>
  </w:footnote>
  <w:footnote w:id="352">
    <w:p w14:paraId="29D94F34" w14:textId="7E38EB6A" w:rsidR="006D6E6D" w:rsidRPr="009871E4" w:rsidRDefault="006D6E6D" w:rsidP="0067230F">
      <w:pPr>
        <w:pStyle w:val="FootnoteText"/>
        <w:jc w:val="both"/>
      </w:pPr>
      <w:r>
        <w:rPr>
          <w:rStyle w:val="FootnoteReference"/>
        </w:rPr>
        <w:footnoteRef/>
      </w:r>
      <w:r>
        <w:t xml:space="preserve"> For example, there is an extensive literature about when a </w:t>
      </w:r>
      <w:r w:rsidR="009C7E23">
        <w:t>litigant</w:t>
      </w:r>
      <w:r>
        <w:t xml:space="preserve"> is in “privity” with a party </w:t>
      </w:r>
      <w:r w:rsidR="00315EB3">
        <w:t xml:space="preserve">so that they might be </w:t>
      </w:r>
      <w:r>
        <w:t xml:space="preserve">bound by the judgment, or when individuals can adequately represent the interests of others </w:t>
      </w:r>
      <w:r w:rsidR="00315EB3">
        <w:t xml:space="preserve">and preclude </w:t>
      </w:r>
      <w:r w:rsidR="00CB34F2">
        <w:t>them</w:t>
      </w:r>
      <w:r w:rsidR="00315EB3">
        <w:t xml:space="preserve"> from relitigating </w:t>
      </w:r>
      <w:r w:rsidR="00CF2EEF">
        <w:t>their</w:t>
      </w:r>
      <w:r w:rsidR="00315EB3">
        <w:t xml:space="preserve"> claims. </w:t>
      </w:r>
      <w:r w:rsidR="00AF4ACD">
        <w:rPr>
          <w:i/>
          <w:iCs/>
        </w:rPr>
        <w:t>See</w:t>
      </w:r>
      <w:r w:rsidR="00AF4ACD">
        <w:t xml:space="preserve">, </w:t>
      </w:r>
      <w:r w:rsidR="00AF4ACD">
        <w:rPr>
          <w:i/>
          <w:iCs/>
        </w:rPr>
        <w:t>e.g.</w:t>
      </w:r>
      <w:r w:rsidR="00AF4ACD">
        <w:t xml:space="preserve">, </w:t>
      </w:r>
      <w:r w:rsidR="00A53C9D">
        <w:t xml:space="preserve">Robert G. Bone, </w:t>
      </w:r>
      <w:r w:rsidR="00A53C9D">
        <w:rPr>
          <w:i/>
          <w:iCs/>
        </w:rPr>
        <w:t>Rethinking the Day in Court Ideal and Nonparty Preclusion</w:t>
      </w:r>
      <w:r w:rsidR="00A53C9D">
        <w:t>, 67 N.Y.U. L. Rev. 193 (1992)</w:t>
      </w:r>
      <w:r w:rsidR="00A1746F">
        <w:t xml:space="preserve">; </w:t>
      </w:r>
      <w:r w:rsidR="00A1746F" w:rsidRPr="00A1746F">
        <w:t xml:space="preserve">Debra Lyn Bassett, </w:t>
      </w:r>
      <w:r w:rsidR="00A1746F" w:rsidRPr="00A1746F">
        <w:rPr>
          <w:i/>
          <w:iCs/>
        </w:rPr>
        <w:t>Just Go Away: Representation, Due Process, and Preclusion in Class Actions</w:t>
      </w:r>
      <w:r w:rsidR="00A1746F" w:rsidRPr="00A1746F">
        <w:t>, 2009 B</w:t>
      </w:r>
      <w:r w:rsidR="004C5335">
        <w:t>.Y.U.</w:t>
      </w:r>
      <w:r w:rsidR="00A1746F" w:rsidRPr="00A1746F">
        <w:t xml:space="preserve"> L. R</w:t>
      </w:r>
      <w:r w:rsidR="00A1746F">
        <w:t>ev</w:t>
      </w:r>
      <w:r w:rsidR="00A1746F" w:rsidRPr="00A1746F">
        <w:t>. 1079 (2009).</w:t>
      </w:r>
      <w:r w:rsidR="00A53C9D">
        <w:rPr>
          <w:i/>
          <w:iCs/>
        </w:rPr>
        <w:t xml:space="preserve"> </w:t>
      </w:r>
    </w:p>
  </w:footnote>
  <w:footnote w:id="353">
    <w:p w14:paraId="090A12CB" w14:textId="3DAD9833" w:rsidR="009B03D9" w:rsidRDefault="009B03D9" w:rsidP="0067230F">
      <w:pPr>
        <w:pStyle w:val="FootnoteText"/>
        <w:jc w:val="both"/>
      </w:pPr>
      <w:r>
        <w:rPr>
          <w:rStyle w:val="FootnoteReference"/>
        </w:rPr>
        <w:footnoteRef/>
      </w:r>
      <w:r>
        <w:t xml:space="preserve"> This does not mean that they have no right or interest in participating. </w:t>
      </w:r>
      <w:r w:rsidR="009D3F83">
        <w:t xml:space="preserve">As other scholars have noted, courts sometimes apply expansive notions of preclusion or stare decisis that can run up against due process principles when it forecloses future arguments by nonparties in the original case. </w:t>
      </w:r>
      <w:r w:rsidR="009D3F83">
        <w:rPr>
          <w:i/>
          <w:iCs/>
        </w:rPr>
        <w:t xml:space="preserve">See </w:t>
      </w:r>
      <w:r w:rsidR="009D3F83">
        <w:t xml:space="preserve">Amy Coney Barrett, </w:t>
      </w:r>
      <w:r w:rsidR="009D3F83">
        <w:rPr>
          <w:i/>
          <w:iCs/>
        </w:rPr>
        <w:t>Stare Decisis and Due Process</w:t>
      </w:r>
      <w:r w:rsidR="009D3F83">
        <w:t>, 74 U. Colo. L. Rev. 1011,</w:t>
      </w:r>
      <w:r w:rsidR="009D3F83">
        <w:rPr>
          <w:i/>
          <w:iCs/>
        </w:rPr>
        <w:t xml:space="preserve"> </w:t>
      </w:r>
      <w:r w:rsidR="009D3F83">
        <w:t>1036-37 n.99-105 (2003)</w:t>
      </w:r>
      <w:r w:rsidR="002948A8">
        <w:t xml:space="preserve">; Michael </w:t>
      </w:r>
      <w:proofErr w:type="spellStart"/>
      <w:r w:rsidR="002948A8">
        <w:t>Abramowicz</w:t>
      </w:r>
      <w:proofErr w:type="spellEnd"/>
      <w:r w:rsidR="002948A8">
        <w:t xml:space="preserve"> &amp; Thomas B. Colby, </w:t>
      </w:r>
      <w:r w:rsidR="002948A8">
        <w:rPr>
          <w:i/>
          <w:iCs/>
        </w:rPr>
        <w:t xml:space="preserve">Notice-and-Comment Judicial </w:t>
      </w:r>
      <w:proofErr w:type="spellStart"/>
      <w:r w:rsidR="002948A8">
        <w:rPr>
          <w:i/>
          <w:iCs/>
        </w:rPr>
        <w:t>Decisionmaking</w:t>
      </w:r>
      <w:proofErr w:type="spellEnd"/>
      <w:r w:rsidR="002948A8">
        <w:t>, 76 U. Chi. L. Rev. 965,</w:t>
      </w:r>
      <w:r w:rsidR="002948A8">
        <w:rPr>
          <w:i/>
          <w:iCs/>
        </w:rPr>
        <w:t xml:space="preserve"> </w:t>
      </w:r>
      <w:r w:rsidR="002948A8">
        <w:t>978-88</w:t>
      </w:r>
      <w:r w:rsidR="009D3F83">
        <w:t xml:space="preserve"> </w:t>
      </w:r>
      <w:r w:rsidR="002948A8">
        <w:t xml:space="preserve">(2009). </w:t>
      </w:r>
    </w:p>
  </w:footnote>
  <w:footnote w:id="354">
    <w:p w14:paraId="088903EA" w14:textId="6E6B43B3" w:rsidR="00E31F30" w:rsidRPr="00DE25E2" w:rsidRDefault="00E31F30" w:rsidP="0067230F">
      <w:pPr>
        <w:pStyle w:val="FootnoteText"/>
        <w:jc w:val="both"/>
      </w:pPr>
      <w:r>
        <w:rPr>
          <w:rStyle w:val="FootnoteReference"/>
        </w:rPr>
        <w:footnoteRef/>
      </w:r>
      <w:r>
        <w:t xml:space="preserve"> </w:t>
      </w:r>
      <w:r w:rsidR="0072083B">
        <w:rPr>
          <w:i/>
          <w:iCs/>
        </w:rPr>
        <w:t xml:space="preserve">See </w:t>
      </w:r>
      <w:r w:rsidR="0072083B">
        <w:t xml:space="preserve">Appel, </w:t>
      </w:r>
      <w:r w:rsidR="0072083B">
        <w:rPr>
          <w:i/>
          <w:iCs/>
        </w:rPr>
        <w:t>supra</w:t>
      </w:r>
      <w:r w:rsidR="0072083B">
        <w:t xml:space="preserve">, </w:t>
      </w:r>
      <w:r w:rsidR="00294D6A">
        <w:t xml:space="preserve">at </w:t>
      </w:r>
      <w:r w:rsidR="0072083B">
        <w:t xml:space="preserve">299; </w:t>
      </w:r>
      <w:r w:rsidR="0072083B">
        <w:rPr>
          <w:i/>
          <w:iCs/>
        </w:rPr>
        <w:t>s</w:t>
      </w:r>
      <w:r w:rsidR="00303DCF">
        <w:rPr>
          <w:i/>
          <w:iCs/>
        </w:rPr>
        <w:t>ee</w:t>
      </w:r>
      <w:r w:rsidR="0072083B">
        <w:rPr>
          <w:i/>
          <w:iCs/>
        </w:rPr>
        <w:t>,</w:t>
      </w:r>
      <w:r w:rsidR="00303DCF">
        <w:rPr>
          <w:i/>
          <w:iCs/>
        </w:rPr>
        <w:t xml:space="preserve"> e.g.</w:t>
      </w:r>
      <w:r w:rsidR="0072083B">
        <w:rPr>
          <w:i/>
          <w:iCs/>
        </w:rPr>
        <w:t>,</w:t>
      </w:r>
      <w:r w:rsidR="00303DCF">
        <w:rPr>
          <w:i/>
          <w:iCs/>
        </w:rPr>
        <w:t xml:space="preserve"> </w:t>
      </w:r>
      <w:r w:rsidRPr="00E31F30">
        <w:rPr>
          <w:i/>
          <w:iCs/>
        </w:rPr>
        <w:t xml:space="preserve">Harris v. </w:t>
      </w:r>
      <w:proofErr w:type="spellStart"/>
      <w:r w:rsidRPr="00E31F30">
        <w:rPr>
          <w:i/>
          <w:iCs/>
        </w:rPr>
        <w:t>Pernsley</w:t>
      </w:r>
      <w:proofErr w:type="spellEnd"/>
      <w:r w:rsidRPr="00E31F30">
        <w:t>, 820 F.2d 592, 599 (3d Cir. 1987)</w:t>
      </w:r>
      <w:r>
        <w:t xml:space="preserve"> (considering separate participatory interests—one “on the merits” and the second “in the formation of the remedy”)</w:t>
      </w:r>
      <w:r w:rsidR="006A0EC8">
        <w:t>.</w:t>
      </w:r>
    </w:p>
  </w:footnote>
  <w:footnote w:id="355">
    <w:p w14:paraId="0E6146A9" w14:textId="0014B234" w:rsidR="00164EED" w:rsidRDefault="00164EED" w:rsidP="0067230F">
      <w:pPr>
        <w:pStyle w:val="FootnoteText"/>
        <w:jc w:val="both"/>
      </w:pPr>
      <w:r>
        <w:rPr>
          <w:rStyle w:val="FootnoteReference"/>
        </w:rPr>
        <w:footnoteRef/>
      </w:r>
      <w:r>
        <w:t xml:space="preserve"> </w:t>
      </w:r>
      <w:r>
        <w:rPr>
          <w:i/>
          <w:iCs/>
        </w:rPr>
        <w:t>See, e.g.</w:t>
      </w:r>
      <w:r>
        <w:t xml:space="preserve">, </w:t>
      </w:r>
      <w:r w:rsidRPr="008052D7">
        <w:rPr>
          <w:i/>
          <w:iCs/>
        </w:rPr>
        <w:t>Louisiana</w:t>
      </w:r>
      <w:r w:rsidRPr="008052D7">
        <w:t xml:space="preserve">, </w:t>
      </w:r>
      <w:r>
        <w:t xml:space="preserve">603 F. Supp. 3d 406, 441 (W.D. La. 2022); </w:t>
      </w:r>
      <w:r w:rsidRPr="00E3164A">
        <w:rPr>
          <w:i/>
          <w:iCs/>
        </w:rPr>
        <w:t>State of Texas, et al. v. United States of America, et al.</w:t>
      </w:r>
      <w:r w:rsidRPr="00151B82">
        <w:t>, Docket No. 7:16-cv-00054 (N.D. Tex. May 25, 2016)</w:t>
      </w:r>
      <w:r>
        <w:t xml:space="preserve"> (never ruling on intervention motion by an individual transgender women who sought to intervene to prevent the court from issuing a nationwide injunction that would affect her); </w:t>
      </w:r>
      <w:r>
        <w:rPr>
          <w:i/>
          <w:iCs/>
        </w:rPr>
        <w:t xml:space="preserve">see also </w:t>
      </w:r>
      <w:r w:rsidRPr="00F22020">
        <w:rPr>
          <w:i/>
          <w:iCs/>
        </w:rPr>
        <w:t>City of Chicago v. Sessions</w:t>
      </w:r>
      <w:r w:rsidRPr="00F22020">
        <w:t>, No. 17</w:t>
      </w:r>
      <w:r>
        <w:t>-cv-0</w:t>
      </w:r>
      <w:r w:rsidRPr="00F22020">
        <w:t>5720, 2017 WL 5499167 (N.D. Ill. Nov. 16, 2017)</w:t>
      </w:r>
      <w:r>
        <w:t xml:space="preserve"> (rejecting an intervenor who wanted to participate to support a nationwide injunction).</w:t>
      </w:r>
    </w:p>
  </w:footnote>
  <w:footnote w:id="356">
    <w:p w14:paraId="181F9CA4" w14:textId="6C24E8CF" w:rsidR="00171856" w:rsidRDefault="00171856" w:rsidP="0067230F">
      <w:pPr>
        <w:pStyle w:val="FootnoteText"/>
        <w:jc w:val="both"/>
      </w:pPr>
      <w:r>
        <w:rPr>
          <w:rStyle w:val="FootnoteReference"/>
        </w:rPr>
        <w:footnoteRef/>
      </w:r>
      <w:r>
        <w:t xml:space="preserve"> </w:t>
      </w:r>
      <w:r w:rsidRPr="00171856">
        <w:rPr>
          <w:i/>
          <w:iCs/>
        </w:rPr>
        <w:t>Louisiana</w:t>
      </w:r>
      <w:r w:rsidR="00155FD7">
        <w:rPr>
          <w:i/>
          <w:iCs/>
        </w:rPr>
        <w:t xml:space="preserve">, </w:t>
      </w:r>
      <w:r>
        <w:t xml:space="preserve">603 F. Supp. 3d </w:t>
      </w:r>
      <w:r w:rsidR="00164EED">
        <w:t xml:space="preserve">at </w:t>
      </w:r>
      <w:r>
        <w:t>441.</w:t>
      </w:r>
    </w:p>
  </w:footnote>
  <w:footnote w:id="357">
    <w:p w14:paraId="597E77B5" w14:textId="78866C3D" w:rsidR="006B56D2" w:rsidRPr="006B56D2" w:rsidRDefault="006B56D2" w:rsidP="0067230F">
      <w:pPr>
        <w:pStyle w:val="FootnoteText"/>
        <w:jc w:val="both"/>
      </w:pPr>
      <w:r>
        <w:rPr>
          <w:rStyle w:val="FootnoteReference"/>
        </w:rPr>
        <w:footnoteRef/>
      </w:r>
      <w:r>
        <w:t xml:space="preserve"> Proposed Intervenors’ Motion for Limited Intervention</w:t>
      </w:r>
      <w:r w:rsidR="00B06FCA">
        <w:t xml:space="preserve"> at 2</w:t>
      </w:r>
      <w:r>
        <w:t xml:space="preserve">, </w:t>
      </w:r>
      <w:r w:rsidR="00B06FCA">
        <w:rPr>
          <w:i/>
          <w:iCs/>
        </w:rPr>
        <w:t>Louisiana</w:t>
      </w:r>
      <w:r>
        <w:rPr>
          <w:i/>
          <w:iCs/>
        </w:rPr>
        <w:t xml:space="preserve"> v. Centers for Disease Control &amp; Prevention, et al.</w:t>
      </w:r>
      <w:r>
        <w:t xml:space="preserve">, </w:t>
      </w:r>
      <w:r w:rsidR="00B06FCA" w:rsidRPr="00B06FCA">
        <w:t>603 F.Supp.3d 406</w:t>
      </w:r>
      <w:r w:rsidR="00B06FCA">
        <w:t xml:space="preserve"> (D. Or.) (No. 22-cv-00885). </w:t>
      </w:r>
    </w:p>
  </w:footnote>
  <w:footnote w:id="358">
    <w:p w14:paraId="0FA1AAED" w14:textId="67B159E9" w:rsidR="00FB4DD9" w:rsidRPr="00FB4DD9" w:rsidRDefault="00FB4DD9" w:rsidP="0067230F">
      <w:pPr>
        <w:pStyle w:val="FootnoteText"/>
        <w:jc w:val="both"/>
      </w:pPr>
      <w:r>
        <w:rPr>
          <w:rStyle w:val="FootnoteReference"/>
        </w:rPr>
        <w:footnoteRef/>
      </w:r>
      <w:r>
        <w:t xml:space="preserve"> </w:t>
      </w:r>
      <w:r w:rsidR="001C7745">
        <w:t xml:space="preserve">The district court’s </w:t>
      </w:r>
      <w:r w:rsidR="00FD728C">
        <w:t xml:space="preserve">intervention </w:t>
      </w:r>
      <w:r w:rsidR="001C7745">
        <w:t xml:space="preserve">order </w:t>
      </w:r>
      <w:r w:rsidR="00FD728C">
        <w:t>is not on</w:t>
      </w:r>
      <w:r w:rsidR="001C7745">
        <w:t xml:space="preserve"> the docket, but</w:t>
      </w:r>
      <w:r w:rsidR="002D1FF6">
        <w:t xml:space="preserve"> proposed intervenors provided more detail of the </w:t>
      </w:r>
      <w:r w:rsidR="001C7745">
        <w:t>procedural history in the</w:t>
      </w:r>
      <w:r w:rsidR="002D1FF6">
        <w:t>ir</w:t>
      </w:r>
      <w:r w:rsidR="001C7745">
        <w:t xml:space="preserve"> </w:t>
      </w:r>
      <w:r w:rsidR="00A9769D">
        <w:t>brief challeng</w:t>
      </w:r>
      <w:r w:rsidR="00FD728C">
        <w:t>ing</w:t>
      </w:r>
      <w:r w:rsidR="00A9769D">
        <w:t xml:space="preserve"> the decision</w:t>
      </w:r>
      <w:r w:rsidR="008B12FA">
        <w:t xml:space="preserve"> (</w:t>
      </w:r>
      <w:r w:rsidR="00A9769D">
        <w:t>and the nationwide injunction</w:t>
      </w:r>
      <w:r w:rsidR="008B12FA">
        <w:t>)</w:t>
      </w:r>
      <w:r w:rsidR="00A9769D">
        <w:t xml:space="preserve"> on </w:t>
      </w:r>
      <w:r w:rsidR="001C7745">
        <w:t xml:space="preserve">appeal. </w:t>
      </w:r>
      <w:r>
        <w:t xml:space="preserve">Opening Brief of Appellant Innovation Law Lab at 16, </w:t>
      </w:r>
      <w:r>
        <w:rPr>
          <w:i/>
          <w:iCs/>
        </w:rPr>
        <w:t>Louisiana v. CDC</w:t>
      </w:r>
      <w:r>
        <w:t>, No. 22-30303 (5th Cir.) (“</w:t>
      </w:r>
      <w:r w:rsidRPr="00FB4DD9">
        <w:t>It did so without issuing a written denial, instead orally explaining that Federal Defendants adequately represent Proposed Intervenors’ interests and declining to give Proposed Intervenors an opportunity to present argument on their motion.</w:t>
      </w:r>
      <w:r>
        <w:t xml:space="preserve">”). </w:t>
      </w:r>
    </w:p>
  </w:footnote>
  <w:footnote w:id="359">
    <w:p w14:paraId="58502E7D" w14:textId="6F166461" w:rsidR="00324715" w:rsidRPr="00324715" w:rsidRDefault="00324715" w:rsidP="0067230F">
      <w:pPr>
        <w:pStyle w:val="FootnoteText"/>
        <w:jc w:val="both"/>
        <w:rPr>
          <w:i/>
          <w:iCs/>
        </w:rPr>
      </w:pPr>
      <w:r>
        <w:rPr>
          <w:rStyle w:val="FootnoteReference"/>
        </w:rPr>
        <w:footnoteRef/>
      </w:r>
      <w:r>
        <w:t xml:space="preserve"> </w:t>
      </w:r>
      <w:r>
        <w:rPr>
          <w:i/>
          <w:iCs/>
        </w:rPr>
        <w:t xml:space="preserve">See </w:t>
      </w:r>
      <w:r>
        <w:t xml:space="preserve">Dr. Rachel Tudor’s Motion and Incorporated Memorandum of Law in Support of Motion to Intervene &amp; Join Claim at 2, </w:t>
      </w:r>
      <w:r w:rsidRPr="00E3164A">
        <w:rPr>
          <w:i/>
          <w:iCs/>
        </w:rPr>
        <w:t>State of Texas, et al. v. United States of America, et al.</w:t>
      </w:r>
      <w:r w:rsidRPr="00151B82">
        <w:t xml:space="preserve">, </w:t>
      </w:r>
      <w:r w:rsidRPr="00D73DDA">
        <w:t>201 F. Supp. 3d 810 (N.D. Tex. 2016)</w:t>
      </w:r>
      <w:r>
        <w:t xml:space="preserve"> (No. </w:t>
      </w:r>
      <w:r w:rsidRPr="00151B82">
        <w:t>16-cv-00054</w:t>
      </w:r>
      <w:r>
        <w:t xml:space="preserve">). </w:t>
      </w:r>
    </w:p>
  </w:footnote>
  <w:footnote w:id="360">
    <w:p w14:paraId="4AA061E2" w14:textId="5D4E7DA3" w:rsidR="000453A5" w:rsidRDefault="000453A5" w:rsidP="0067230F">
      <w:pPr>
        <w:pStyle w:val="FootnoteText"/>
        <w:jc w:val="both"/>
      </w:pPr>
      <w:r>
        <w:rPr>
          <w:rStyle w:val="FootnoteReference"/>
        </w:rPr>
        <w:footnoteRef/>
      </w:r>
      <w:r>
        <w:t xml:space="preserve"> </w:t>
      </w:r>
      <w:r w:rsidR="0030541B" w:rsidRPr="00E3164A">
        <w:rPr>
          <w:i/>
          <w:iCs/>
        </w:rPr>
        <w:t>State of Texas, et al. v. United States of America, et al.</w:t>
      </w:r>
      <w:r w:rsidR="0030541B" w:rsidRPr="00151B82">
        <w:t>, Docket No. 7:16-cv-00054 (N.D. Tex. May 25, 2016)</w:t>
      </w:r>
      <w:r w:rsidR="0030541B">
        <w:t xml:space="preserve">. </w:t>
      </w:r>
    </w:p>
  </w:footnote>
  <w:footnote w:id="361">
    <w:p w14:paraId="5BE16A21" w14:textId="1A71200A" w:rsidR="000453A5" w:rsidRDefault="000453A5" w:rsidP="0067230F">
      <w:pPr>
        <w:pStyle w:val="FootnoteText"/>
        <w:jc w:val="both"/>
      </w:pPr>
      <w:r>
        <w:rPr>
          <w:rStyle w:val="FootnoteReference"/>
        </w:rPr>
        <w:footnoteRef/>
      </w:r>
      <w:r>
        <w:t xml:space="preserve"> </w:t>
      </w:r>
      <w:r w:rsidRPr="00AC5C17">
        <w:rPr>
          <w:i/>
          <w:iCs/>
        </w:rPr>
        <w:t>Texas v. United States</w:t>
      </w:r>
      <w:r w:rsidRPr="00AC5C17">
        <w:t>, 679 Fed. Appx. 320</w:t>
      </w:r>
      <w:r>
        <w:t>, 23-24</w:t>
      </w:r>
      <w:r w:rsidRPr="00AC5C17">
        <w:t xml:space="preserve"> (5th Cir. 2017)</w:t>
      </w:r>
      <w:r>
        <w:t>.</w:t>
      </w:r>
    </w:p>
  </w:footnote>
  <w:footnote w:id="362">
    <w:p w14:paraId="50547FB0" w14:textId="499844F0" w:rsidR="00F30BB7" w:rsidRPr="00F30BB7" w:rsidRDefault="00F30BB7" w:rsidP="0067230F">
      <w:pPr>
        <w:pStyle w:val="FootnoteText"/>
        <w:jc w:val="both"/>
      </w:pPr>
      <w:r>
        <w:rPr>
          <w:rStyle w:val="FootnoteReference"/>
        </w:rPr>
        <w:footnoteRef/>
      </w:r>
      <w:r>
        <w:t xml:space="preserve"> This proposal therefore also supports calls for courts to hold hearings to determine the scope of a potential nationwide injunction. </w:t>
      </w:r>
      <w:r>
        <w:rPr>
          <w:i/>
          <w:iCs/>
        </w:rPr>
        <w:t>Smith</w:t>
      </w:r>
      <w:r>
        <w:t xml:space="preserve">, </w:t>
      </w:r>
      <w:r>
        <w:rPr>
          <w:i/>
          <w:iCs/>
        </w:rPr>
        <w:t>supra</w:t>
      </w:r>
      <w:r>
        <w:t xml:space="preserve">, at 2036-37; Frost, </w:t>
      </w:r>
      <w:r>
        <w:rPr>
          <w:i/>
          <w:iCs/>
        </w:rPr>
        <w:t>supra</w:t>
      </w:r>
      <w:r>
        <w:t>, at 11</w:t>
      </w:r>
      <w:r w:rsidR="0096582F">
        <w:t>1</w:t>
      </w:r>
      <w:r>
        <w:t xml:space="preserve">6. </w:t>
      </w:r>
    </w:p>
  </w:footnote>
  <w:footnote w:id="363">
    <w:p w14:paraId="182D8537" w14:textId="4BDEC43C" w:rsidR="00346476" w:rsidRPr="00953785" w:rsidRDefault="00346476" w:rsidP="0067230F">
      <w:pPr>
        <w:pStyle w:val="FootnoteText"/>
        <w:jc w:val="both"/>
      </w:pPr>
      <w:r>
        <w:rPr>
          <w:rStyle w:val="FootnoteReference"/>
        </w:rPr>
        <w:footnoteRef/>
      </w:r>
      <w:r>
        <w:t xml:space="preserve"> </w:t>
      </w:r>
      <w:r w:rsidR="003C5516">
        <w:rPr>
          <w:i/>
          <w:iCs/>
        </w:rPr>
        <w:t xml:space="preserve">See </w:t>
      </w:r>
      <w:r>
        <w:rPr>
          <w:i/>
          <w:iCs/>
        </w:rPr>
        <w:t>New York</w:t>
      </w:r>
      <w:r>
        <w:t xml:space="preserve">, </w:t>
      </w:r>
      <w:r w:rsidR="002606E9">
        <w:t xml:space="preserve">140 S. Ct. </w:t>
      </w:r>
      <w:r w:rsidR="004A4D52">
        <w:t xml:space="preserve">at </w:t>
      </w:r>
      <w:r w:rsidR="002606E9">
        <w:t>600</w:t>
      </w:r>
      <w:r>
        <w:t xml:space="preserve"> (Gorsuch, J., concurring in the grant of a stay) (criticizing nationwide injunctions for their capacity to be “rushed, high-stake, low-information decisions”)</w:t>
      </w:r>
      <w:r w:rsidR="00953785">
        <w:t xml:space="preserve">; </w:t>
      </w:r>
      <w:r w:rsidR="00F30BB7">
        <w:t>Smith</w:t>
      </w:r>
      <w:r w:rsidR="00953785">
        <w:t xml:space="preserve">, </w:t>
      </w:r>
      <w:r w:rsidR="00953785">
        <w:rPr>
          <w:i/>
          <w:iCs/>
        </w:rPr>
        <w:t>supra</w:t>
      </w:r>
      <w:r w:rsidR="00953785">
        <w:t xml:space="preserve">, at 2036 (“More thorough explanations of a district court’s reasoning would help [appellate judges] evaluate challenges to the scope of an injunction.”). </w:t>
      </w:r>
    </w:p>
  </w:footnote>
  <w:footnote w:id="364">
    <w:p w14:paraId="275709EB" w14:textId="77777777" w:rsidR="004C2A74" w:rsidRDefault="006D16BF" w:rsidP="0067230F">
      <w:pPr>
        <w:pStyle w:val="FootnoteText"/>
        <w:jc w:val="both"/>
      </w:pPr>
      <w:r>
        <w:rPr>
          <w:rStyle w:val="FootnoteReference"/>
        </w:rPr>
        <w:footnoteRef/>
      </w:r>
      <w:r>
        <w:t xml:space="preserve"> </w:t>
      </w:r>
      <w:r>
        <w:rPr>
          <w:i/>
          <w:iCs/>
        </w:rPr>
        <w:t>See, e.g.</w:t>
      </w:r>
      <w:r>
        <w:t xml:space="preserve">, </w:t>
      </w:r>
      <w:r w:rsidRPr="006D16BF">
        <w:rPr>
          <w:i/>
          <w:iCs/>
        </w:rPr>
        <w:t>Food &amp; Drug Admin. v. Am. Coll. of Obstetricians &amp; Gynecologists</w:t>
      </w:r>
      <w:r>
        <w:t xml:space="preserve">, 141 S. Ct. 10, 11 (2020) (remanding for “a more comprehensive record [that] would aid </w:t>
      </w:r>
      <w:proofErr w:type="spellStart"/>
      <w:r>
        <w:t>th</w:t>
      </w:r>
      <w:proofErr w:type="spellEnd"/>
      <w:r>
        <w:t xml:space="preserve">[e] Court’s review” of the nationwide injunction); </w:t>
      </w:r>
      <w:r w:rsidRPr="00E72E6E">
        <w:rPr>
          <w:i/>
          <w:iCs/>
        </w:rPr>
        <w:t xml:space="preserve">City &amp; </w:t>
      </w:r>
      <w:proofErr w:type="spellStart"/>
      <w:r w:rsidRPr="00E72E6E">
        <w:rPr>
          <w:i/>
          <w:iCs/>
        </w:rPr>
        <w:t>Cnty</w:t>
      </w:r>
      <w:proofErr w:type="spellEnd"/>
      <w:r w:rsidRPr="00E72E6E">
        <w:rPr>
          <w:i/>
          <w:iCs/>
        </w:rPr>
        <w:t>. of San Francisco v. Trump</w:t>
      </w:r>
      <w:r w:rsidRPr="00E72E6E">
        <w:t>, 897 F.3d 1225, 1245 (9th Cir. 2018) (vacating injunction “because the record is insufficiently developed as to the question of the national</w:t>
      </w:r>
      <w:r>
        <w:t xml:space="preserve"> </w:t>
      </w:r>
      <w:r w:rsidRPr="00E72E6E">
        <w:t xml:space="preserve">scope of the injunction”); </w:t>
      </w:r>
      <w:r w:rsidRPr="00E72E6E">
        <w:rPr>
          <w:i/>
          <w:iCs/>
        </w:rPr>
        <w:t>California v. Azar</w:t>
      </w:r>
      <w:r w:rsidRPr="00E72E6E">
        <w:t xml:space="preserve">, 911 F.3d 558, 584 (9th Cir. 2018). </w:t>
      </w:r>
    </w:p>
    <w:p w14:paraId="3EBF4E09" w14:textId="1917AB9E" w:rsidR="006D16BF" w:rsidRPr="00DF1D37" w:rsidRDefault="00396597" w:rsidP="0067230F">
      <w:pPr>
        <w:pStyle w:val="FootnoteText"/>
        <w:ind w:firstLine="270"/>
        <w:jc w:val="both"/>
      </w:pPr>
      <w:r>
        <w:t xml:space="preserve">One might read these cases as examples of judicial avoidance </w:t>
      </w:r>
      <w:r w:rsidR="00957E45">
        <w:t xml:space="preserve">or delay </w:t>
      </w:r>
      <w:r>
        <w:t xml:space="preserve">on the merits of the nationwide injunctions, rather than truly justified requests for necessary information. That might be right. </w:t>
      </w:r>
      <w:r w:rsidR="00DF1D37">
        <w:t>But allowing nonparties to provide information about how a</w:t>
      </w:r>
      <w:r w:rsidR="00FE0869">
        <w:t xml:space="preserve">n overbroad </w:t>
      </w:r>
      <w:r w:rsidR="00DF1D37">
        <w:t xml:space="preserve">injunction would negatively affect their interests </w:t>
      </w:r>
      <w:r w:rsidR="00934AB7">
        <w:t>might</w:t>
      </w:r>
      <w:r w:rsidR="004C2A74">
        <w:t xml:space="preserve"> also</w:t>
      </w:r>
      <w:r w:rsidR="00934AB7">
        <w:t xml:space="preserve">: (1) dissuade district courts from issuing the </w:t>
      </w:r>
      <w:r w:rsidR="000C62D3">
        <w:t xml:space="preserve">nationwide </w:t>
      </w:r>
      <w:r w:rsidR="00934AB7">
        <w:t xml:space="preserve">injunction in the first place, </w:t>
      </w:r>
      <w:r w:rsidR="008B61B3">
        <w:t>or</w:t>
      </w:r>
      <w:r w:rsidR="00934AB7">
        <w:t xml:space="preserve"> (2) </w:t>
      </w:r>
      <w:r w:rsidR="00927B39">
        <w:t xml:space="preserve">provide a principled basis for tailoring the injunction at the appellate level, rather than remanding to </w:t>
      </w:r>
      <w:r w:rsidR="000F37D3">
        <w:t>nudge the district court towards tailoring the injunction on its own</w:t>
      </w:r>
      <w:r w:rsidR="00927B39">
        <w:t xml:space="preserve">. </w:t>
      </w:r>
    </w:p>
  </w:footnote>
  <w:footnote w:id="365">
    <w:p w14:paraId="13A3293F" w14:textId="0FB4DEF8" w:rsidR="00532BE3" w:rsidRDefault="00532BE3" w:rsidP="0067230F">
      <w:pPr>
        <w:pStyle w:val="FootnoteText"/>
        <w:jc w:val="both"/>
      </w:pPr>
      <w:r>
        <w:rPr>
          <w:rStyle w:val="FootnoteReference"/>
        </w:rPr>
        <w:footnoteRef/>
      </w:r>
      <w:r>
        <w:t xml:space="preserve"> Fed. R. Civ. P. 24(c). </w:t>
      </w:r>
    </w:p>
  </w:footnote>
  <w:footnote w:id="366">
    <w:p w14:paraId="2856E9B4" w14:textId="33CFF42D" w:rsidR="00D879D0" w:rsidRDefault="00D879D0" w:rsidP="0067230F">
      <w:pPr>
        <w:pStyle w:val="FootnoteText"/>
        <w:jc w:val="both"/>
      </w:pPr>
      <w:r>
        <w:rPr>
          <w:rStyle w:val="FootnoteReference"/>
        </w:rPr>
        <w:footnoteRef/>
      </w:r>
      <w:r>
        <w:t xml:space="preserve"> </w:t>
      </w:r>
      <w:r w:rsidR="00B76722">
        <w:t xml:space="preserve">The defendants asserted that it would “interfere with the Department of Justice’s prerogative to control [the case]” to give the intervenors “full party rights.” But the motion said nothing about the </w:t>
      </w:r>
      <w:r w:rsidR="002F17CE">
        <w:t xml:space="preserve">limited </w:t>
      </w:r>
      <w:r w:rsidR="00B76722">
        <w:t xml:space="preserve">intervention </w:t>
      </w:r>
      <w:proofErr w:type="gramStart"/>
      <w:r w:rsidR="00B76722">
        <w:t>actually requested</w:t>
      </w:r>
      <w:proofErr w:type="gramEnd"/>
      <w:r w:rsidR="00B76722">
        <w:t xml:space="preserve">, which was </w:t>
      </w:r>
      <w:r w:rsidR="00471E9B">
        <w:t>cabined</w:t>
      </w:r>
      <w:r w:rsidR="00B76722">
        <w:t xml:space="preserve"> to arguments over the scope of the remedy. </w:t>
      </w:r>
      <w:r w:rsidR="00B76722">
        <w:rPr>
          <w:i/>
          <w:iCs/>
        </w:rPr>
        <w:t xml:space="preserve">See </w:t>
      </w:r>
      <w:r w:rsidR="00B76722">
        <w:t>Defendants’ Opposition to Proposed Intervenors’ Motion for Limited Intervention at 8-9,</w:t>
      </w:r>
      <w:r w:rsidR="00B76722" w:rsidRPr="00B76722">
        <w:rPr>
          <w:i/>
          <w:iCs/>
        </w:rPr>
        <w:t xml:space="preserve"> </w:t>
      </w:r>
      <w:r w:rsidR="00B76722">
        <w:rPr>
          <w:i/>
          <w:iCs/>
        </w:rPr>
        <w:t>State of Louisiana, et al. v. Centers for Disease Control &amp; Prevention, et al.</w:t>
      </w:r>
      <w:r w:rsidR="00B76722">
        <w:t xml:space="preserve">, </w:t>
      </w:r>
      <w:r w:rsidR="00B76722" w:rsidRPr="00B06FCA">
        <w:t>603 F.Supp.3d 406</w:t>
      </w:r>
      <w:r w:rsidR="00B76722">
        <w:t xml:space="preserve"> (D. Or.) (No. 22-cv-00885).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72C9" w14:textId="6E36E43D" w:rsidR="006C627E" w:rsidRDefault="006C627E" w:rsidP="006C627E">
    <w:pPr>
      <w:pStyle w:val="header0"/>
      <w:tabs>
        <w:tab w:val="clear" w:pos="6720"/>
        <w:tab w:val="right" w:pos="9000"/>
      </w:tabs>
      <w:jc w:val="left"/>
    </w:pPr>
    <w:r>
      <w:rPr>
        <w:noProof/>
      </w:rPr>
      <w:t>Haymond – Intervention and Universal Remedie</w:t>
    </w:r>
    <w:r w:rsidR="00AC7E4C">
      <w:rPr>
        <w:noProof/>
      </w:rPr>
      <w:t>s</w:t>
    </w:r>
    <w:r>
      <w:tab/>
    </w:r>
    <w:r>
      <w:fldChar w:fldCharType="begin"/>
    </w:r>
    <w:r>
      <w:instrText xml:space="preserve"> PAGE   \* MERGEFORMAT </w:instrText>
    </w:r>
    <w:r>
      <w:fldChar w:fldCharType="separate"/>
    </w:r>
    <w: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sidRPr="004769EC">
      <w:t xml:space="preserve"> </w:t>
    </w:r>
  </w:p>
  <w:p w14:paraId="328C2FBF" w14:textId="77777777" w:rsidR="000E53A4" w:rsidRDefault="000E5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32D8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96304"/>
    <w:multiLevelType w:val="hybridMultilevel"/>
    <w:tmpl w:val="C082D07A"/>
    <w:lvl w:ilvl="0" w:tplc="0B2A8954">
      <w:start w:val="3"/>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82C5F"/>
    <w:multiLevelType w:val="hybridMultilevel"/>
    <w:tmpl w:val="F6D88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82F0F"/>
    <w:multiLevelType w:val="hybridMultilevel"/>
    <w:tmpl w:val="C2FCE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D706F"/>
    <w:multiLevelType w:val="multilevel"/>
    <w:tmpl w:val="47E46886"/>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4C3358"/>
    <w:multiLevelType w:val="hybridMultilevel"/>
    <w:tmpl w:val="D5887A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8E0A8F"/>
    <w:multiLevelType w:val="hybridMultilevel"/>
    <w:tmpl w:val="7F62714E"/>
    <w:lvl w:ilvl="0" w:tplc="DB1AEF9C">
      <w:start w:val="1"/>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028C4"/>
    <w:multiLevelType w:val="hybridMultilevel"/>
    <w:tmpl w:val="359CFD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D70FB"/>
    <w:multiLevelType w:val="hybridMultilevel"/>
    <w:tmpl w:val="A9468A06"/>
    <w:lvl w:ilvl="0" w:tplc="DB1AEF9C">
      <w:start w:val="1"/>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6072D"/>
    <w:multiLevelType w:val="hybridMultilevel"/>
    <w:tmpl w:val="DF7A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728BF"/>
    <w:multiLevelType w:val="hybridMultilevel"/>
    <w:tmpl w:val="BC881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BB1186"/>
    <w:multiLevelType w:val="hybridMultilevel"/>
    <w:tmpl w:val="12BAEDA4"/>
    <w:lvl w:ilvl="0" w:tplc="2DFC765C">
      <w:start w:val="34"/>
      <w:numFmt w:val="bullet"/>
      <w:lvlText w:val="-"/>
      <w:lvlJc w:val="left"/>
      <w:pPr>
        <w:ind w:left="1080" w:hanging="360"/>
      </w:pPr>
      <w:rPr>
        <w:rFonts w:ascii="Garamond" w:eastAsiaTheme="minorHAnsi" w:hAnsi="Garamond"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161575"/>
    <w:multiLevelType w:val="multilevel"/>
    <w:tmpl w:val="47E46886"/>
    <w:styleLink w:val="CurrentList3"/>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1E26E7"/>
    <w:multiLevelType w:val="hybridMultilevel"/>
    <w:tmpl w:val="03C8788C"/>
    <w:lvl w:ilvl="0" w:tplc="BA50322A">
      <w:start w:val="3"/>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21C50"/>
    <w:multiLevelType w:val="hybridMultilevel"/>
    <w:tmpl w:val="39B2C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16585"/>
    <w:multiLevelType w:val="hybridMultilevel"/>
    <w:tmpl w:val="F0EA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44322"/>
    <w:multiLevelType w:val="hybridMultilevel"/>
    <w:tmpl w:val="F2846ABA"/>
    <w:lvl w:ilvl="0" w:tplc="AE86FFD4">
      <w:start w:val="3"/>
      <w:numFmt w:val="bullet"/>
      <w:lvlText w:val="-"/>
      <w:lvlJc w:val="left"/>
      <w:pPr>
        <w:ind w:left="720" w:hanging="360"/>
      </w:pPr>
      <w:rPr>
        <w:rFonts w:ascii="Garamond" w:eastAsiaTheme="minorHAnsi" w:hAnsi="Garamond"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C7EB5"/>
    <w:multiLevelType w:val="multilevel"/>
    <w:tmpl w:val="0212D808"/>
    <w:styleLink w:val="CurrentList7"/>
    <w:lvl w:ilvl="0">
      <w:start w:val="1"/>
      <w:numFmt w:val="upperRoman"/>
      <w:lvlText w:val="%1."/>
      <w:lvlJc w:val="left"/>
      <w:pPr>
        <w:ind w:left="360" w:hanging="360"/>
      </w:pPr>
      <w:rPr>
        <w:rFonts w:ascii="Garamond" w:hAnsi="Garamond" w:hint="default"/>
        <w:b w:val="0"/>
        <w:i/>
        <w:sz w:val="24"/>
      </w:rPr>
    </w:lvl>
    <w:lvl w:ilvl="1">
      <w:start w:val="1"/>
      <w:numFmt w:val="upperLetter"/>
      <w:lvlText w:val="%2."/>
      <w:lvlJc w:val="left"/>
      <w:pPr>
        <w:ind w:left="720" w:hanging="360"/>
      </w:pPr>
      <w:rPr>
        <w:rFonts w:ascii="Garamond" w:hAnsi="Garamond" w:hint="default"/>
        <w:b w:val="0"/>
        <w:i/>
        <w:sz w:val="24"/>
      </w:rPr>
    </w:lvl>
    <w:lvl w:ilvl="2">
      <w:start w:val="1"/>
      <w:numFmt w:val="decimal"/>
      <w:lvlText w:val="%3."/>
      <w:lvlJc w:val="left"/>
      <w:pPr>
        <w:ind w:left="1080" w:hanging="360"/>
      </w:pPr>
      <w:rPr>
        <w:rFonts w:ascii="Garamond" w:hAnsi="Garamond" w:hint="default"/>
        <w:b w:val="0"/>
        <w:i/>
        <w:sz w:val="24"/>
      </w:rPr>
    </w:lvl>
    <w:lvl w:ilvl="3">
      <w:start w:val="1"/>
      <w:numFmt w:val="lowerLetter"/>
      <w:lvlText w:val="%4."/>
      <w:lvlJc w:val="left"/>
      <w:pPr>
        <w:ind w:left="1440" w:hanging="360"/>
      </w:pPr>
      <w:rPr>
        <w:rFonts w:ascii="Garamond" w:hAnsi="Garamond" w:hint="default"/>
        <w:b w:val="0"/>
        <w:i/>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7C209C"/>
    <w:multiLevelType w:val="hybridMultilevel"/>
    <w:tmpl w:val="92FA209A"/>
    <w:lvl w:ilvl="0" w:tplc="AE86FFD4">
      <w:start w:val="3"/>
      <w:numFmt w:val="bullet"/>
      <w:lvlText w:val="-"/>
      <w:lvlJc w:val="left"/>
      <w:pPr>
        <w:ind w:left="720" w:hanging="360"/>
      </w:pPr>
      <w:rPr>
        <w:rFonts w:ascii="Garamond" w:eastAsiaTheme="minorHAnsi" w:hAnsi="Garamond"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F43D4"/>
    <w:multiLevelType w:val="hybridMultilevel"/>
    <w:tmpl w:val="E4F649A2"/>
    <w:lvl w:ilvl="0" w:tplc="1C74F8A8">
      <w:start w:val="3"/>
      <w:numFmt w:val="bullet"/>
      <w:lvlText w:val="-"/>
      <w:lvlJc w:val="left"/>
      <w:pPr>
        <w:ind w:left="1080" w:hanging="360"/>
      </w:pPr>
      <w:rPr>
        <w:rFonts w:ascii="Garamond" w:eastAsiaTheme="minorHAnsi" w:hAnsi="Garamond"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2900CF"/>
    <w:multiLevelType w:val="hybridMultilevel"/>
    <w:tmpl w:val="7102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7382E"/>
    <w:multiLevelType w:val="hybridMultilevel"/>
    <w:tmpl w:val="12106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046102"/>
    <w:multiLevelType w:val="hybridMultilevel"/>
    <w:tmpl w:val="FFA4F526"/>
    <w:lvl w:ilvl="0" w:tplc="C570FE08">
      <w:start w:val="3"/>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815DA"/>
    <w:multiLevelType w:val="multilevel"/>
    <w:tmpl w:val="F7D2BCAC"/>
    <w:styleLink w:val="CurrentList4"/>
    <w:lvl w:ilvl="0">
      <w:start w:val="1"/>
      <w:numFmt w:val="upperRoman"/>
      <w:lvlText w:val="%1."/>
      <w:lvlJc w:val="left"/>
      <w:pPr>
        <w:ind w:left="360" w:hanging="360"/>
      </w:pPr>
      <w:rPr>
        <w:rFonts w:ascii="Garamond" w:hAnsi="Garamond" w:hint="default"/>
        <w:b w:val="0"/>
        <w:i w:val="0"/>
        <w:sz w:val="24"/>
      </w:rPr>
    </w:lvl>
    <w:lvl w:ilvl="1">
      <w:start w:val="1"/>
      <w:numFmt w:val="upperLetter"/>
      <w:lvlText w:val="%2."/>
      <w:lvlJc w:val="left"/>
      <w:pPr>
        <w:ind w:left="720" w:hanging="360"/>
      </w:pPr>
      <w:rPr>
        <w:rFonts w:ascii="Garamond" w:hAnsi="Garamond" w:hint="default"/>
        <w:b w:val="0"/>
        <w:i w:val="0"/>
        <w:sz w:val="24"/>
      </w:rPr>
    </w:lvl>
    <w:lvl w:ilvl="2">
      <w:start w:val="1"/>
      <w:numFmt w:val="decimal"/>
      <w:lvlText w:val="%3."/>
      <w:lvlJc w:val="left"/>
      <w:pPr>
        <w:ind w:left="1080" w:hanging="360"/>
      </w:pPr>
      <w:rPr>
        <w:rFonts w:ascii="Garamond" w:hAnsi="Garamond" w:hint="default"/>
        <w:b w:val="0"/>
        <w:i/>
        <w:sz w:val="24"/>
      </w:rPr>
    </w:lvl>
    <w:lvl w:ilvl="3">
      <w:start w:val="1"/>
      <w:numFmt w:val="lowerLetter"/>
      <w:lvlText w:val="%4."/>
      <w:lvlJc w:val="left"/>
      <w:pPr>
        <w:ind w:left="1440" w:hanging="360"/>
      </w:pPr>
      <w:rPr>
        <w:rFonts w:ascii="Garamond" w:hAnsi="Garamond" w:hint="default"/>
        <w:b w:val="0"/>
        <w:i/>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3B78E9"/>
    <w:multiLevelType w:val="hybridMultilevel"/>
    <w:tmpl w:val="B860BD14"/>
    <w:lvl w:ilvl="0" w:tplc="DB1AEF9C">
      <w:start w:val="1"/>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80A27"/>
    <w:multiLevelType w:val="multilevel"/>
    <w:tmpl w:val="0212D808"/>
    <w:lvl w:ilvl="0">
      <w:start w:val="1"/>
      <w:numFmt w:val="upperRoman"/>
      <w:lvlText w:val="%1."/>
      <w:lvlJc w:val="left"/>
      <w:pPr>
        <w:ind w:left="360" w:hanging="360"/>
      </w:pPr>
      <w:rPr>
        <w:rFonts w:ascii="Garamond" w:hAnsi="Garamond" w:hint="default"/>
        <w:b w:val="0"/>
        <w:i/>
        <w:sz w:val="24"/>
      </w:rPr>
    </w:lvl>
    <w:lvl w:ilvl="1">
      <w:start w:val="1"/>
      <w:numFmt w:val="upperLetter"/>
      <w:lvlText w:val="%2."/>
      <w:lvlJc w:val="left"/>
      <w:pPr>
        <w:ind w:left="720" w:hanging="360"/>
      </w:pPr>
      <w:rPr>
        <w:rFonts w:ascii="Garamond" w:hAnsi="Garamond" w:hint="default"/>
        <w:b w:val="0"/>
        <w:i/>
        <w:sz w:val="24"/>
      </w:rPr>
    </w:lvl>
    <w:lvl w:ilvl="2">
      <w:start w:val="1"/>
      <w:numFmt w:val="decimal"/>
      <w:lvlText w:val="%3."/>
      <w:lvlJc w:val="left"/>
      <w:pPr>
        <w:ind w:left="1080" w:hanging="360"/>
      </w:pPr>
      <w:rPr>
        <w:rFonts w:ascii="Garamond" w:hAnsi="Garamond" w:hint="default"/>
        <w:b w:val="0"/>
        <w:i/>
        <w:sz w:val="24"/>
      </w:rPr>
    </w:lvl>
    <w:lvl w:ilvl="3">
      <w:start w:val="1"/>
      <w:numFmt w:val="lowerLetter"/>
      <w:lvlText w:val="%4."/>
      <w:lvlJc w:val="left"/>
      <w:pPr>
        <w:ind w:left="1440" w:hanging="360"/>
      </w:pPr>
      <w:rPr>
        <w:rFonts w:ascii="Garamond" w:hAnsi="Garamond" w:hint="default"/>
        <w:b w:val="0"/>
        <w:i/>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5C301A"/>
    <w:multiLevelType w:val="hybridMultilevel"/>
    <w:tmpl w:val="D3922C32"/>
    <w:lvl w:ilvl="0" w:tplc="DB1AEF9C">
      <w:start w:val="1"/>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B7994"/>
    <w:multiLevelType w:val="multilevel"/>
    <w:tmpl w:val="0212D808"/>
    <w:lvl w:ilvl="0">
      <w:start w:val="1"/>
      <w:numFmt w:val="upperRoman"/>
      <w:lvlText w:val="%1."/>
      <w:lvlJc w:val="left"/>
      <w:pPr>
        <w:ind w:left="360" w:hanging="360"/>
      </w:pPr>
      <w:rPr>
        <w:rFonts w:ascii="Garamond" w:hAnsi="Garamond" w:hint="default"/>
        <w:b w:val="0"/>
        <w:i/>
        <w:sz w:val="24"/>
      </w:rPr>
    </w:lvl>
    <w:lvl w:ilvl="1">
      <w:start w:val="1"/>
      <w:numFmt w:val="upperLetter"/>
      <w:lvlText w:val="%2."/>
      <w:lvlJc w:val="left"/>
      <w:pPr>
        <w:ind w:left="720" w:hanging="360"/>
      </w:pPr>
      <w:rPr>
        <w:rFonts w:ascii="Garamond" w:hAnsi="Garamond" w:hint="default"/>
        <w:b w:val="0"/>
        <w:i/>
        <w:sz w:val="24"/>
      </w:rPr>
    </w:lvl>
    <w:lvl w:ilvl="2">
      <w:start w:val="1"/>
      <w:numFmt w:val="decimal"/>
      <w:lvlText w:val="%3."/>
      <w:lvlJc w:val="left"/>
      <w:pPr>
        <w:ind w:left="1080" w:hanging="360"/>
      </w:pPr>
      <w:rPr>
        <w:rFonts w:ascii="Garamond" w:hAnsi="Garamond" w:hint="default"/>
        <w:b w:val="0"/>
        <w:i/>
        <w:sz w:val="24"/>
      </w:rPr>
    </w:lvl>
    <w:lvl w:ilvl="3">
      <w:start w:val="1"/>
      <w:numFmt w:val="lowerLetter"/>
      <w:lvlText w:val="%4."/>
      <w:lvlJc w:val="left"/>
      <w:pPr>
        <w:ind w:left="1440" w:hanging="360"/>
      </w:pPr>
      <w:rPr>
        <w:rFonts w:ascii="Garamond" w:hAnsi="Garamond" w:hint="default"/>
        <w:b w:val="0"/>
        <w:i/>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6A912AB"/>
    <w:multiLevelType w:val="hybridMultilevel"/>
    <w:tmpl w:val="6B864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D26F6B"/>
    <w:multiLevelType w:val="hybridMultilevel"/>
    <w:tmpl w:val="ED66DFA4"/>
    <w:lvl w:ilvl="0" w:tplc="8080185C">
      <w:start w:val="3"/>
      <w:numFmt w:val="bullet"/>
      <w:lvlText w:val="-"/>
      <w:lvlJc w:val="left"/>
      <w:pPr>
        <w:ind w:left="1080" w:hanging="360"/>
      </w:pPr>
      <w:rPr>
        <w:rFonts w:ascii="Garamond" w:eastAsiaTheme="minorHAnsi" w:hAnsi="Garamond" w:cs="Times New Roman (Body C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912BD9"/>
    <w:multiLevelType w:val="hybridMultilevel"/>
    <w:tmpl w:val="D18EC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95E18"/>
    <w:multiLevelType w:val="hybridMultilevel"/>
    <w:tmpl w:val="8D24382C"/>
    <w:lvl w:ilvl="0" w:tplc="794819D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D85BC8"/>
    <w:multiLevelType w:val="hybridMultilevel"/>
    <w:tmpl w:val="AC0E3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6D6725"/>
    <w:multiLevelType w:val="hybridMultilevel"/>
    <w:tmpl w:val="C4BCEE78"/>
    <w:lvl w:ilvl="0" w:tplc="DB1AEF9C">
      <w:start w:val="1"/>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811CF"/>
    <w:multiLevelType w:val="hybridMultilevel"/>
    <w:tmpl w:val="D8AE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D62DC"/>
    <w:multiLevelType w:val="multilevel"/>
    <w:tmpl w:val="8AAC82B6"/>
    <w:styleLink w:val="CurrentList6"/>
    <w:lvl w:ilvl="0">
      <w:start w:val="1"/>
      <w:numFmt w:val="upperRoman"/>
      <w:lvlText w:val="%1."/>
      <w:lvlJc w:val="left"/>
      <w:pPr>
        <w:ind w:left="360" w:hanging="360"/>
      </w:pPr>
      <w:rPr>
        <w:rFonts w:ascii="Garamond" w:hAnsi="Garamond" w:hint="default"/>
        <w:b w:val="0"/>
        <w:i/>
        <w:sz w:val="24"/>
      </w:rPr>
    </w:lvl>
    <w:lvl w:ilvl="1">
      <w:start w:val="1"/>
      <w:numFmt w:val="upperLetter"/>
      <w:lvlText w:val="%2."/>
      <w:lvlJc w:val="left"/>
      <w:pPr>
        <w:ind w:left="720" w:hanging="360"/>
      </w:pPr>
      <w:rPr>
        <w:rFonts w:ascii="Garamond" w:hAnsi="Garamond" w:hint="default"/>
        <w:b w:val="0"/>
        <w:i w:val="0"/>
        <w:sz w:val="24"/>
      </w:rPr>
    </w:lvl>
    <w:lvl w:ilvl="2">
      <w:start w:val="1"/>
      <w:numFmt w:val="decimal"/>
      <w:lvlText w:val="%3."/>
      <w:lvlJc w:val="left"/>
      <w:pPr>
        <w:ind w:left="1080" w:hanging="360"/>
      </w:pPr>
      <w:rPr>
        <w:rFonts w:ascii="Garamond" w:hAnsi="Garamond" w:hint="default"/>
        <w:b w:val="0"/>
        <w:i/>
        <w:sz w:val="24"/>
      </w:rPr>
    </w:lvl>
    <w:lvl w:ilvl="3">
      <w:start w:val="1"/>
      <w:numFmt w:val="lowerLetter"/>
      <w:lvlText w:val="%4."/>
      <w:lvlJc w:val="left"/>
      <w:pPr>
        <w:ind w:left="1440" w:hanging="360"/>
      </w:pPr>
      <w:rPr>
        <w:rFonts w:ascii="Garamond" w:hAnsi="Garamond" w:hint="default"/>
        <w:b w:val="0"/>
        <w:i/>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0821B3"/>
    <w:multiLevelType w:val="multilevel"/>
    <w:tmpl w:val="0212D808"/>
    <w:lvl w:ilvl="0">
      <w:start w:val="1"/>
      <w:numFmt w:val="upperRoman"/>
      <w:lvlText w:val="%1."/>
      <w:lvlJc w:val="left"/>
      <w:pPr>
        <w:ind w:left="360" w:hanging="360"/>
      </w:pPr>
      <w:rPr>
        <w:rFonts w:ascii="Garamond" w:hAnsi="Garamond" w:hint="default"/>
        <w:b w:val="0"/>
        <w:i/>
        <w:sz w:val="24"/>
      </w:rPr>
    </w:lvl>
    <w:lvl w:ilvl="1">
      <w:start w:val="1"/>
      <w:numFmt w:val="upperLetter"/>
      <w:lvlText w:val="%2."/>
      <w:lvlJc w:val="left"/>
      <w:pPr>
        <w:ind w:left="720" w:hanging="360"/>
      </w:pPr>
      <w:rPr>
        <w:rFonts w:ascii="Garamond" w:hAnsi="Garamond" w:hint="default"/>
        <w:b w:val="0"/>
        <w:i/>
        <w:sz w:val="24"/>
      </w:rPr>
    </w:lvl>
    <w:lvl w:ilvl="2">
      <w:start w:val="1"/>
      <w:numFmt w:val="decimal"/>
      <w:lvlText w:val="%3."/>
      <w:lvlJc w:val="left"/>
      <w:pPr>
        <w:ind w:left="1080" w:hanging="360"/>
      </w:pPr>
      <w:rPr>
        <w:rFonts w:ascii="Garamond" w:hAnsi="Garamond" w:hint="default"/>
        <w:b w:val="0"/>
        <w:i/>
        <w:sz w:val="24"/>
      </w:rPr>
    </w:lvl>
    <w:lvl w:ilvl="3">
      <w:start w:val="1"/>
      <w:numFmt w:val="lowerLetter"/>
      <w:lvlText w:val="%4."/>
      <w:lvlJc w:val="left"/>
      <w:pPr>
        <w:ind w:left="1440" w:hanging="360"/>
      </w:pPr>
      <w:rPr>
        <w:rFonts w:ascii="Garamond" w:hAnsi="Garamond" w:hint="default"/>
        <w:b w:val="0"/>
        <w:i/>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5DF656F"/>
    <w:multiLevelType w:val="multilevel"/>
    <w:tmpl w:val="47E46886"/>
    <w:styleLink w:val="CurrentList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FE67D2"/>
    <w:multiLevelType w:val="multilevel"/>
    <w:tmpl w:val="17E0735A"/>
    <w:lvl w:ilvl="0">
      <w:start w:val="1"/>
      <w:numFmt w:val="upperRoman"/>
      <w:pStyle w:val="Heading1"/>
      <w:lvlText w:val="%1."/>
      <w:lvlJc w:val="left"/>
      <w:pPr>
        <w:ind w:left="360" w:hanging="360"/>
      </w:pPr>
      <w:rPr>
        <w:rFonts w:ascii="Garamond" w:hAnsi="Garamond" w:hint="default"/>
        <w:b w:val="0"/>
        <w:i w:val="0"/>
        <w:iCs/>
        <w:sz w:val="24"/>
      </w:rPr>
    </w:lvl>
    <w:lvl w:ilvl="1">
      <w:start w:val="1"/>
      <w:numFmt w:val="upperLetter"/>
      <w:pStyle w:val="Heading2"/>
      <w:lvlText w:val="%2."/>
      <w:lvlJc w:val="left"/>
      <w:pPr>
        <w:ind w:left="720" w:hanging="360"/>
      </w:pPr>
      <w:rPr>
        <w:rFonts w:ascii="Garamond" w:hAnsi="Garamond" w:hint="default"/>
        <w:b w:val="0"/>
        <w:i w:val="0"/>
        <w:iCs/>
        <w:sz w:val="24"/>
      </w:rPr>
    </w:lvl>
    <w:lvl w:ilvl="2">
      <w:start w:val="1"/>
      <w:numFmt w:val="decimal"/>
      <w:pStyle w:val="Heading3"/>
      <w:lvlText w:val="%3."/>
      <w:lvlJc w:val="left"/>
      <w:pPr>
        <w:ind w:left="3420" w:hanging="360"/>
      </w:pPr>
      <w:rPr>
        <w:rFonts w:ascii="Garamond" w:hAnsi="Garamond" w:hint="default"/>
        <w:b w:val="0"/>
        <w:i w:val="0"/>
        <w:iCs/>
        <w:sz w:val="24"/>
      </w:rPr>
    </w:lvl>
    <w:lvl w:ilvl="3">
      <w:start w:val="1"/>
      <w:numFmt w:val="lowerLetter"/>
      <w:lvlText w:val="%4."/>
      <w:lvlJc w:val="left"/>
      <w:pPr>
        <w:ind w:left="1440" w:hanging="360"/>
      </w:pPr>
      <w:rPr>
        <w:rFonts w:ascii="Garamond" w:hAnsi="Garamond" w:hint="default"/>
        <w:b w:val="0"/>
        <w:i/>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8206251"/>
    <w:multiLevelType w:val="multilevel"/>
    <w:tmpl w:val="AAA65322"/>
    <w:lvl w:ilvl="0">
      <w:start w:val="1"/>
      <w:numFmt w:val="upperRoman"/>
      <w:lvlText w:val="%1."/>
      <w:lvlJc w:val="left"/>
      <w:pPr>
        <w:ind w:left="360" w:hanging="360"/>
      </w:pPr>
      <w:rPr>
        <w:rFonts w:ascii="Garamond" w:hAnsi="Garamond" w:hint="default"/>
        <w:b w:val="0"/>
        <w:i/>
        <w:sz w:val="24"/>
      </w:rPr>
    </w:lvl>
    <w:lvl w:ilvl="1">
      <w:start w:val="1"/>
      <w:numFmt w:val="upperLetter"/>
      <w:lvlText w:val="%2."/>
      <w:lvlJc w:val="left"/>
      <w:pPr>
        <w:ind w:left="720" w:hanging="360"/>
      </w:pPr>
      <w:rPr>
        <w:rFonts w:ascii="Garamond" w:hAnsi="Garamond" w:hint="default"/>
        <w:b w:val="0"/>
        <w:i/>
        <w:sz w:val="24"/>
      </w:rPr>
    </w:lvl>
    <w:lvl w:ilvl="2">
      <w:start w:val="1"/>
      <w:numFmt w:val="decimal"/>
      <w:lvlText w:val="%3."/>
      <w:lvlJc w:val="left"/>
      <w:pPr>
        <w:ind w:left="1080" w:hanging="360"/>
      </w:pPr>
      <w:rPr>
        <w:rFonts w:ascii="Garamond" w:hAnsi="Garamond" w:hint="default"/>
        <w:b w:val="0"/>
        <w:i/>
        <w:sz w:val="24"/>
      </w:rPr>
    </w:lvl>
    <w:lvl w:ilvl="3">
      <w:start w:val="1"/>
      <w:numFmt w:val="lowerLetter"/>
      <w:lvlText w:val="%4."/>
      <w:lvlJc w:val="left"/>
      <w:pPr>
        <w:ind w:left="1440" w:hanging="360"/>
      </w:pPr>
      <w:rPr>
        <w:rFonts w:ascii="Garamond" w:hAnsi="Garamond" w:hint="default"/>
        <w:b w:val="0"/>
        <w:i/>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A9D46E7"/>
    <w:multiLevelType w:val="multilevel"/>
    <w:tmpl w:val="F7D2BCAC"/>
    <w:styleLink w:val="CurrentList5"/>
    <w:lvl w:ilvl="0">
      <w:start w:val="1"/>
      <w:numFmt w:val="upperRoman"/>
      <w:lvlText w:val="%1."/>
      <w:lvlJc w:val="left"/>
      <w:pPr>
        <w:ind w:left="360" w:hanging="360"/>
      </w:pPr>
      <w:rPr>
        <w:rFonts w:ascii="Garamond" w:hAnsi="Garamond" w:hint="default"/>
        <w:b w:val="0"/>
        <w:i w:val="0"/>
        <w:sz w:val="24"/>
      </w:rPr>
    </w:lvl>
    <w:lvl w:ilvl="1">
      <w:start w:val="1"/>
      <w:numFmt w:val="upperLetter"/>
      <w:lvlText w:val="%2."/>
      <w:lvlJc w:val="left"/>
      <w:pPr>
        <w:ind w:left="720" w:hanging="360"/>
      </w:pPr>
      <w:rPr>
        <w:rFonts w:ascii="Garamond" w:hAnsi="Garamond" w:hint="default"/>
        <w:b w:val="0"/>
        <w:i w:val="0"/>
        <w:sz w:val="24"/>
      </w:rPr>
    </w:lvl>
    <w:lvl w:ilvl="2">
      <w:start w:val="1"/>
      <w:numFmt w:val="decimal"/>
      <w:lvlText w:val="%3."/>
      <w:lvlJc w:val="left"/>
      <w:pPr>
        <w:ind w:left="1080" w:hanging="360"/>
      </w:pPr>
      <w:rPr>
        <w:rFonts w:ascii="Garamond" w:hAnsi="Garamond" w:hint="default"/>
        <w:b w:val="0"/>
        <w:i/>
        <w:sz w:val="24"/>
      </w:rPr>
    </w:lvl>
    <w:lvl w:ilvl="3">
      <w:start w:val="1"/>
      <w:numFmt w:val="lowerLetter"/>
      <w:lvlText w:val="%4."/>
      <w:lvlJc w:val="left"/>
      <w:pPr>
        <w:ind w:left="1440" w:hanging="360"/>
      </w:pPr>
      <w:rPr>
        <w:rFonts w:ascii="Garamond" w:hAnsi="Garamond" w:hint="default"/>
        <w:b w:val="0"/>
        <w:i/>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C3A4E27"/>
    <w:multiLevelType w:val="hybridMultilevel"/>
    <w:tmpl w:val="DC90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A3EB1"/>
    <w:multiLevelType w:val="hybridMultilevel"/>
    <w:tmpl w:val="8E34D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5021FD"/>
    <w:multiLevelType w:val="hybridMultilevel"/>
    <w:tmpl w:val="9C68AE2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72B42850"/>
    <w:multiLevelType w:val="hybridMultilevel"/>
    <w:tmpl w:val="8D022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AD3AA6"/>
    <w:multiLevelType w:val="hybridMultilevel"/>
    <w:tmpl w:val="10922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54280F"/>
    <w:multiLevelType w:val="hybridMultilevel"/>
    <w:tmpl w:val="F9DC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61093C"/>
    <w:multiLevelType w:val="hybridMultilevel"/>
    <w:tmpl w:val="E708A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4111D4"/>
    <w:multiLevelType w:val="multilevel"/>
    <w:tmpl w:val="0212D808"/>
    <w:lvl w:ilvl="0">
      <w:start w:val="1"/>
      <w:numFmt w:val="upperRoman"/>
      <w:lvlText w:val="%1."/>
      <w:lvlJc w:val="left"/>
      <w:pPr>
        <w:ind w:left="360" w:hanging="360"/>
      </w:pPr>
      <w:rPr>
        <w:rFonts w:ascii="Garamond" w:hAnsi="Garamond" w:hint="default"/>
        <w:b w:val="0"/>
        <w:i/>
        <w:sz w:val="24"/>
      </w:rPr>
    </w:lvl>
    <w:lvl w:ilvl="1">
      <w:start w:val="1"/>
      <w:numFmt w:val="upperLetter"/>
      <w:lvlText w:val="%2."/>
      <w:lvlJc w:val="left"/>
      <w:pPr>
        <w:ind w:left="720" w:hanging="360"/>
      </w:pPr>
      <w:rPr>
        <w:rFonts w:ascii="Garamond" w:hAnsi="Garamond" w:hint="default"/>
        <w:b w:val="0"/>
        <w:i/>
        <w:sz w:val="24"/>
      </w:rPr>
    </w:lvl>
    <w:lvl w:ilvl="2">
      <w:start w:val="1"/>
      <w:numFmt w:val="decimal"/>
      <w:lvlText w:val="%3."/>
      <w:lvlJc w:val="left"/>
      <w:pPr>
        <w:ind w:left="1080" w:hanging="360"/>
      </w:pPr>
      <w:rPr>
        <w:rFonts w:ascii="Garamond" w:hAnsi="Garamond" w:hint="default"/>
        <w:b w:val="0"/>
        <w:i/>
        <w:sz w:val="24"/>
      </w:rPr>
    </w:lvl>
    <w:lvl w:ilvl="3">
      <w:start w:val="1"/>
      <w:numFmt w:val="lowerLetter"/>
      <w:lvlText w:val="%4."/>
      <w:lvlJc w:val="left"/>
      <w:pPr>
        <w:ind w:left="1440" w:hanging="360"/>
      </w:pPr>
      <w:rPr>
        <w:rFonts w:ascii="Garamond" w:hAnsi="Garamond" w:hint="default"/>
        <w:b w:val="0"/>
        <w:i/>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9AD3C1E"/>
    <w:multiLevelType w:val="multilevel"/>
    <w:tmpl w:val="0212D808"/>
    <w:lvl w:ilvl="0">
      <w:start w:val="1"/>
      <w:numFmt w:val="upperRoman"/>
      <w:lvlText w:val="%1."/>
      <w:lvlJc w:val="left"/>
      <w:pPr>
        <w:ind w:left="360" w:hanging="360"/>
      </w:pPr>
      <w:rPr>
        <w:rFonts w:ascii="Garamond" w:hAnsi="Garamond" w:hint="default"/>
        <w:b w:val="0"/>
        <w:i/>
        <w:sz w:val="24"/>
      </w:rPr>
    </w:lvl>
    <w:lvl w:ilvl="1">
      <w:start w:val="1"/>
      <w:numFmt w:val="upperLetter"/>
      <w:lvlText w:val="%2."/>
      <w:lvlJc w:val="left"/>
      <w:pPr>
        <w:ind w:left="720" w:hanging="360"/>
      </w:pPr>
      <w:rPr>
        <w:rFonts w:ascii="Garamond" w:hAnsi="Garamond" w:hint="default"/>
        <w:b w:val="0"/>
        <w:i/>
        <w:sz w:val="24"/>
      </w:rPr>
    </w:lvl>
    <w:lvl w:ilvl="2">
      <w:start w:val="1"/>
      <w:numFmt w:val="decimal"/>
      <w:lvlText w:val="%3."/>
      <w:lvlJc w:val="left"/>
      <w:pPr>
        <w:ind w:left="1080" w:hanging="360"/>
      </w:pPr>
      <w:rPr>
        <w:rFonts w:ascii="Garamond" w:hAnsi="Garamond" w:hint="default"/>
        <w:b w:val="0"/>
        <w:i/>
        <w:sz w:val="24"/>
      </w:rPr>
    </w:lvl>
    <w:lvl w:ilvl="3">
      <w:start w:val="1"/>
      <w:numFmt w:val="lowerLetter"/>
      <w:lvlText w:val="%4."/>
      <w:lvlJc w:val="left"/>
      <w:pPr>
        <w:ind w:left="1440" w:hanging="360"/>
      </w:pPr>
      <w:rPr>
        <w:rFonts w:ascii="Garamond" w:hAnsi="Garamond" w:hint="default"/>
        <w:b w:val="0"/>
        <w:i/>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81665035">
    <w:abstractNumId w:val="16"/>
  </w:num>
  <w:num w:numId="2" w16cid:durableId="1039746573">
    <w:abstractNumId w:val="18"/>
  </w:num>
  <w:num w:numId="3" w16cid:durableId="234367061">
    <w:abstractNumId w:val="41"/>
  </w:num>
  <w:num w:numId="4" w16cid:durableId="2027781374">
    <w:abstractNumId w:val="22"/>
  </w:num>
  <w:num w:numId="5" w16cid:durableId="538976662">
    <w:abstractNumId w:val="29"/>
  </w:num>
  <w:num w:numId="6" w16cid:durableId="144005976">
    <w:abstractNumId w:val="1"/>
  </w:num>
  <w:num w:numId="7" w16cid:durableId="1821992645">
    <w:abstractNumId w:val="13"/>
  </w:num>
  <w:num w:numId="8" w16cid:durableId="1632439790">
    <w:abstractNumId w:val="19"/>
  </w:num>
  <w:num w:numId="9" w16cid:durableId="357313008">
    <w:abstractNumId w:val="11"/>
  </w:num>
  <w:num w:numId="10" w16cid:durableId="990987052">
    <w:abstractNumId w:val="31"/>
  </w:num>
  <w:num w:numId="11" w16cid:durableId="638344627">
    <w:abstractNumId w:val="38"/>
  </w:num>
  <w:num w:numId="12" w16cid:durableId="1768843607">
    <w:abstractNumId w:val="4"/>
  </w:num>
  <w:num w:numId="13" w16cid:durableId="1794860768">
    <w:abstractNumId w:val="37"/>
  </w:num>
  <w:num w:numId="14" w16cid:durableId="1793204694">
    <w:abstractNumId w:val="12"/>
  </w:num>
  <w:num w:numId="15" w16cid:durableId="1119764795">
    <w:abstractNumId w:val="23"/>
  </w:num>
  <w:num w:numId="16" w16cid:durableId="825585607">
    <w:abstractNumId w:val="40"/>
  </w:num>
  <w:num w:numId="17" w16cid:durableId="1938056412">
    <w:abstractNumId w:val="35"/>
  </w:num>
  <w:num w:numId="18" w16cid:durableId="498085226">
    <w:abstractNumId w:val="27"/>
  </w:num>
  <w:num w:numId="19" w16cid:durableId="1923643102">
    <w:abstractNumId w:val="48"/>
  </w:num>
  <w:num w:numId="20" w16cid:durableId="1796941857">
    <w:abstractNumId w:val="49"/>
  </w:num>
  <w:num w:numId="21" w16cid:durableId="740248661">
    <w:abstractNumId w:val="25"/>
  </w:num>
  <w:num w:numId="22" w16cid:durableId="753627053">
    <w:abstractNumId w:val="36"/>
  </w:num>
  <w:num w:numId="23" w16cid:durableId="549420740">
    <w:abstractNumId w:val="17"/>
  </w:num>
  <w:num w:numId="24" w16cid:durableId="2015187529">
    <w:abstractNumId w:val="39"/>
  </w:num>
  <w:num w:numId="25" w16cid:durableId="1966231540">
    <w:abstractNumId w:val="47"/>
  </w:num>
  <w:num w:numId="26" w16cid:durableId="108549423">
    <w:abstractNumId w:val="14"/>
  </w:num>
  <w:num w:numId="27" w16cid:durableId="800685118">
    <w:abstractNumId w:val="30"/>
  </w:num>
  <w:num w:numId="28" w16cid:durableId="497622060">
    <w:abstractNumId w:val="3"/>
  </w:num>
  <w:num w:numId="29" w16cid:durableId="11761974">
    <w:abstractNumId w:val="7"/>
  </w:num>
  <w:num w:numId="30" w16cid:durableId="1379358533">
    <w:abstractNumId w:val="42"/>
  </w:num>
  <w:num w:numId="31" w16cid:durableId="954753977">
    <w:abstractNumId w:val="34"/>
  </w:num>
  <w:num w:numId="32" w16cid:durableId="1959604819">
    <w:abstractNumId w:val="32"/>
  </w:num>
  <w:num w:numId="33" w16cid:durableId="1299411199">
    <w:abstractNumId w:val="44"/>
  </w:num>
  <w:num w:numId="34" w16cid:durableId="747506200">
    <w:abstractNumId w:val="9"/>
  </w:num>
  <w:num w:numId="35" w16cid:durableId="1815638344">
    <w:abstractNumId w:val="46"/>
  </w:num>
  <w:num w:numId="36" w16cid:durableId="423888673">
    <w:abstractNumId w:val="26"/>
  </w:num>
  <w:num w:numId="37" w16cid:durableId="666789017">
    <w:abstractNumId w:val="24"/>
  </w:num>
  <w:num w:numId="38" w16cid:durableId="242223980">
    <w:abstractNumId w:val="8"/>
  </w:num>
  <w:num w:numId="39" w16cid:durableId="1874264812">
    <w:abstractNumId w:val="21"/>
  </w:num>
  <w:num w:numId="40" w16cid:durableId="1385326664">
    <w:abstractNumId w:val="28"/>
  </w:num>
  <w:num w:numId="41" w16cid:durableId="1820616107">
    <w:abstractNumId w:val="6"/>
  </w:num>
  <w:num w:numId="42" w16cid:durableId="698554156">
    <w:abstractNumId w:val="33"/>
  </w:num>
  <w:num w:numId="43" w16cid:durableId="686449374">
    <w:abstractNumId w:val="2"/>
  </w:num>
  <w:num w:numId="44" w16cid:durableId="729497989">
    <w:abstractNumId w:val="20"/>
  </w:num>
  <w:num w:numId="45" w16cid:durableId="126436873">
    <w:abstractNumId w:val="5"/>
  </w:num>
  <w:num w:numId="46" w16cid:durableId="1653102236">
    <w:abstractNumId w:val="43"/>
  </w:num>
  <w:num w:numId="47" w16cid:durableId="171989541">
    <w:abstractNumId w:val="10"/>
  </w:num>
  <w:num w:numId="48" w16cid:durableId="919869816">
    <w:abstractNumId w:val="0"/>
  </w:num>
  <w:num w:numId="49" w16cid:durableId="186455327">
    <w:abstractNumId w:val="45"/>
  </w:num>
  <w:num w:numId="50" w16cid:durableId="4094252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7E"/>
    <w:rsid w:val="0000043F"/>
    <w:rsid w:val="0000045D"/>
    <w:rsid w:val="00000596"/>
    <w:rsid w:val="0000095C"/>
    <w:rsid w:val="000010AD"/>
    <w:rsid w:val="000015A8"/>
    <w:rsid w:val="0000173F"/>
    <w:rsid w:val="00002AF2"/>
    <w:rsid w:val="00003155"/>
    <w:rsid w:val="00003FDF"/>
    <w:rsid w:val="00004511"/>
    <w:rsid w:val="00004B3F"/>
    <w:rsid w:val="000057C5"/>
    <w:rsid w:val="00007C9E"/>
    <w:rsid w:val="00010D44"/>
    <w:rsid w:val="000110FD"/>
    <w:rsid w:val="0001242A"/>
    <w:rsid w:val="00012979"/>
    <w:rsid w:val="00012EFE"/>
    <w:rsid w:val="000136F3"/>
    <w:rsid w:val="00013952"/>
    <w:rsid w:val="00013A50"/>
    <w:rsid w:val="00014FD0"/>
    <w:rsid w:val="0001551B"/>
    <w:rsid w:val="00016786"/>
    <w:rsid w:val="00016F9C"/>
    <w:rsid w:val="0001734E"/>
    <w:rsid w:val="00022D8F"/>
    <w:rsid w:val="000230E9"/>
    <w:rsid w:val="00023A6D"/>
    <w:rsid w:val="000249FC"/>
    <w:rsid w:val="00024F80"/>
    <w:rsid w:val="00025B57"/>
    <w:rsid w:val="00026313"/>
    <w:rsid w:val="000278C0"/>
    <w:rsid w:val="000278FA"/>
    <w:rsid w:val="00032D08"/>
    <w:rsid w:val="0003321D"/>
    <w:rsid w:val="00033A8B"/>
    <w:rsid w:val="000343C3"/>
    <w:rsid w:val="00034AE2"/>
    <w:rsid w:val="0003579A"/>
    <w:rsid w:val="00036096"/>
    <w:rsid w:val="000362AB"/>
    <w:rsid w:val="00037F5B"/>
    <w:rsid w:val="00037F6B"/>
    <w:rsid w:val="000408B4"/>
    <w:rsid w:val="00040D32"/>
    <w:rsid w:val="00042391"/>
    <w:rsid w:val="0004341B"/>
    <w:rsid w:val="00043A2A"/>
    <w:rsid w:val="000443A9"/>
    <w:rsid w:val="00044949"/>
    <w:rsid w:val="00044DB3"/>
    <w:rsid w:val="00045288"/>
    <w:rsid w:val="000453A5"/>
    <w:rsid w:val="00045CDF"/>
    <w:rsid w:val="00046611"/>
    <w:rsid w:val="000473BA"/>
    <w:rsid w:val="00047608"/>
    <w:rsid w:val="00047749"/>
    <w:rsid w:val="0005140A"/>
    <w:rsid w:val="000523FE"/>
    <w:rsid w:val="0005266C"/>
    <w:rsid w:val="000526C6"/>
    <w:rsid w:val="00052F0B"/>
    <w:rsid w:val="00053A1E"/>
    <w:rsid w:val="00053B80"/>
    <w:rsid w:val="00054286"/>
    <w:rsid w:val="00054A61"/>
    <w:rsid w:val="00055168"/>
    <w:rsid w:val="0005570D"/>
    <w:rsid w:val="0005629A"/>
    <w:rsid w:val="00056303"/>
    <w:rsid w:val="00056CDB"/>
    <w:rsid w:val="000572FE"/>
    <w:rsid w:val="00060151"/>
    <w:rsid w:val="00060F78"/>
    <w:rsid w:val="00060FD4"/>
    <w:rsid w:val="000620E3"/>
    <w:rsid w:val="000629E4"/>
    <w:rsid w:val="000638E2"/>
    <w:rsid w:val="00063C10"/>
    <w:rsid w:val="00063C51"/>
    <w:rsid w:val="0006510D"/>
    <w:rsid w:val="000659E4"/>
    <w:rsid w:val="00065DAC"/>
    <w:rsid w:val="000664E9"/>
    <w:rsid w:val="000665A5"/>
    <w:rsid w:val="00066988"/>
    <w:rsid w:val="00066CE9"/>
    <w:rsid w:val="00067E1B"/>
    <w:rsid w:val="00070316"/>
    <w:rsid w:val="00070B67"/>
    <w:rsid w:val="00070BF6"/>
    <w:rsid w:val="000719D9"/>
    <w:rsid w:val="00071B5F"/>
    <w:rsid w:val="00072944"/>
    <w:rsid w:val="000731E9"/>
    <w:rsid w:val="00073492"/>
    <w:rsid w:val="00073A34"/>
    <w:rsid w:val="00074BC3"/>
    <w:rsid w:val="00074C8D"/>
    <w:rsid w:val="00074FB0"/>
    <w:rsid w:val="00075191"/>
    <w:rsid w:val="000765B8"/>
    <w:rsid w:val="000802A2"/>
    <w:rsid w:val="000808F2"/>
    <w:rsid w:val="00081729"/>
    <w:rsid w:val="00081A38"/>
    <w:rsid w:val="00081FC8"/>
    <w:rsid w:val="0008249E"/>
    <w:rsid w:val="0008262A"/>
    <w:rsid w:val="00082EAC"/>
    <w:rsid w:val="0008377F"/>
    <w:rsid w:val="00083950"/>
    <w:rsid w:val="00084A39"/>
    <w:rsid w:val="000858A7"/>
    <w:rsid w:val="00085A76"/>
    <w:rsid w:val="00086B2B"/>
    <w:rsid w:val="00086F50"/>
    <w:rsid w:val="000872D6"/>
    <w:rsid w:val="000879F1"/>
    <w:rsid w:val="00090CBC"/>
    <w:rsid w:val="00090EFC"/>
    <w:rsid w:val="00091257"/>
    <w:rsid w:val="00091F80"/>
    <w:rsid w:val="00092B37"/>
    <w:rsid w:val="00092C57"/>
    <w:rsid w:val="00093A9E"/>
    <w:rsid w:val="00093BBF"/>
    <w:rsid w:val="00093E6A"/>
    <w:rsid w:val="0009430C"/>
    <w:rsid w:val="000943DB"/>
    <w:rsid w:val="00094960"/>
    <w:rsid w:val="00094DDA"/>
    <w:rsid w:val="00096438"/>
    <w:rsid w:val="0009652D"/>
    <w:rsid w:val="0009710A"/>
    <w:rsid w:val="000A0288"/>
    <w:rsid w:val="000A0AC9"/>
    <w:rsid w:val="000A12FC"/>
    <w:rsid w:val="000A1360"/>
    <w:rsid w:val="000A2CD9"/>
    <w:rsid w:val="000A2F9E"/>
    <w:rsid w:val="000A369C"/>
    <w:rsid w:val="000A3947"/>
    <w:rsid w:val="000A3ECD"/>
    <w:rsid w:val="000A4F4B"/>
    <w:rsid w:val="000A51CA"/>
    <w:rsid w:val="000A5266"/>
    <w:rsid w:val="000A534B"/>
    <w:rsid w:val="000A605F"/>
    <w:rsid w:val="000A7372"/>
    <w:rsid w:val="000A7897"/>
    <w:rsid w:val="000A79E4"/>
    <w:rsid w:val="000A7F00"/>
    <w:rsid w:val="000B0120"/>
    <w:rsid w:val="000B05FE"/>
    <w:rsid w:val="000B26C5"/>
    <w:rsid w:val="000B33A2"/>
    <w:rsid w:val="000B36A5"/>
    <w:rsid w:val="000B39A8"/>
    <w:rsid w:val="000B3CCE"/>
    <w:rsid w:val="000B4BB3"/>
    <w:rsid w:val="000B55D9"/>
    <w:rsid w:val="000B5DD4"/>
    <w:rsid w:val="000B5E05"/>
    <w:rsid w:val="000B6073"/>
    <w:rsid w:val="000B62FA"/>
    <w:rsid w:val="000B644F"/>
    <w:rsid w:val="000B691B"/>
    <w:rsid w:val="000B7044"/>
    <w:rsid w:val="000B73E7"/>
    <w:rsid w:val="000B76AD"/>
    <w:rsid w:val="000C0311"/>
    <w:rsid w:val="000C0678"/>
    <w:rsid w:val="000C0F8D"/>
    <w:rsid w:val="000C1550"/>
    <w:rsid w:val="000C1F1E"/>
    <w:rsid w:val="000C22EC"/>
    <w:rsid w:val="000C30D7"/>
    <w:rsid w:val="000C4ADB"/>
    <w:rsid w:val="000C4BA8"/>
    <w:rsid w:val="000C5021"/>
    <w:rsid w:val="000C53E1"/>
    <w:rsid w:val="000C5703"/>
    <w:rsid w:val="000C62D3"/>
    <w:rsid w:val="000C632E"/>
    <w:rsid w:val="000C64AA"/>
    <w:rsid w:val="000C6559"/>
    <w:rsid w:val="000C6AD4"/>
    <w:rsid w:val="000C6AF3"/>
    <w:rsid w:val="000C6BD4"/>
    <w:rsid w:val="000C70C5"/>
    <w:rsid w:val="000C7E1B"/>
    <w:rsid w:val="000D1071"/>
    <w:rsid w:val="000D1A4B"/>
    <w:rsid w:val="000D1E83"/>
    <w:rsid w:val="000D210B"/>
    <w:rsid w:val="000D2AA1"/>
    <w:rsid w:val="000D2EB9"/>
    <w:rsid w:val="000D36D3"/>
    <w:rsid w:val="000D3B8C"/>
    <w:rsid w:val="000D3EA4"/>
    <w:rsid w:val="000D446B"/>
    <w:rsid w:val="000D46FC"/>
    <w:rsid w:val="000D4A96"/>
    <w:rsid w:val="000D50C6"/>
    <w:rsid w:val="000D5535"/>
    <w:rsid w:val="000D588D"/>
    <w:rsid w:val="000D5D68"/>
    <w:rsid w:val="000D60A4"/>
    <w:rsid w:val="000D7184"/>
    <w:rsid w:val="000E0818"/>
    <w:rsid w:val="000E0DC1"/>
    <w:rsid w:val="000E11CD"/>
    <w:rsid w:val="000E16C0"/>
    <w:rsid w:val="000E4634"/>
    <w:rsid w:val="000E53A4"/>
    <w:rsid w:val="000E570F"/>
    <w:rsid w:val="000E58D9"/>
    <w:rsid w:val="000E6095"/>
    <w:rsid w:val="000E60F2"/>
    <w:rsid w:val="000E61EC"/>
    <w:rsid w:val="000E6CB1"/>
    <w:rsid w:val="000E72DE"/>
    <w:rsid w:val="000E7C4B"/>
    <w:rsid w:val="000F0227"/>
    <w:rsid w:val="000F16BC"/>
    <w:rsid w:val="000F1877"/>
    <w:rsid w:val="000F27D2"/>
    <w:rsid w:val="000F37B3"/>
    <w:rsid w:val="000F37D3"/>
    <w:rsid w:val="000F3BC9"/>
    <w:rsid w:val="000F4141"/>
    <w:rsid w:val="000F4B8E"/>
    <w:rsid w:val="000F4BF4"/>
    <w:rsid w:val="000F4CC3"/>
    <w:rsid w:val="000F6F54"/>
    <w:rsid w:val="000F714C"/>
    <w:rsid w:val="000F715D"/>
    <w:rsid w:val="000F72CB"/>
    <w:rsid w:val="00100A86"/>
    <w:rsid w:val="0010148D"/>
    <w:rsid w:val="00101E03"/>
    <w:rsid w:val="00102C0E"/>
    <w:rsid w:val="00102C6A"/>
    <w:rsid w:val="00104474"/>
    <w:rsid w:val="0010482B"/>
    <w:rsid w:val="00104B17"/>
    <w:rsid w:val="00105489"/>
    <w:rsid w:val="00106401"/>
    <w:rsid w:val="00106AE7"/>
    <w:rsid w:val="00106B1C"/>
    <w:rsid w:val="00106CC7"/>
    <w:rsid w:val="0010702A"/>
    <w:rsid w:val="001077FB"/>
    <w:rsid w:val="00110556"/>
    <w:rsid w:val="00110E4F"/>
    <w:rsid w:val="0011171F"/>
    <w:rsid w:val="00111AA3"/>
    <w:rsid w:val="00112026"/>
    <w:rsid w:val="001127DC"/>
    <w:rsid w:val="00112A20"/>
    <w:rsid w:val="00112F22"/>
    <w:rsid w:val="001137C1"/>
    <w:rsid w:val="00114256"/>
    <w:rsid w:val="00114979"/>
    <w:rsid w:val="00114BF4"/>
    <w:rsid w:val="001152F4"/>
    <w:rsid w:val="00115698"/>
    <w:rsid w:val="001158A8"/>
    <w:rsid w:val="0011736B"/>
    <w:rsid w:val="00117797"/>
    <w:rsid w:val="0011786F"/>
    <w:rsid w:val="00117CA0"/>
    <w:rsid w:val="00117EE1"/>
    <w:rsid w:val="00120131"/>
    <w:rsid w:val="0012024C"/>
    <w:rsid w:val="001202AF"/>
    <w:rsid w:val="001203F6"/>
    <w:rsid w:val="001206B1"/>
    <w:rsid w:val="00121CF1"/>
    <w:rsid w:val="00121D41"/>
    <w:rsid w:val="00121DBF"/>
    <w:rsid w:val="00123667"/>
    <w:rsid w:val="00124114"/>
    <w:rsid w:val="001244CB"/>
    <w:rsid w:val="00125270"/>
    <w:rsid w:val="001253D4"/>
    <w:rsid w:val="00125A82"/>
    <w:rsid w:val="00127E97"/>
    <w:rsid w:val="001314F0"/>
    <w:rsid w:val="001321A9"/>
    <w:rsid w:val="00132794"/>
    <w:rsid w:val="00132AC1"/>
    <w:rsid w:val="00132CD6"/>
    <w:rsid w:val="00132D16"/>
    <w:rsid w:val="00132EA6"/>
    <w:rsid w:val="00133284"/>
    <w:rsid w:val="00133464"/>
    <w:rsid w:val="001334F7"/>
    <w:rsid w:val="00133A24"/>
    <w:rsid w:val="001341C0"/>
    <w:rsid w:val="001354FB"/>
    <w:rsid w:val="00135804"/>
    <w:rsid w:val="00135D39"/>
    <w:rsid w:val="00137090"/>
    <w:rsid w:val="00140CB3"/>
    <w:rsid w:val="00141153"/>
    <w:rsid w:val="00141822"/>
    <w:rsid w:val="001418FB"/>
    <w:rsid w:val="001419E4"/>
    <w:rsid w:val="001429E6"/>
    <w:rsid w:val="001437DC"/>
    <w:rsid w:val="00143985"/>
    <w:rsid w:val="00143C4B"/>
    <w:rsid w:val="00143F39"/>
    <w:rsid w:val="00144298"/>
    <w:rsid w:val="0014486C"/>
    <w:rsid w:val="00144C81"/>
    <w:rsid w:val="0014533D"/>
    <w:rsid w:val="00145A18"/>
    <w:rsid w:val="00145EA6"/>
    <w:rsid w:val="00145F67"/>
    <w:rsid w:val="00146E34"/>
    <w:rsid w:val="001470A6"/>
    <w:rsid w:val="0014797F"/>
    <w:rsid w:val="001507CD"/>
    <w:rsid w:val="00150DE6"/>
    <w:rsid w:val="00151990"/>
    <w:rsid w:val="00151ADD"/>
    <w:rsid w:val="00152339"/>
    <w:rsid w:val="001538BA"/>
    <w:rsid w:val="001552C4"/>
    <w:rsid w:val="001553F6"/>
    <w:rsid w:val="00155482"/>
    <w:rsid w:val="00155FBA"/>
    <w:rsid w:val="00155FD7"/>
    <w:rsid w:val="0015713A"/>
    <w:rsid w:val="00160564"/>
    <w:rsid w:val="00160CA9"/>
    <w:rsid w:val="00160D87"/>
    <w:rsid w:val="00161A05"/>
    <w:rsid w:val="00162601"/>
    <w:rsid w:val="00162B72"/>
    <w:rsid w:val="0016322E"/>
    <w:rsid w:val="00164273"/>
    <w:rsid w:val="00164ACA"/>
    <w:rsid w:val="00164EED"/>
    <w:rsid w:val="00166416"/>
    <w:rsid w:val="00166E4D"/>
    <w:rsid w:val="0016759E"/>
    <w:rsid w:val="00170D78"/>
    <w:rsid w:val="00171856"/>
    <w:rsid w:val="0017192B"/>
    <w:rsid w:val="00171E3F"/>
    <w:rsid w:val="00172041"/>
    <w:rsid w:val="0017247D"/>
    <w:rsid w:val="00173719"/>
    <w:rsid w:val="00173C8E"/>
    <w:rsid w:val="00175AEB"/>
    <w:rsid w:val="00175B44"/>
    <w:rsid w:val="00175BB9"/>
    <w:rsid w:val="00175DB2"/>
    <w:rsid w:val="0017605B"/>
    <w:rsid w:val="00177CEE"/>
    <w:rsid w:val="00177E02"/>
    <w:rsid w:val="00180A87"/>
    <w:rsid w:val="00180EB8"/>
    <w:rsid w:val="00181167"/>
    <w:rsid w:val="00181661"/>
    <w:rsid w:val="00181882"/>
    <w:rsid w:val="00182A15"/>
    <w:rsid w:val="001830AC"/>
    <w:rsid w:val="0018318F"/>
    <w:rsid w:val="0018400F"/>
    <w:rsid w:val="001841DF"/>
    <w:rsid w:val="001849C1"/>
    <w:rsid w:val="0018575F"/>
    <w:rsid w:val="00185B10"/>
    <w:rsid w:val="00185CBD"/>
    <w:rsid w:val="00187081"/>
    <w:rsid w:val="00187450"/>
    <w:rsid w:val="001874D1"/>
    <w:rsid w:val="00187E32"/>
    <w:rsid w:val="00190306"/>
    <w:rsid w:val="00190B9C"/>
    <w:rsid w:val="00190E90"/>
    <w:rsid w:val="00190F4D"/>
    <w:rsid w:val="0019110D"/>
    <w:rsid w:val="00191428"/>
    <w:rsid w:val="001916FE"/>
    <w:rsid w:val="0019188E"/>
    <w:rsid w:val="00191E12"/>
    <w:rsid w:val="001922CA"/>
    <w:rsid w:val="001923F9"/>
    <w:rsid w:val="0019294D"/>
    <w:rsid w:val="0019335E"/>
    <w:rsid w:val="00193E5A"/>
    <w:rsid w:val="00194859"/>
    <w:rsid w:val="00194906"/>
    <w:rsid w:val="00194935"/>
    <w:rsid w:val="00195173"/>
    <w:rsid w:val="001958F2"/>
    <w:rsid w:val="001969A0"/>
    <w:rsid w:val="00196A76"/>
    <w:rsid w:val="00197BE8"/>
    <w:rsid w:val="00197F12"/>
    <w:rsid w:val="001A0305"/>
    <w:rsid w:val="001A1BD9"/>
    <w:rsid w:val="001A1F09"/>
    <w:rsid w:val="001A2E16"/>
    <w:rsid w:val="001A33E0"/>
    <w:rsid w:val="001A414A"/>
    <w:rsid w:val="001A435D"/>
    <w:rsid w:val="001A4C75"/>
    <w:rsid w:val="001A55F5"/>
    <w:rsid w:val="001A5CE3"/>
    <w:rsid w:val="001A7492"/>
    <w:rsid w:val="001A76AD"/>
    <w:rsid w:val="001B065B"/>
    <w:rsid w:val="001B121A"/>
    <w:rsid w:val="001B160B"/>
    <w:rsid w:val="001B304F"/>
    <w:rsid w:val="001B3617"/>
    <w:rsid w:val="001B39DD"/>
    <w:rsid w:val="001B44B4"/>
    <w:rsid w:val="001B53E0"/>
    <w:rsid w:val="001B56D0"/>
    <w:rsid w:val="001B5C34"/>
    <w:rsid w:val="001B76C6"/>
    <w:rsid w:val="001B7972"/>
    <w:rsid w:val="001B7B9F"/>
    <w:rsid w:val="001B7C8A"/>
    <w:rsid w:val="001C1760"/>
    <w:rsid w:val="001C1AAF"/>
    <w:rsid w:val="001C1CAB"/>
    <w:rsid w:val="001C2233"/>
    <w:rsid w:val="001C36DA"/>
    <w:rsid w:val="001C3A75"/>
    <w:rsid w:val="001C4315"/>
    <w:rsid w:val="001C4893"/>
    <w:rsid w:val="001C4B85"/>
    <w:rsid w:val="001C539D"/>
    <w:rsid w:val="001C580A"/>
    <w:rsid w:val="001C5A54"/>
    <w:rsid w:val="001C5DF6"/>
    <w:rsid w:val="001C6BE6"/>
    <w:rsid w:val="001C75A8"/>
    <w:rsid w:val="001C7745"/>
    <w:rsid w:val="001D027F"/>
    <w:rsid w:val="001D04DC"/>
    <w:rsid w:val="001D12C5"/>
    <w:rsid w:val="001D1C36"/>
    <w:rsid w:val="001D271E"/>
    <w:rsid w:val="001D2720"/>
    <w:rsid w:val="001D2FB6"/>
    <w:rsid w:val="001D3193"/>
    <w:rsid w:val="001D34EE"/>
    <w:rsid w:val="001D3D11"/>
    <w:rsid w:val="001D69ED"/>
    <w:rsid w:val="001D6B33"/>
    <w:rsid w:val="001D70E4"/>
    <w:rsid w:val="001D72D9"/>
    <w:rsid w:val="001D74C8"/>
    <w:rsid w:val="001E05C0"/>
    <w:rsid w:val="001E285C"/>
    <w:rsid w:val="001E3616"/>
    <w:rsid w:val="001E47F9"/>
    <w:rsid w:val="001E4908"/>
    <w:rsid w:val="001E68C7"/>
    <w:rsid w:val="001E6D09"/>
    <w:rsid w:val="001E6E89"/>
    <w:rsid w:val="001E6EDD"/>
    <w:rsid w:val="001E7330"/>
    <w:rsid w:val="001E75A1"/>
    <w:rsid w:val="001F0510"/>
    <w:rsid w:val="001F066C"/>
    <w:rsid w:val="001F06C9"/>
    <w:rsid w:val="001F0B23"/>
    <w:rsid w:val="001F0EBA"/>
    <w:rsid w:val="001F121B"/>
    <w:rsid w:val="001F1FE9"/>
    <w:rsid w:val="001F2ABA"/>
    <w:rsid w:val="001F3018"/>
    <w:rsid w:val="001F3155"/>
    <w:rsid w:val="001F32FC"/>
    <w:rsid w:val="001F3494"/>
    <w:rsid w:val="001F34D0"/>
    <w:rsid w:val="001F3CAD"/>
    <w:rsid w:val="001F4732"/>
    <w:rsid w:val="001F4A3F"/>
    <w:rsid w:val="001F576B"/>
    <w:rsid w:val="001F5DB4"/>
    <w:rsid w:val="001F62D6"/>
    <w:rsid w:val="001F631C"/>
    <w:rsid w:val="001F641B"/>
    <w:rsid w:val="001F7C75"/>
    <w:rsid w:val="00200682"/>
    <w:rsid w:val="00200C39"/>
    <w:rsid w:val="00200D15"/>
    <w:rsid w:val="0020102E"/>
    <w:rsid w:val="002022FB"/>
    <w:rsid w:val="002032E8"/>
    <w:rsid w:val="0020350F"/>
    <w:rsid w:val="0020369A"/>
    <w:rsid w:val="00205203"/>
    <w:rsid w:val="00205827"/>
    <w:rsid w:val="0020656D"/>
    <w:rsid w:val="002072D4"/>
    <w:rsid w:val="00207496"/>
    <w:rsid w:val="002077E9"/>
    <w:rsid w:val="002100BF"/>
    <w:rsid w:val="00210550"/>
    <w:rsid w:val="00210B23"/>
    <w:rsid w:val="00210D0B"/>
    <w:rsid w:val="00211D71"/>
    <w:rsid w:val="002125DA"/>
    <w:rsid w:val="00213738"/>
    <w:rsid w:val="00213EB8"/>
    <w:rsid w:val="00213EE9"/>
    <w:rsid w:val="00214493"/>
    <w:rsid w:val="0021496E"/>
    <w:rsid w:val="00214CD9"/>
    <w:rsid w:val="0021617B"/>
    <w:rsid w:val="0021652C"/>
    <w:rsid w:val="00217A7E"/>
    <w:rsid w:val="00217ABF"/>
    <w:rsid w:val="00217F10"/>
    <w:rsid w:val="0022076A"/>
    <w:rsid w:val="00220AF0"/>
    <w:rsid w:val="00220B54"/>
    <w:rsid w:val="0022124F"/>
    <w:rsid w:val="0022157C"/>
    <w:rsid w:val="0022209E"/>
    <w:rsid w:val="0022298D"/>
    <w:rsid w:val="00223573"/>
    <w:rsid w:val="00223A7F"/>
    <w:rsid w:val="00224061"/>
    <w:rsid w:val="0022495E"/>
    <w:rsid w:val="0022539B"/>
    <w:rsid w:val="00225ABC"/>
    <w:rsid w:val="00225EF6"/>
    <w:rsid w:val="002263AD"/>
    <w:rsid w:val="0022675B"/>
    <w:rsid w:val="002268D6"/>
    <w:rsid w:val="00226FA6"/>
    <w:rsid w:val="00227EBD"/>
    <w:rsid w:val="002301D2"/>
    <w:rsid w:val="0023069D"/>
    <w:rsid w:val="00230AB1"/>
    <w:rsid w:val="00231706"/>
    <w:rsid w:val="00232B38"/>
    <w:rsid w:val="00232BB1"/>
    <w:rsid w:val="00232C37"/>
    <w:rsid w:val="002340AF"/>
    <w:rsid w:val="002343DD"/>
    <w:rsid w:val="002351D8"/>
    <w:rsid w:val="00235432"/>
    <w:rsid w:val="00235EDB"/>
    <w:rsid w:val="0023612B"/>
    <w:rsid w:val="00237945"/>
    <w:rsid w:val="00240007"/>
    <w:rsid w:val="00240733"/>
    <w:rsid w:val="00240864"/>
    <w:rsid w:val="002419A9"/>
    <w:rsid w:val="00242653"/>
    <w:rsid w:val="00242A57"/>
    <w:rsid w:val="00242BA2"/>
    <w:rsid w:val="00242E97"/>
    <w:rsid w:val="002431CD"/>
    <w:rsid w:val="00243943"/>
    <w:rsid w:val="00243CCD"/>
    <w:rsid w:val="00243FCE"/>
    <w:rsid w:val="002447CA"/>
    <w:rsid w:val="00245344"/>
    <w:rsid w:val="002454A6"/>
    <w:rsid w:val="00245C1E"/>
    <w:rsid w:val="00246858"/>
    <w:rsid w:val="00246D39"/>
    <w:rsid w:val="00246F38"/>
    <w:rsid w:val="002475CF"/>
    <w:rsid w:val="00247B78"/>
    <w:rsid w:val="00247D7B"/>
    <w:rsid w:val="00247DDA"/>
    <w:rsid w:val="0025021F"/>
    <w:rsid w:val="00250613"/>
    <w:rsid w:val="0025074C"/>
    <w:rsid w:val="002508E2"/>
    <w:rsid w:val="00251C7C"/>
    <w:rsid w:val="0025218E"/>
    <w:rsid w:val="00252446"/>
    <w:rsid w:val="0025259B"/>
    <w:rsid w:val="00253320"/>
    <w:rsid w:val="0025386A"/>
    <w:rsid w:val="00253CC7"/>
    <w:rsid w:val="00254055"/>
    <w:rsid w:val="002540B6"/>
    <w:rsid w:val="002544DD"/>
    <w:rsid w:val="00256061"/>
    <w:rsid w:val="00257A24"/>
    <w:rsid w:val="00257B0E"/>
    <w:rsid w:val="00260026"/>
    <w:rsid w:val="002606E9"/>
    <w:rsid w:val="002609FE"/>
    <w:rsid w:val="0026111E"/>
    <w:rsid w:val="00261A34"/>
    <w:rsid w:val="00261DDC"/>
    <w:rsid w:val="0026203C"/>
    <w:rsid w:val="002623D1"/>
    <w:rsid w:val="00262F4E"/>
    <w:rsid w:val="00262FD0"/>
    <w:rsid w:val="00263331"/>
    <w:rsid w:val="002639D2"/>
    <w:rsid w:val="00263CF8"/>
    <w:rsid w:val="002642E9"/>
    <w:rsid w:val="00264592"/>
    <w:rsid w:val="00265CBE"/>
    <w:rsid w:val="00265D72"/>
    <w:rsid w:val="002669A6"/>
    <w:rsid w:val="002669E2"/>
    <w:rsid w:val="0026711E"/>
    <w:rsid w:val="002675B8"/>
    <w:rsid w:val="00267F0A"/>
    <w:rsid w:val="00270AE5"/>
    <w:rsid w:val="0027118A"/>
    <w:rsid w:val="0027168F"/>
    <w:rsid w:val="00271D8A"/>
    <w:rsid w:val="0027214D"/>
    <w:rsid w:val="002722EE"/>
    <w:rsid w:val="0027265D"/>
    <w:rsid w:val="00272AF2"/>
    <w:rsid w:val="0027481E"/>
    <w:rsid w:val="00277285"/>
    <w:rsid w:val="002773F2"/>
    <w:rsid w:val="0028048D"/>
    <w:rsid w:val="002804DE"/>
    <w:rsid w:val="0028105F"/>
    <w:rsid w:val="002810F8"/>
    <w:rsid w:val="00281230"/>
    <w:rsid w:val="00281AFF"/>
    <w:rsid w:val="0028240B"/>
    <w:rsid w:val="00283BAE"/>
    <w:rsid w:val="00283FA5"/>
    <w:rsid w:val="002862E0"/>
    <w:rsid w:val="002867F0"/>
    <w:rsid w:val="00287B08"/>
    <w:rsid w:val="00290361"/>
    <w:rsid w:val="00290FC4"/>
    <w:rsid w:val="00291D42"/>
    <w:rsid w:val="002923A3"/>
    <w:rsid w:val="0029252C"/>
    <w:rsid w:val="00292622"/>
    <w:rsid w:val="00293355"/>
    <w:rsid w:val="00293B93"/>
    <w:rsid w:val="00293CCF"/>
    <w:rsid w:val="002948A8"/>
    <w:rsid w:val="00294CB6"/>
    <w:rsid w:val="00294D6A"/>
    <w:rsid w:val="0029512B"/>
    <w:rsid w:val="0029513D"/>
    <w:rsid w:val="0029578A"/>
    <w:rsid w:val="00295C89"/>
    <w:rsid w:val="00295D33"/>
    <w:rsid w:val="002966A9"/>
    <w:rsid w:val="00296BCE"/>
    <w:rsid w:val="002976E9"/>
    <w:rsid w:val="002A03B2"/>
    <w:rsid w:val="002A126A"/>
    <w:rsid w:val="002A1C08"/>
    <w:rsid w:val="002A2113"/>
    <w:rsid w:val="002A28F8"/>
    <w:rsid w:val="002A2BAF"/>
    <w:rsid w:val="002A3007"/>
    <w:rsid w:val="002A35E0"/>
    <w:rsid w:val="002A3838"/>
    <w:rsid w:val="002A3AB3"/>
    <w:rsid w:val="002A3F98"/>
    <w:rsid w:val="002A4306"/>
    <w:rsid w:val="002A459C"/>
    <w:rsid w:val="002A503F"/>
    <w:rsid w:val="002A549B"/>
    <w:rsid w:val="002A5564"/>
    <w:rsid w:val="002A579A"/>
    <w:rsid w:val="002A5D7C"/>
    <w:rsid w:val="002A5DCA"/>
    <w:rsid w:val="002A740A"/>
    <w:rsid w:val="002A74E2"/>
    <w:rsid w:val="002A7607"/>
    <w:rsid w:val="002A79A7"/>
    <w:rsid w:val="002A7DAC"/>
    <w:rsid w:val="002B0396"/>
    <w:rsid w:val="002B0F33"/>
    <w:rsid w:val="002B166B"/>
    <w:rsid w:val="002B1AE2"/>
    <w:rsid w:val="002B2108"/>
    <w:rsid w:val="002B2146"/>
    <w:rsid w:val="002B29D9"/>
    <w:rsid w:val="002B2BEC"/>
    <w:rsid w:val="002B32DB"/>
    <w:rsid w:val="002B36AC"/>
    <w:rsid w:val="002B41B8"/>
    <w:rsid w:val="002B4C08"/>
    <w:rsid w:val="002B5213"/>
    <w:rsid w:val="002B54E0"/>
    <w:rsid w:val="002B56B9"/>
    <w:rsid w:val="002B631F"/>
    <w:rsid w:val="002B6889"/>
    <w:rsid w:val="002B6A6A"/>
    <w:rsid w:val="002B6F70"/>
    <w:rsid w:val="002B6F79"/>
    <w:rsid w:val="002B7CBD"/>
    <w:rsid w:val="002B7EBF"/>
    <w:rsid w:val="002C0EFC"/>
    <w:rsid w:val="002C17E1"/>
    <w:rsid w:val="002C25AF"/>
    <w:rsid w:val="002C30AB"/>
    <w:rsid w:val="002C34E5"/>
    <w:rsid w:val="002C3622"/>
    <w:rsid w:val="002C46F4"/>
    <w:rsid w:val="002C4D0E"/>
    <w:rsid w:val="002C5318"/>
    <w:rsid w:val="002C5503"/>
    <w:rsid w:val="002C5609"/>
    <w:rsid w:val="002C5F51"/>
    <w:rsid w:val="002C6244"/>
    <w:rsid w:val="002C6CA2"/>
    <w:rsid w:val="002D04DF"/>
    <w:rsid w:val="002D1135"/>
    <w:rsid w:val="002D1FF6"/>
    <w:rsid w:val="002D437A"/>
    <w:rsid w:val="002D4908"/>
    <w:rsid w:val="002D5DC0"/>
    <w:rsid w:val="002D5E25"/>
    <w:rsid w:val="002D60E0"/>
    <w:rsid w:val="002D62B6"/>
    <w:rsid w:val="002D6CF1"/>
    <w:rsid w:val="002D6FF8"/>
    <w:rsid w:val="002E05EB"/>
    <w:rsid w:val="002E0DFF"/>
    <w:rsid w:val="002E0EEF"/>
    <w:rsid w:val="002E24D2"/>
    <w:rsid w:val="002E2FF1"/>
    <w:rsid w:val="002E38D4"/>
    <w:rsid w:val="002E4EF8"/>
    <w:rsid w:val="002E558F"/>
    <w:rsid w:val="002E58B4"/>
    <w:rsid w:val="002E5E4A"/>
    <w:rsid w:val="002E6C07"/>
    <w:rsid w:val="002E7EE8"/>
    <w:rsid w:val="002F0057"/>
    <w:rsid w:val="002F0251"/>
    <w:rsid w:val="002F17CE"/>
    <w:rsid w:val="002F26D2"/>
    <w:rsid w:val="002F3174"/>
    <w:rsid w:val="002F34D8"/>
    <w:rsid w:val="002F4E3F"/>
    <w:rsid w:val="002F556A"/>
    <w:rsid w:val="002F5CD7"/>
    <w:rsid w:val="002F6AE9"/>
    <w:rsid w:val="002F700E"/>
    <w:rsid w:val="002F709B"/>
    <w:rsid w:val="002F71A7"/>
    <w:rsid w:val="002F763A"/>
    <w:rsid w:val="002F7885"/>
    <w:rsid w:val="00301C27"/>
    <w:rsid w:val="003035BA"/>
    <w:rsid w:val="00303DCF"/>
    <w:rsid w:val="0030469B"/>
    <w:rsid w:val="00304CA4"/>
    <w:rsid w:val="00304D10"/>
    <w:rsid w:val="0030512A"/>
    <w:rsid w:val="0030541B"/>
    <w:rsid w:val="0030757A"/>
    <w:rsid w:val="00310862"/>
    <w:rsid w:val="00311F64"/>
    <w:rsid w:val="0031222E"/>
    <w:rsid w:val="003123EC"/>
    <w:rsid w:val="00312408"/>
    <w:rsid w:val="00312641"/>
    <w:rsid w:val="00312B2A"/>
    <w:rsid w:val="003136D7"/>
    <w:rsid w:val="00313752"/>
    <w:rsid w:val="00313FD5"/>
    <w:rsid w:val="003145BE"/>
    <w:rsid w:val="00314A6F"/>
    <w:rsid w:val="00314DDC"/>
    <w:rsid w:val="00315069"/>
    <w:rsid w:val="00315EB3"/>
    <w:rsid w:val="003163DD"/>
    <w:rsid w:val="00316EDF"/>
    <w:rsid w:val="00316F1C"/>
    <w:rsid w:val="003170DE"/>
    <w:rsid w:val="003200C9"/>
    <w:rsid w:val="0032090A"/>
    <w:rsid w:val="00320BF2"/>
    <w:rsid w:val="00320C5D"/>
    <w:rsid w:val="00321517"/>
    <w:rsid w:val="00321C7F"/>
    <w:rsid w:val="003224D1"/>
    <w:rsid w:val="0032316E"/>
    <w:rsid w:val="003236CF"/>
    <w:rsid w:val="003237CF"/>
    <w:rsid w:val="00324715"/>
    <w:rsid w:val="00324CBC"/>
    <w:rsid w:val="003260F9"/>
    <w:rsid w:val="003267E2"/>
    <w:rsid w:val="003267FD"/>
    <w:rsid w:val="00326813"/>
    <w:rsid w:val="00327601"/>
    <w:rsid w:val="003304D4"/>
    <w:rsid w:val="00330668"/>
    <w:rsid w:val="00330C99"/>
    <w:rsid w:val="00330FCD"/>
    <w:rsid w:val="00331724"/>
    <w:rsid w:val="0033184F"/>
    <w:rsid w:val="003323D6"/>
    <w:rsid w:val="00332B6C"/>
    <w:rsid w:val="00332C22"/>
    <w:rsid w:val="00333B91"/>
    <w:rsid w:val="00334E2B"/>
    <w:rsid w:val="00334F60"/>
    <w:rsid w:val="0033593C"/>
    <w:rsid w:val="00335A3C"/>
    <w:rsid w:val="00336205"/>
    <w:rsid w:val="00340C7B"/>
    <w:rsid w:val="003410B1"/>
    <w:rsid w:val="003412C3"/>
    <w:rsid w:val="003418FD"/>
    <w:rsid w:val="00342D42"/>
    <w:rsid w:val="00342FCB"/>
    <w:rsid w:val="003432C6"/>
    <w:rsid w:val="00343412"/>
    <w:rsid w:val="00343574"/>
    <w:rsid w:val="0034367C"/>
    <w:rsid w:val="00343B7F"/>
    <w:rsid w:val="00343EA6"/>
    <w:rsid w:val="0034438D"/>
    <w:rsid w:val="0034449B"/>
    <w:rsid w:val="003455F1"/>
    <w:rsid w:val="00345B72"/>
    <w:rsid w:val="00346476"/>
    <w:rsid w:val="0034728E"/>
    <w:rsid w:val="00347E30"/>
    <w:rsid w:val="00347F9E"/>
    <w:rsid w:val="00350567"/>
    <w:rsid w:val="00350A3E"/>
    <w:rsid w:val="00352370"/>
    <w:rsid w:val="00352974"/>
    <w:rsid w:val="00353376"/>
    <w:rsid w:val="003538D1"/>
    <w:rsid w:val="003548FA"/>
    <w:rsid w:val="00354E67"/>
    <w:rsid w:val="00355637"/>
    <w:rsid w:val="00356279"/>
    <w:rsid w:val="00356949"/>
    <w:rsid w:val="00357B64"/>
    <w:rsid w:val="00357C87"/>
    <w:rsid w:val="00357EB1"/>
    <w:rsid w:val="003605C3"/>
    <w:rsid w:val="00360EBB"/>
    <w:rsid w:val="00361080"/>
    <w:rsid w:val="003610CD"/>
    <w:rsid w:val="003617D0"/>
    <w:rsid w:val="00361C0C"/>
    <w:rsid w:val="00362380"/>
    <w:rsid w:val="003623AB"/>
    <w:rsid w:val="00362A4C"/>
    <w:rsid w:val="00362BF5"/>
    <w:rsid w:val="00362F6F"/>
    <w:rsid w:val="003652E2"/>
    <w:rsid w:val="00365EF5"/>
    <w:rsid w:val="0036654D"/>
    <w:rsid w:val="0036784A"/>
    <w:rsid w:val="00367DC4"/>
    <w:rsid w:val="00367F5C"/>
    <w:rsid w:val="00370563"/>
    <w:rsid w:val="00370E08"/>
    <w:rsid w:val="0037138B"/>
    <w:rsid w:val="0037288A"/>
    <w:rsid w:val="00372C9A"/>
    <w:rsid w:val="00372F3A"/>
    <w:rsid w:val="00372F97"/>
    <w:rsid w:val="00373074"/>
    <w:rsid w:val="003730E5"/>
    <w:rsid w:val="003736B8"/>
    <w:rsid w:val="0037397D"/>
    <w:rsid w:val="003744BD"/>
    <w:rsid w:val="00374BF8"/>
    <w:rsid w:val="00375778"/>
    <w:rsid w:val="00375C74"/>
    <w:rsid w:val="003808F2"/>
    <w:rsid w:val="0038133D"/>
    <w:rsid w:val="0038183B"/>
    <w:rsid w:val="00381A42"/>
    <w:rsid w:val="003827CF"/>
    <w:rsid w:val="00384045"/>
    <w:rsid w:val="0038426F"/>
    <w:rsid w:val="003855A7"/>
    <w:rsid w:val="003857F9"/>
    <w:rsid w:val="00386E0B"/>
    <w:rsid w:val="00386EF8"/>
    <w:rsid w:val="00390175"/>
    <w:rsid w:val="0039081C"/>
    <w:rsid w:val="00390B13"/>
    <w:rsid w:val="0039122C"/>
    <w:rsid w:val="003915A7"/>
    <w:rsid w:val="0039181E"/>
    <w:rsid w:val="00391BF6"/>
    <w:rsid w:val="00391DBD"/>
    <w:rsid w:val="00392D18"/>
    <w:rsid w:val="00393873"/>
    <w:rsid w:val="0039393F"/>
    <w:rsid w:val="0039428F"/>
    <w:rsid w:val="003942C6"/>
    <w:rsid w:val="003944AB"/>
    <w:rsid w:val="00394A42"/>
    <w:rsid w:val="00394AB3"/>
    <w:rsid w:val="00395D5E"/>
    <w:rsid w:val="00395DB4"/>
    <w:rsid w:val="00396597"/>
    <w:rsid w:val="00396AD5"/>
    <w:rsid w:val="00396D93"/>
    <w:rsid w:val="00397924"/>
    <w:rsid w:val="003A0C04"/>
    <w:rsid w:val="003A1BE3"/>
    <w:rsid w:val="003A2E2E"/>
    <w:rsid w:val="003A4465"/>
    <w:rsid w:val="003A491A"/>
    <w:rsid w:val="003A5208"/>
    <w:rsid w:val="003A59C7"/>
    <w:rsid w:val="003A656D"/>
    <w:rsid w:val="003A7073"/>
    <w:rsid w:val="003A7602"/>
    <w:rsid w:val="003A7D53"/>
    <w:rsid w:val="003A7E64"/>
    <w:rsid w:val="003B0218"/>
    <w:rsid w:val="003B0275"/>
    <w:rsid w:val="003B02EB"/>
    <w:rsid w:val="003B09F3"/>
    <w:rsid w:val="003B137B"/>
    <w:rsid w:val="003B31BD"/>
    <w:rsid w:val="003B39AB"/>
    <w:rsid w:val="003B3EE1"/>
    <w:rsid w:val="003B506B"/>
    <w:rsid w:val="003B5337"/>
    <w:rsid w:val="003B58AC"/>
    <w:rsid w:val="003B6B9F"/>
    <w:rsid w:val="003B6BFD"/>
    <w:rsid w:val="003B74A6"/>
    <w:rsid w:val="003B74F6"/>
    <w:rsid w:val="003B7C72"/>
    <w:rsid w:val="003C0708"/>
    <w:rsid w:val="003C0F7E"/>
    <w:rsid w:val="003C3511"/>
    <w:rsid w:val="003C3659"/>
    <w:rsid w:val="003C36A2"/>
    <w:rsid w:val="003C3B29"/>
    <w:rsid w:val="003C3BCA"/>
    <w:rsid w:val="003C5516"/>
    <w:rsid w:val="003C55B9"/>
    <w:rsid w:val="003C5715"/>
    <w:rsid w:val="003C5A0E"/>
    <w:rsid w:val="003C5C52"/>
    <w:rsid w:val="003C7676"/>
    <w:rsid w:val="003C7CA4"/>
    <w:rsid w:val="003D148E"/>
    <w:rsid w:val="003D1C4E"/>
    <w:rsid w:val="003D21EA"/>
    <w:rsid w:val="003D3718"/>
    <w:rsid w:val="003D3A34"/>
    <w:rsid w:val="003D3FA3"/>
    <w:rsid w:val="003D4CE4"/>
    <w:rsid w:val="003D55F7"/>
    <w:rsid w:val="003D6E3A"/>
    <w:rsid w:val="003D6FE0"/>
    <w:rsid w:val="003D767A"/>
    <w:rsid w:val="003D7771"/>
    <w:rsid w:val="003E01FB"/>
    <w:rsid w:val="003E0586"/>
    <w:rsid w:val="003E0801"/>
    <w:rsid w:val="003E0EA2"/>
    <w:rsid w:val="003E1968"/>
    <w:rsid w:val="003E1C6D"/>
    <w:rsid w:val="003E25E0"/>
    <w:rsid w:val="003E2AF4"/>
    <w:rsid w:val="003E2BCA"/>
    <w:rsid w:val="003E349D"/>
    <w:rsid w:val="003E3787"/>
    <w:rsid w:val="003E435F"/>
    <w:rsid w:val="003E545D"/>
    <w:rsid w:val="003E5542"/>
    <w:rsid w:val="003E6098"/>
    <w:rsid w:val="003E60DE"/>
    <w:rsid w:val="003E65EE"/>
    <w:rsid w:val="003E6FF8"/>
    <w:rsid w:val="003E7FEC"/>
    <w:rsid w:val="003F0566"/>
    <w:rsid w:val="003F1031"/>
    <w:rsid w:val="003F1712"/>
    <w:rsid w:val="003F25A3"/>
    <w:rsid w:val="003F2D2A"/>
    <w:rsid w:val="003F3EE6"/>
    <w:rsid w:val="003F46D1"/>
    <w:rsid w:val="003F725D"/>
    <w:rsid w:val="003F797F"/>
    <w:rsid w:val="003F7A8A"/>
    <w:rsid w:val="00400490"/>
    <w:rsid w:val="004009A3"/>
    <w:rsid w:val="00401400"/>
    <w:rsid w:val="00401E39"/>
    <w:rsid w:val="00402AA2"/>
    <w:rsid w:val="00402F07"/>
    <w:rsid w:val="00403326"/>
    <w:rsid w:val="00403328"/>
    <w:rsid w:val="00404925"/>
    <w:rsid w:val="00404E29"/>
    <w:rsid w:val="00404FC3"/>
    <w:rsid w:val="00405794"/>
    <w:rsid w:val="00405C91"/>
    <w:rsid w:val="00406692"/>
    <w:rsid w:val="0040689C"/>
    <w:rsid w:val="00407171"/>
    <w:rsid w:val="00407971"/>
    <w:rsid w:val="00407DB3"/>
    <w:rsid w:val="00411CA4"/>
    <w:rsid w:val="004144AE"/>
    <w:rsid w:val="00416132"/>
    <w:rsid w:val="0041701D"/>
    <w:rsid w:val="004170EA"/>
    <w:rsid w:val="00420CA5"/>
    <w:rsid w:val="00420EE6"/>
    <w:rsid w:val="00422405"/>
    <w:rsid w:val="00422751"/>
    <w:rsid w:val="00423974"/>
    <w:rsid w:val="00423B01"/>
    <w:rsid w:val="004240E6"/>
    <w:rsid w:val="00425109"/>
    <w:rsid w:val="00425806"/>
    <w:rsid w:val="00426DBC"/>
    <w:rsid w:val="00427786"/>
    <w:rsid w:val="00427F27"/>
    <w:rsid w:val="00430095"/>
    <w:rsid w:val="004308CA"/>
    <w:rsid w:val="00430E91"/>
    <w:rsid w:val="004312DD"/>
    <w:rsid w:val="004313BD"/>
    <w:rsid w:val="00432086"/>
    <w:rsid w:val="00432A66"/>
    <w:rsid w:val="00432DF9"/>
    <w:rsid w:val="00432EC1"/>
    <w:rsid w:val="0043344A"/>
    <w:rsid w:val="0043398F"/>
    <w:rsid w:val="00434A24"/>
    <w:rsid w:val="00434B36"/>
    <w:rsid w:val="00434DEF"/>
    <w:rsid w:val="004356F6"/>
    <w:rsid w:val="004358EC"/>
    <w:rsid w:val="00435AEE"/>
    <w:rsid w:val="00435D46"/>
    <w:rsid w:val="00436119"/>
    <w:rsid w:val="00436269"/>
    <w:rsid w:val="00437A94"/>
    <w:rsid w:val="00441007"/>
    <w:rsid w:val="004412C3"/>
    <w:rsid w:val="0044131C"/>
    <w:rsid w:val="0044165E"/>
    <w:rsid w:val="00441AF7"/>
    <w:rsid w:val="0044226A"/>
    <w:rsid w:val="004422E4"/>
    <w:rsid w:val="00442619"/>
    <w:rsid w:val="0044273D"/>
    <w:rsid w:val="00442F5B"/>
    <w:rsid w:val="004434C8"/>
    <w:rsid w:val="00444073"/>
    <w:rsid w:val="0044442A"/>
    <w:rsid w:val="00444FBB"/>
    <w:rsid w:val="0044502C"/>
    <w:rsid w:val="0044519D"/>
    <w:rsid w:val="004452E7"/>
    <w:rsid w:val="0044584E"/>
    <w:rsid w:val="0044668D"/>
    <w:rsid w:val="004477D8"/>
    <w:rsid w:val="00450549"/>
    <w:rsid w:val="00451C4F"/>
    <w:rsid w:val="00451C75"/>
    <w:rsid w:val="00451E82"/>
    <w:rsid w:val="00452225"/>
    <w:rsid w:val="004530A0"/>
    <w:rsid w:val="00453606"/>
    <w:rsid w:val="00453682"/>
    <w:rsid w:val="00454846"/>
    <w:rsid w:val="00454FBC"/>
    <w:rsid w:val="004553EE"/>
    <w:rsid w:val="004560B0"/>
    <w:rsid w:val="00456644"/>
    <w:rsid w:val="0045727A"/>
    <w:rsid w:val="00457BC2"/>
    <w:rsid w:val="00460363"/>
    <w:rsid w:val="004607A2"/>
    <w:rsid w:val="004614CF"/>
    <w:rsid w:val="00461A7D"/>
    <w:rsid w:val="004622F5"/>
    <w:rsid w:val="0046235B"/>
    <w:rsid w:val="004623DA"/>
    <w:rsid w:val="0046266F"/>
    <w:rsid w:val="00462DF1"/>
    <w:rsid w:val="00464B86"/>
    <w:rsid w:val="004654F8"/>
    <w:rsid w:val="004655A9"/>
    <w:rsid w:val="00465CAF"/>
    <w:rsid w:val="00466985"/>
    <w:rsid w:val="00466C21"/>
    <w:rsid w:val="00467062"/>
    <w:rsid w:val="00467B85"/>
    <w:rsid w:val="00467EFE"/>
    <w:rsid w:val="00470E90"/>
    <w:rsid w:val="00470F68"/>
    <w:rsid w:val="004719B0"/>
    <w:rsid w:val="00471E9B"/>
    <w:rsid w:val="00472121"/>
    <w:rsid w:val="004729A2"/>
    <w:rsid w:val="00473630"/>
    <w:rsid w:val="00473883"/>
    <w:rsid w:val="00476107"/>
    <w:rsid w:val="00476400"/>
    <w:rsid w:val="00476964"/>
    <w:rsid w:val="00476F36"/>
    <w:rsid w:val="00477D8A"/>
    <w:rsid w:val="00480454"/>
    <w:rsid w:val="004812F4"/>
    <w:rsid w:val="0048137D"/>
    <w:rsid w:val="00481CAD"/>
    <w:rsid w:val="00481FF3"/>
    <w:rsid w:val="004828E1"/>
    <w:rsid w:val="004829A7"/>
    <w:rsid w:val="00482C41"/>
    <w:rsid w:val="004846E9"/>
    <w:rsid w:val="00484C6E"/>
    <w:rsid w:val="00485905"/>
    <w:rsid w:val="00485A19"/>
    <w:rsid w:val="00485A3C"/>
    <w:rsid w:val="004864C9"/>
    <w:rsid w:val="00487CB5"/>
    <w:rsid w:val="00487D73"/>
    <w:rsid w:val="00487E95"/>
    <w:rsid w:val="0049096A"/>
    <w:rsid w:val="004913BE"/>
    <w:rsid w:val="00492E37"/>
    <w:rsid w:val="0049397E"/>
    <w:rsid w:val="0049423F"/>
    <w:rsid w:val="004947EB"/>
    <w:rsid w:val="00494826"/>
    <w:rsid w:val="004966E3"/>
    <w:rsid w:val="004967F2"/>
    <w:rsid w:val="0049687A"/>
    <w:rsid w:val="00496DCA"/>
    <w:rsid w:val="00496E2F"/>
    <w:rsid w:val="004976AC"/>
    <w:rsid w:val="004A00A6"/>
    <w:rsid w:val="004A19A7"/>
    <w:rsid w:val="004A2EA2"/>
    <w:rsid w:val="004A46CD"/>
    <w:rsid w:val="004A4D52"/>
    <w:rsid w:val="004A4E50"/>
    <w:rsid w:val="004A4E7D"/>
    <w:rsid w:val="004A4EC8"/>
    <w:rsid w:val="004A4ED7"/>
    <w:rsid w:val="004A5367"/>
    <w:rsid w:val="004A5EED"/>
    <w:rsid w:val="004A602F"/>
    <w:rsid w:val="004A66B7"/>
    <w:rsid w:val="004A6AE8"/>
    <w:rsid w:val="004A7427"/>
    <w:rsid w:val="004A7594"/>
    <w:rsid w:val="004A77B0"/>
    <w:rsid w:val="004B0485"/>
    <w:rsid w:val="004B0EF2"/>
    <w:rsid w:val="004B140F"/>
    <w:rsid w:val="004B18C6"/>
    <w:rsid w:val="004B22DF"/>
    <w:rsid w:val="004B254D"/>
    <w:rsid w:val="004B2DAA"/>
    <w:rsid w:val="004B3295"/>
    <w:rsid w:val="004B3A4F"/>
    <w:rsid w:val="004B4049"/>
    <w:rsid w:val="004B4160"/>
    <w:rsid w:val="004B4A79"/>
    <w:rsid w:val="004B4C11"/>
    <w:rsid w:val="004B4EE9"/>
    <w:rsid w:val="004B5040"/>
    <w:rsid w:val="004B5AD9"/>
    <w:rsid w:val="004B5BFE"/>
    <w:rsid w:val="004B5E93"/>
    <w:rsid w:val="004B6CF8"/>
    <w:rsid w:val="004B7381"/>
    <w:rsid w:val="004B7D56"/>
    <w:rsid w:val="004C0484"/>
    <w:rsid w:val="004C12E6"/>
    <w:rsid w:val="004C14CD"/>
    <w:rsid w:val="004C1DED"/>
    <w:rsid w:val="004C1EB4"/>
    <w:rsid w:val="004C2130"/>
    <w:rsid w:val="004C242C"/>
    <w:rsid w:val="004C295F"/>
    <w:rsid w:val="004C2A74"/>
    <w:rsid w:val="004C41A5"/>
    <w:rsid w:val="004C42C1"/>
    <w:rsid w:val="004C50C6"/>
    <w:rsid w:val="004C5335"/>
    <w:rsid w:val="004C58C3"/>
    <w:rsid w:val="004C61ED"/>
    <w:rsid w:val="004C7417"/>
    <w:rsid w:val="004D0264"/>
    <w:rsid w:val="004D042C"/>
    <w:rsid w:val="004D0EFF"/>
    <w:rsid w:val="004D1696"/>
    <w:rsid w:val="004D1891"/>
    <w:rsid w:val="004D1950"/>
    <w:rsid w:val="004D1A50"/>
    <w:rsid w:val="004D1F48"/>
    <w:rsid w:val="004D2534"/>
    <w:rsid w:val="004D26C2"/>
    <w:rsid w:val="004D343F"/>
    <w:rsid w:val="004D3CDB"/>
    <w:rsid w:val="004D4784"/>
    <w:rsid w:val="004D542E"/>
    <w:rsid w:val="004D569C"/>
    <w:rsid w:val="004E03D2"/>
    <w:rsid w:val="004E0B33"/>
    <w:rsid w:val="004E0C6E"/>
    <w:rsid w:val="004E1418"/>
    <w:rsid w:val="004E1A70"/>
    <w:rsid w:val="004E247F"/>
    <w:rsid w:val="004E32CB"/>
    <w:rsid w:val="004E3460"/>
    <w:rsid w:val="004E399A"/>
    <w:rsid w:val="004E3C99"/>
    <w:rsid w:val="004E3CDE"/>
    <w:rsid w:val="004E4DE3"/>
    <w:rsid w:val="004E5163"/>
    <w:rsid w:val="004E525C"/>
    <w:rsid w:val="004E534A"/>
    <w:rsid w:val="004E5951"/>
    <w:rsid w:val="004E5A6B"/>
    <w:rsid w:val="004E631C"/>
    <w:rsid w:val="004E771A"/>
    <w:rsid w:val="004E7A13"/>
    <w:rsid w:val="004F15B6"/>
    <w:rsid w:val="004F16D9"/>
    <w:rsid w:val="004F1C09"/>
    <w:rsid w:val="004F1CA7"/>
    <w:rsid w:val="004F208D"/>
    <w:rsid w:val="004F2182"/>
    <w:rsid w:val="004F22DD"/>
    <w:rsid w:val="004F2601"/>
    <w:rsid w:val="004F4225"/>
    <w:rsid w:val="004F482D"/>
    <w:rsid w:val="004F5D37"/>
    <w:rsid w:val="004F66E4"/>
    <w:rsid w:val="004F6C00"/>
    <w:rsid w:val="004F6F87"/>
    <w:rsid w:val="004F72A8"/>
    <w:rsid w:val="004F73EF"/>
    <w:rsid w:val="004F797A"/>
    <w:rsid w:val="00500110"/>
    <w:rsid w:val="00500690"/>
    <w:rsid w:val="00500DD2"/>
    <w:rsid w:val="00500E71"/>
    <w:rsid w:val="005017C8"/>
    <w:rsid w:val="0050276C"/>
    <w:rsid w:val="005038A6"/>
    <w:rsid w:val="00503D80"/>
    <w:rsid w:val="0050458B"/>
    <w:rsid w:val="00504A64"/>
    <w:rsid w:val="00504D69"/>
    <w:rsid w:val="00504ED9"/>
    <w:rsid w:val="00505472"/>
    <w:rsid w:val="005060ED"/>
    <w:rsid w:val="005068E4"/>
    <w:rsid w:val="00506B50"/>
    <w:rsid w:val="00506EAD"/>
    <w:rsid w:val="00507A64"/>
    <w:rsid w:val="00507BE6"/>
    <w:rsid w:val="0051056A"/>
    <w:rsid w:val="005107BC"/>
    <w:rsid w:val="00510C71"/>
    <w:rsid w:val="00510D92"/>
    <w:rsid w:val="00510E01"/>
    <w:rsid w:val="005114E7"/>
    <w:rsid w:val="005116ED"/>
    <w:rsid w:val="00511CCE"/>
    <w:rsid w:val="00512619"/>
    <w:rsid w:val="005136E3"/>
    <w:rsid w:val="00513FB9"/>
    <w:rsid w:val="00514C5D"/>
    <w:rsid w:val="00515203"/>
    <w:rsid w:val="00515D68"/>
    <w:rsid w:val="0051673B"/>
    <w:rsid w:val="00516B74"/>
    <w:rsid w:val="00516EE9"/>
    <w:rsid w:val="00517422"/>
    <w:rsid w:val="00517704"/>
    <w:rsid w:val="00517C62"/>
    <w:rsid w:val="00517DA3"/>
    <w:rsid w:val="00517E48"/>
    <w:rsid w:val="0052013E"/>
    <w:rsid w:val="00520790"/>
    <w:rsid w:val="00521315"/>
    <w:rsid w:val="00521F17"/>
    <w:rsid w:val="00521FBE"/>
    <w:rsid w:val="00522048"/>
    <w:rsid w:val="00522325"/>
    <w:rsid w:val="0052293A"/>
    <w:rsid w:val="005231F6"/>
    <w:rsid w:val="00523CAC"/>
    <w:rsid w:val="005240C1"/>
    <w:rsid w:val="005255E0"/>
    <w:rsid w:val="005261B5"/>
    <w:rsid w:val="00526527"/>
    <w:rsid w:val="00527538"/>
    <w:rsid w:val="00527D59"/>
    <w:rsid w:val="005309A3"/>
    <w:rsid w:val="005309D7"/>
    <w:rsid w:val="00531239"/>
    <w:rsid w:val="00532065"/>
    <w:rsid w:val="00532914"/>
    <w:rsid w:val="00532BE3"/>
    <w:rsid w:val="00532E6F"/>
    <w:rsid w:val="00533314"/>
    <w:rsid w:val="00533577"/>
    <w:rsid w:val="005335AA"/>
    <w:rsid w:val="00533C25"/>
    <w:rsid w:val="00534349"/>
    <w:rsid w:val="00534369"/>
    <w:rsid w:val="005351D8"/>
    <w:rsid w:val="00535CAD"/>
    <w:rsid w:val="00535F3F"/>
    <w:rsid w:val="00536531"/>
    <w:rsid w:val="00537622"/>
    <w:rsid w:val="005376B6"/>
    <w:rsid w:val="00540774"/>
    <w:rsid w:val="005407A7"/>
    <w:rsid w:val="00540E2D"/>
    <w:rsid w:val="005414BD"/>
    <w:rsid w:val="005414F9"/>
    <w:rsid w:val="00541BE9"/>
    <w:rsid w:val="0054209B"/>
    <w:rsid w:val="00542386"/>
    <w:rsid w:val="005429D1"/>
    <w:rsid w:val="00543019"/>
    <w:rsid w:val="005433CF"/>
    <w:rsid w:val="00543650"/>
    <w:rsid w:val="00543F82"/>
    <w:rsid w:val="00544950"/>
    <w:rsid w:val="00544A88"/>
    <w:rsid w:val="005456D1"/>
    <w:rsid w:val="00545AF6"/>
    <w:rsid w:val="00546200"/>
    <w:rsid w:val="00546389"/>
    <w:rsid w:val="00546F03"/>
    <w:rsid w:val="00547191"/>
    <w:rsid w:val="00547660"/>
    <w:rsid w:val="005500C9"/>
    <w:rsid w:val="005506A6"/>
    <w:rsid w:val="00550A22"/>
    <w:rsid w:val="00551A0B"/>
    <w:rsid w:val="00551C63"/>
    <w:rsid w:val="00551DAA"/>
    <w:rsid w:val="00552A04"/>
    <w:rsid w:val="00553767"/>
    <w:rsid w:val="0055378E"/>
    <w:rsid w:val="005539A5"/>
    <w:rsid w:val="00554083"/>
    <w:rsid w:val="00554340"/>
    <w:rsid w:val="005549B6"/>
    <w:rsid w:val="005550BC"/>
    <w:rsid w:val="00555D68"/>
    <w:rsid w:val="00555E4E"/>
    <w:rsid w:val="00556183"/>
    <w:rsid w:val="00556603"/>
    <w:rsid w:val="0055675B"/>
    <w:rsid w:val="00556945"/>
    <w:rsid w:val="0055737D"/>
    <w:rsid w:val="00557D54"/>
    <w:rsid w:val="005601F1"/>
    <w:rsid w:val="00560244"/>
    <w:rsid w:val="00561E0D"/>
    <w:rsid w:val="0056222F"/>
    <w:rsid w:val="00562BDD"/>
    <w:rsid w:val="0056304C"/>
    <w:rsid w:val="00563509"/>
    <w:rsid w:val="005655ED"/>
    <w:rsid w:val="0056567E"/>
    <w:rsid w:val="00565EA5"/>
    <w:rsid w:val="00566B04"/>
    <w:rsid w:val="00567FBD"/>
    <w:rsid w:val="005700A2"/>
    <w:rsid w:val="005700BE"/>
    <w:rsid w:val="00570526"/>
    <w:rsid w:val="00570A5A"/>
    <w:rsid w:val="005713BC"/>
    <w:rsid w:val="00571487"/>
    <w:rsid w:val="00571B9E"/>
    <w:rsid w:val="00572786"/>
    <w:rsid w:val="00573098"/>
    <w:rsid w:val="00573198"/>
    <w:rsid w:val="00573230"/>
    <w:rsid w:val="00573242"/>
    <w:rsid w:val="00573321"/>
    <w:rsid w:val="00574134"/>
    <w:rsid w:val="0057463B"/>
    <w:rsid w:val="00574A9C"/>
    <w:rsid w:val="0057516A"/>
    <w:rsid w:val="0057680B"/>
    <w:rsid w:val="005769B4"/>
    <w:rsid w:val="005771A5"/>
    <w:rsid w:val="005811E5"/>
    <w:rsid w:val="005816F0"/>
    <w:rsid w:val="005823AA"/>
    <w:rsid w:val="00582968"/>
    <w:rsid w:val="0058321A"/>
    <w:rsid w:val="0058382B"/>
    <w:rsid w:val="005843C3"/>
    <w:rsid w:val="005844CB"/>
    <w:rsid w:val="0058567D"/>
    <w:rsid w:val="005878FC"/>
    <w:rsid w:val="005906A4"/>
    <w:rsid w:val="005908DB"/>
    <w:rsid w:val="005919B3"/>
    <w:rsid w:val="00592B92"/>
    <w:rsid w:val="005934E6"/>
    <w:rsid w:val="00593954"/>
    <w:rsid w:val="00594000"/>
    <w:rsid w:val="00595ABC"/>
    <w:rsid w:val="00596605"/>
    <w:rsid w:val="00596B11"/>
    <w:rsid w:val="005970B2"/>
    <w:rsid w:val="00597B0A"/>
    <w:rsid w:val="005A0010"/>
    <w:rsid w:val="005A0791"/>
    <w:rsid w:val="005A0FE4"/>
    <w:rsid w:val="005A1747"/>
    <w:rsid w:val="005A1D44"/>
    <w:rsid w:val="005A2015"/>
    <w:rsid w:val="005A25D2"/>
    <w:rsid w:val="005A2DE7"/>
    <w:rsid w:val="005A2F1E"/>
    <w:rsid w:val="005A3186"/>
    <w:rsid w:val="005A6605"/>
    <w:rsid w:val="005A6A8C"/>
    <w:rsid w:val="005A6D45"/>
    <w:rsid w:val="005A76FD"/>
    <w:rsid w:val="005A7C4A"/>
    <w:rsid w:val="005A7D6E"/>
    <w:rsid w:val="005B06FE"/>
    <w:rsid w:val="005B146B"/>
    <w:rsid w:val="005B1D7A"/>
    <w:rsid w:val="005B2533"/>
    <w:rsid w:val="005B2DBD"/>
    <w:rsid w:val="005B2DBF"/>
    <w:rsid w:val="005B2F30"/>
    <w:rsid w:val="005B3271"/>
    <w:rsid w:val="005B42E7"/>
    <w:rsid w:val="005B4D53"/>
    <w:rsid w:val="005B51D0"/>
    <w:rsid w:val="005B53CB"/>
    <w:rsid w:val="005B5C65"/>
    <w:rsid w:val="005B5DB5"/>
    <w:rsid w:val="005B66E0"/>
    <w:rsid w:val="005B6E47"/>
    <w:rsid w:val="005C02B1"/>
    <w:rsid w:val="005C0879"/>
    <w:rsid w:val="005C0E8E"/>
    <w:rsid w:val="005C1896"/>
    <w:rsid w:val="005C2802"/>
    <w:rsid w:val="005C2C86"/>
    <w:rsid w:val="005C315F"/>
    <w:rsid w:val="005C3653"/>
    <w:rsid w:val="005C37E8"/>
    <w:rsid w:val="005C3848"/>
    <w:rsid w:val="005C4543"/>
    <w:rsid w:val="005C4B75"/>
    <w:rsid w:val="005C5A7B"/>
    <w:rsid w:val="005C6119"/>
    <w:rsid w:val="005C6B7C"/>
    <w:rsid w:val="005C7F8E"/>
    <w:rsid w:val="005D0A27"/>
    <w:rsid w:val="005D204D"/>
    <w:rsid w:val="005D2094"/>
    <w:rsid w:val="005D29EF"/>
    <w:rsid w:val="005D33F2"/>
    <w:rsid w:val="005D417A"/>
    <w:rsid w:val="005D472A"/>
    <w:rsid w:val="005D5521"/>
    <w:rsid w:val="005D5BFB"/>
    <w:rsid w:val="005D790F"/>
    <w:rsid w:val="005E0779"/>
    <w:rsid w:val="005E0B99"/>
    <w:rsid w:val="005E11A6"/>
    <w:rsid w:val="005E1477"/>
    <w:rsid w:val="005E1EB0"/>
    <w:rsid w:val="005E20FA"/>
    <w:rsid w:val="005E2405"/>
    <w:rsid w:val="005E34CA"/>
    <w:rsid w:val="005E36F2"/>
    <w:rsid w:val="005E382E"/>
    <w:rsid w:val="005E4059"/>
    <w:rsid w:val="005E5E9D"/>
    <w:rsid w:val="005E6D9E"/>
    <w:rsid w:val="005E6EA8"/>
    <w:rsid w:val="005E74F2"/>
    <w:rsid w:val="005E7968"/>
    <w:rsid w:val="005F192E"/>
    <w:rsid w:val="005F203C"/>
    <w:rsid w:val="005F2758"/>
    <w:rsid w:val="005F2A85"/>
    <w:rsid w:val="005F3B75"/>
    <w:rsid w:val="005F3EE0"/>
    <w:rsid w:val="005F3F10"/>
    <w:rsid w:val="005F64ED"/>
    <w:rsid w:val="005F6B2F"/>
    <w:rsid w:val="005F7D34"/>
    <w:rsid w:val="005F7F5D"/>
    <w:rsid w:val="006002CD"/>
    <w:rsid w:val="00600865"/>
    <w:rsid w:val="00600A05"/>
    <w:rsid w:val="00600F4A"/>
    <w:rsid w:val="00602461"/>
    <w:rsid w:val="00602909"/>
    <w:rsid w:val="0060343D"/>
    <w:rsid w:val="00603B2B"/>
    <w:rsid w:val="006046C2"/>
    <w:rsid w:val="006049C7"/>
    <w:rsid w:val="00604EA3"/>
    <w:rsid w:val="00605F5B"/>
    <w:rsid w:val="00606499"/>
    <w:rsid w:val="00606596"/>
    <w:rsid w:val="006074FA"/>
    <w:rsid w:val="00607C42"/>
    <w:rsid w:val="006106B5"/>
    <w:rsid w:val="00610FD9"/>
    <w:rsid w:val="00611122"/>
    <w:rsid w:val="0061138F"/>
    <w:rsid w:val="006118CB"/>
    <w:rsid w:val="00611AFE"/>
    <w:rsid w:val="00612D1B"/>
    <w:rsid w:val="006133B5"/>
    <w:rsid w:val="00613B5F"/>
    <w:rsid w:val="00614641"/>
    <w:rsid w:val="006148BF"/>
    <w:rsid w:val="006152F4"/>
    <w:rsid w:val="00615E3D"/>
    <w:rsid w:val="00616210"/>
    <w:rsid w:val="00617948"/>
    <w:rsid w:val="0062020A"/>
    <w:rsid w:val="006218E0"/>
    <w:rsid w:val="00622C65"/>
    <w:rsid w:val="00623180"/>
    <w:rsid w:val="006233D1"/>
    <w:rsid w:val="00623ED7"/>
    <w:rsid w:val="00624200"/>
    <w:rsid w:val="006246CE"/>
    <w:rsid w:val="006252C0"/>
    <w:rsid w:val="006252DA"/>
    <w:rsid w:val="0062566C"/>
    <w:rsid w:val="00625C0B"/>
    <w:rsid w:val="00625F7C"/>
    <w:rsid w:val="00626754"/>
    <w:rsid w:val="006268C1"/>
    <w:rsid w:val="00626B0C"/>
    <w:rsid w:val="00626BDE"/>
    <w:rsid w:val="006274D1"/>
    <w:rsid w:val="0062778E"/>
    <w:rsid w:val="00627AA6"/>
    <w:rsid w:val="006306DB"/>
    <w:rsid w:val="00631EFF"/>
    <w:rsid w:val="00632107"/>
    <w:rsid w:val="00632238"/>
    <w:rsid w:val="00633A1B"/>
    <w:rsid w:val="006344C5"/>
    <w:rsid w:val="006348BD"/>
    <w:rsid w:val="006348C0"/>
    <w:rsid w:val="00634E07"/>
    <w:rsid w:val="006352DD"/>
    <w:rsid w:val="00635EEE"/>
    <w:rsid w:val="00635F4B"/>
    <w:rsid w:val="006361E0"/>
    <w:rsid w:val="00636A2C"/>
    <w:rsid w:val="00636B45"/>
    <w:rsid w:val="00636BB4"/>
    <w:rsid w:val="00636F46"/>
    <w:rsid w:val="00637065"/>
    <w:rsid w:val="00637B9D"/>
    <w:rsid w:val="006425EE"/>
    <w:rsid w:val="00642E32"/>
    <w:rsid w:val="00642E8A"/>
    <w:rsid w:val="00643320"/>
    <w:rsid w:val="00643638"/>
    <w:rsid w:val="006439CB"/>
    <w:rsid w:val="00643E03"/>
    <w:rsid w:val="0064403A"/>
    <w:rsid w:val="006440E5"/>
    <w:rsid w:val="0064492E"/>
    <w:rsid w:val="00644B5D"/>
    <w:rsid w:val="00644BF1"/>
    <w:rsid w:val="00645407"/>
    <w:rsid w:val="006454AD"/>
    <w:rsid w:val="00645C08"/>
    <w:rsid w:val="0064615B"/>
    <w:rsid w:val="00646FB7"/>
    <w:rsid w:val="00647673"/>
    <w:rsid w:val="006479EE"/>
    <w:rsid w:val="00647A8E"/>
    <w:rsid w:val="00647C6A"/>
    <w:rsid w:val="0065081D"/>
    <w:rsid w:val="006510B7"/>
    <w:rsid w:val="00651412"/>
    <w:rsid w:val="00651670"/>
    <w:rsid w:val="00651937"/>
    <w:rsid w:val="00651C08"/>
    <w:rsid w:val="00652D65"/>
    <w:rsid w:val="00653F27"/>
    <w:rsid w:val="00653FA9"/>
    <w:rsid w:val="00654083"/>
    <w:rsid w:val="00654878"/>
    <w:rsid w:val="0065533D"/>
    <w:rsid w:val="00655C74"/>
    <w:rsid w:val="00656083"/>
    <w:rsid w:val="00657270"/>
    <w:rsid w:val="00657742"/>
    <w:rsid w:val="00657F69"/>
    <w:rsid w:val="006600FC"/>
    <w:rsid w:val="006608D5"/>
    <w:rsid w:val="00660CDA"/>
    <w:rsid w:val="00660F64"/>
    <w:rsid w:val="006615B0"/>
    <w:rsid w:val="0066225D"/>
    <w:rsid w:val="006630D8"/>
    <w:rsid w:val="006631A8"/>
    <w:rsid w:val="006635F5"/>
    <w:rsid w:val="00663A39"/>
    <w:rsid w:val="00663D58"/>
    <w:rsid w:val="006650D1"/>
    <w:rsid w:val="006655C6"/>
    <w:rsid w:val="0066578F"/>
    <w:rsid w:val="00665A17"/>
    <w:rsid w:val="00666992"/>
    <w:rsid w:val="00667235"/>
    <w:rsid w:val="00667328"/>
    <w:rsid w:val="00667B1C"/>
    <w:rsid w:val="00667E7D"/>
    <w:rsid w:val="00670767"/>
    <w:rsid w:val="00670DF5"/>
    <w:rsid w:val="00671395"/>
    <w:rsid w:val="00671559"/>
    <w:rsid w:val="006716BE"/>
    <w:rsid w:val="0067230F"/>
    <w:rsid w:val="0067324A"/>
    <w:rsid w:val="006748BA"/>
    <w:rsid w:val="00674B77"/>
    <w:rsid w:val="0067577B"/>
    <w:rsid w:val="00675935"/>
    <w:rsid w:val="00676092"/>
    <w:rsid w:val="00677E5C"/>
    <w:rsid w:val="006810A4"/>
    <w:rsid w:val="0068114D"/>
    <w:rsid w:val="006812B9"/>
    <w:rsid w:val="006813BD"/>
    <w:rsid w:val="00681B2F"/>
    <w:rsid w:val="0068208F"/>
    <w:rsid w:val="00683625"/>
    <w:rsid w:val="00683965"/>
    <w:rsid w:val="00684861"/>
    <w:rsid w:val="00684DD8"/>
    <w:rsid w:val="006862E2"/>
    <w:rsid w:val="006876D7"/>
    <w:rsid w:val="00687FED"/>
    <w:rsid w:val="00690DA5"/>
    <w:rsid w:val="0069244D"/>
    <w:rsid w:val="00693351"/>
    <w:rsid w:val="00693665"/>
    <w:rsid w:val="00693D9C"/>
    <w:rsid w:val="00693EA4"/>
    <w:rsid w:val="006941F2"/>
    <w:rsid w:val="006945C7"/>
    <w:rsid w:val="0069474E"/>
    <w:rsid w:val="00694E12"/>
    <w:rsid w:val="006964E3"/>
    <w:rsid w:val="006A0121"/>
    <w:rsid w:val="006A046D"/>
    <w:rsid w:val="006A0800"/>
    <w:rsid w:val="006A0EC8"/>
    <w:rsid w:val="006A1D85"/>
    <w:rsid w:val="006A246E"/>
    <w:rsid w:val="006A3E3F"/>
    <w:rsid w:val="006A4C51"/>
    <w:rsid w:val="006A53CB"/>
    <w:rsid w:val="006A62A8"/>
    <w:rsid w:val="006A663D"/>
    <w:rsid w:val="006A6D5B"/>
    <w:rsid w:val="006A7833"/>
    <w:rsid w:val="006A7943"/>
    <w:rsid w:val="006A7FA5"/>
    <w:rsid w:val="006B0017"/>
    <w:rsid w:val="006B0E0D"/>
    <w:rsid w:val="006B12DB"/>
    <w:rsid w:val="006B1B96"/>
    <w:rsid w:val="006B2351"/>
    <w:rsid w:val="006B2FAB"/>
    <w:rsid w:val="006B3578"/>
    <w:rsid w:val="006B3898"/>
    <w:rsid w:val="006B3AC1"/>
    <w:rsid w:val="006B3B4C"/>
    <w:rsid w:val="006B3F60"/>
    <w:rsid w:val="006B4333"/>
    <w:rsid w:val="006B473B"/>
    <w:rsid w:val="006B56D2"/>
    <w:rsid w:val="006B56E9"/>
    <w:rsid w:val="006B7344"/>
    <w:rsid w:val="006B754A"/>
    <w:rsid w:val="006C003A"/>
    <w:rsid w:val="006C0C08"/>
    <w:rsid w:val="006C0C59"/>
    <w:rsid w:val="006C139C"/>
    <w:rsid w:val="006C1DA6"/>
    <w:rsid w:val="006C20F0"/>
    <w:rsid w:val="006C281B"/>
    <w:rsid w:val="006C38B2"/>
    <w:rsid w:val="006C4314"/>
    <w:rsid w:val="006C57CB"/>
    <w:rsid w:val="006C5A53"/>
    <w:rsid w:val="006C627E"/>
    <w:rsid w:val="006C74DC"/>
    <w:rsid w:val="006C76A1"/>
    <w:rsid w:val="006D01A4"/>
    <w:rsid w:val="006D02F4"/>
    <w:rsid w:val="006D16BF"/>
    <w:rsid w:val="006D183F"/>
    <w:rsid w:val="006D23FC"/>
    <w:rsid w:val="006D2A51"/>
    <w:rsid w:val="006D3329"/>
    <w:rsid w:val="006D42D5"/>
    <w:rsid w:val="006D49C7"/>
    <w:rsid w:val="006D4ADA"/>
    <w:rsid w:val="006D4D9B"/>
    <w:rsid w:val="006D52F3"/>
    <w:rsid w:val="006D5C9B"/>
    <w:rsid w:val="006D64FC"/>
    <w:rsid w:val="006D65AD"/>
    <w:rsid w:val="006D6E6D"/>
    <w:rsid w:val="006D6E9E"/>
    <w:rsid w:val="006D7EF3"/>
    <w:rsid w:val="006E0A8C"/>
    <w:rsid w:val="006E0BAD"/>
    <w:rsid w:val="006E0D54"/>
    <w:rsid w:val="006E1754"/>
    <w:rsid w:val="006E1C2D"/>
    <w:rsid w:val="006E1CEC"/>
    <w:rsid w:val="006E2286"/>
    <w:rsid w:val="006E272D"/>
    <w:rsid w:val="006E2B67"/>
    <w:rsid w:val="006E3626"/>
    <w:rsid w:val="006E4EAA"/>
    <w:rsid w:val="006E5047"/>
    <w:rsid w:val="006E5C41"/>
    <w:rsid w:val="006E5CD1"/>
    <w:rsid w:val="006E6120"/>
    <w:rsid w:val="006E67F0"/>
    <w:rsid w:val="006E6C3E"/>
    <w:rsid w:val="006E6CD7"/>
    <w:rsid w:val="006E7F16"/>
    <w:rsid w:val="006E7F84"/>
    <w:rsid w:val="006F0067"/>
    <w:rsid w:val="006F09C9"/>
    <w:rsid w:val="006F0BC9"/>
    <w:rsid w:val="006F1FF2"/>
    <w:rsid w:val="006F30F2"/>
    <w:rsid w:val="006F401D"/>
    <w:rsid w:val="006F4EC4"/>
    <w:rsid w:val="006F4F43"/>
    <w:rsid w:val="006F6A7F"/>
    <w:rsid w:val="006F736A"/>
    <w:rsid w:val="006F7E9C"/>
    <w:rsid w:val="0070255E"/>
    <w:rsid w:val="00702684"/>
    <w:rsid w:val="007026CC"/>
    <w:rsid w:val="00702D95"/>
    <w:rsid w:val="00702F5D"/>
    <w:rsid w:val="00703434"/>
    <w:rsid w:val="00703A9A"/>
    <w:rsid w:val="00703F7C"/>
    <w:rsid w:val="00704960"/>
    <w:rsid w:val="00704B42"/>
    <w:rsid w:val="0070619A"/>
    <w:rsid w:val="00706848"/>
    <w:rsid w:val="007069AA"/>
    <w:rsid w:val="00707383"/>
    <w:rsid w:val="00707413"/>
    <w:rsid w:val="00707DE3"/>
    <w:rsid w:val="00710B16"/>
    <w:rsid w:val="00710EFE"/>
    <w:rsid w:val="0071104F"/>
    <w:rsid w:val="007129CB"/>
    <w:rsid w:val="00712C33"/>
    <w:rsid w:val="00712FD9"/>
    <w:rsid w:val="0071482A"/>
    <w:rsid w:val="00714A96"/>
    <w:rsid w:val="00715848"/>
    <w:rsid w:val="0071587A"/>
    <w:rsid w:val="0071634E"/>
    <w:rsid w:val="00716BB6"/>
    <w:rsid w:val="00716BD5"/>
    <w:rsid w:val="00716E7E"/>
    <w:rsid w:val="0071745D"/>
    <w:rsid w:val="00717B0A"/>
    <w:rsid w:val="00717FED"/>
    <w:rsid w:val="00720428"/>
    <w:rsid w:val="0072083B"/>
    <w:rsid w:val="00721254"/>
    <w:rsid w:val="00721C47"/>
    <w:rsid w:val="00722684"/>
    <w:rsid w:val="00723A70"/>
    <w:rsid w:val="0072430A"/>
    <w:rsid w:val="00725997"/>
    <w:rsid w:val="007259B5"/>
    <w:rsid w:val="00725ABC"/>
    <w:rsid w:val="00725B35"/>
    <w:rsid w:val="00725B48"/>
    <w:rsid w:val="00725C93"/>
    <w:rsid w:val="00725ED0"/>
    <w:rsid w:val="00726357"/>
    <w:rsid w:val="007305C0"/>
    <w:rsid w:val="0073107F"/>
    <w:rsid w:val="00731255"/>
    <w:rsid w:val="00731C62"/>
    <w:rsid w:val="00732729"/>
    <w:rsid w:val="007333DD"/>
    <w:rsid w:val="00733784"/>
    <w:rsid w:val="00733AA8"/>
    <w:rsid w:val="00733CBF"/>
    <w:rsid w:val="007340DE"/>
    <w:rsid w:val="00734438"/>
    <w:rsid w:val="007368BE"/>
    <w:rsid w:val="0073747D"/>
    <w:rsid w:val="0074095F"/>
    <w:rsid w:val="00741CC4"/>
    <w:rsid w:val="00741DC7"/>
    <w:rsid w:val="007425C1"/>
    <w:rsid w:val="00742AC8"/>
    <w:rsid w:val="00742DA4"/>
    <w:rsid w:val="00743FB5"/>
    <w:rsid w:val="0074450E"/>
    <w:rsid w:val="00744BF9"/>
    <w:rsid w:val="0074503B"/>
    <w:rsid w:val="0074537B"/>
    <w:rsid w:val="00745F49"/>
    <w:rsid w:val="00746138"/>
    <w:rsid w:val="00746A0D"/>
    <w:rsid w:val="00746B1C"/>
    <w:rsid w:val="00747F6B"/>
    <w:rsid w:val="007500FF"/>
    <w:rsid w:val="00750C58"/>
    <w:rsid w:val="00750E0D"/>
    <w:rsid w:val="00751810"/>
    <w:rsid w:val="00751D53"/>
    <w:rsid w:val="00751FC8"/>
    <w:rsid w:val="00752032"/>
    <w:rsid w:val="00754D75"/>
    <w:rsid w:val="00755819"/>
    <w:rsid w:val="00756A30"/>
    <w:rsid w:val="00757292"/>
    <w:rsid w:val="00757BB1"/>
    <w:rsid w:val="00760BDA"/>
    <w:rsid w:val="00760F81"/>
    <w:rsid w:val="00761ABD"/>
    <w:rsid w:val="00761EEE"/>
    <w:rsid w:val="0076202A"/>
    <w:rsid w:val="0076239A"/>
    <w:rsid w:val="00762561"/>
    <w:rsid w:val="00762CA8"/>
    <w:rsid w:val="007637A0"/>
    <w:rsid w:val="007640D0"/>
    <w:rsid w:val="00764852"/>
    <w:rsid w:val="00764879"/>
    <w:rsid w:val="007648AD"/>
    <w:rsid w:val="007649DB"/>
    <w:rsid w:val="00764CFB"/>
    <w:rsid w:val="00765236"/>
    <w:rsid w:val="007656BD"/>
    <w:rsid w:val="00765922"/>
    <w:rsid w:val="00765D67"/>
    <w:rsid w:val="007662CD"/>
    <w:rsid w:val="00766444"/>
    <w:rsid w:val="00766E1C"/>
    <w:rsid w:val="00767417"/>
    <w:rsid w:val="00767481"/>
    <w:rsid w:val="0077001C"/>
    <w:rsid w:val="0077016F"/>
    <w:rsid w:val="00771D30"/>
    <w:rsid w:val="0077274C"/>
    <w:rsid w:val="00772B46"/>
    <w:rsid w:val="007731D7"/>
    <w:rsid w:val="007731FA"/>
    <w:rsid w:val="00773767"/>
    <w:rsid w:val="00775B5F"/>
    <w:rsid w:val="007760B9"/>
    <w:rsid w:val="00780309"/>
    <w:rsid w:val="00780D48"/>
    <w:rsid w:val="00780F3A"/>
    <w:rsid w:val="00781F76"/>
    <w:rsid w:val="00782418"/>
    <w:rsid w:val="00782FA7"/>
    <w:rsid w:val="00783E33"/>
    <w:rsid w:val="007843B5"/>
    <w:rsid w:val="00784D83"/>
    <w:rsid w:val="007851A8"/>
    <w:rsid w:val="007863EA"/>
    <w:rsid w:val="0078673A"/>
    <w:rsid w:val="007917E8"/>
    <w:rsid w:val="00791D07"/>
    <w:rsid w:val="00792848"/>
    <w:rsid w:val="00794E14"/>
    <w:rsid w:val="00795287"/>
    <w:rsid w:val="0079593F"/>
    <w:rsid w:val="00795BDB"/>
    <w:rsid w:val="00795FD9"/>
    <w:rsid w:val="00796390"/>
    <w:rsid w:val="007966C9"/>
    <w:rsid w:val="00796E6A"/>
    <w:rsid w:val="007A1513"/>
    <w:rsid w:val="007A1FCB"/>
    <w:rsid w:val="007A29A2"/>
    <w:rsid w:val="007A2D32"/>
    <w:rsid w:val="007A3149"/>
    <w:rsid w:val="007A3258"/>
    <w:rsid w:val="007A36D1"/>
    <w:rsid w:val="007A37DA"/>
    <w:rsid w:val="007A4342"/>
    <w:rsid w:val="007A4C1B"/>
    <w:rsid w:val="007A4CF3"/>
    <w:rsid w:val="007A65D3"/>
    <w:rsid w:val="007A7601"/>
    <w:rsid w:val="007A792C"/>
    <w:rsid w:val="007A7CA4"/>
    <w:rsid w:val="007A7CED"/>
    <w:rsid w:val="007A7D0C"/>
    <w:rsid w:val="007B00A1"/>
    <w:rsid w:val="007B0419"/>
    <w:rsid w:val="007B0E4B"/>
    <w:rsid w:val="007B1FBA"/>
    <w:rsid w:val="007B3232"/>
    <w:rsid w:val="007B374F"/>
    <w:rsid w:val="007B3DD8"/>
    <w:rsid w:val="007B3F09"/>
    <w:rsid w:val="007B4056"/>
    <w:rsid w:val="007B4A5D"/>
    <w:rsid w:val="007B4FED"/>
    <w:rsid w:val="007B6E79"/>
    <w:rsid w:val="007B7001"/>
    <w:rsid w:val="007B7C45"/>
    <w:rsid w:val="007C0181"/>
    <w:rsid w:val="007C0452"/>
    <w:rsid w:val="007C07E4"/>
    <w:rsid w:val="007C0FD1"/>
    <w:rsid w:val="007C1DC5"/>
    <w:rsid w:val="007C1EDA"/>
    <w:rsid w:val="007C2DB0"/>
    <w:rsid w:val="007C4E65"/>
    <w:rsid w:val="007C5707"/>
    <w:rsid w:val="007C5D11"/>
    <w:rsid w:val="007C630D"/>
    <w:rsid w:val="007C6C79"/>
    <w:rsid w:val="007C7164"/>
    <w:rsid w:val="007C7539"/>
    <w:rsid w:val="007C7946"/>
    <w:rsid w:val="007D0870"/>
    <w:rsid w:val="007D115E"/>
    <w:rsid w:val="007D2A46"/>
    <w:rsid w:val="007D3554"/>
    <w:rsid w:val="007D49EB"/>
    <w:rsid w:val="007D4C58"/>
    <w:rsid w:val="007D4FD3"/>
    <w:rsid w:val="007D4FF1"/>
    <w:rsid w:val="007D526A"/>
    <w:rsid w:val="007D5A26"/>
    <w:rsid w:val="007D5E21"/>
    <w:rsid w:val="007D663F"/>
    <w:rsid w:val="007D73CA"/>
    <w:rsid w:val="007D766C"/>
    <w:rsid w:val="007D7B3F"/>
    <w:rsid w:val="007E0E8E"/>
    <w:rsid w:val="007E185B"/>
    <w:rsid w:val="007E1C43"/>
    <w:rsid w:val="007E2C3E"/>
    <w:rsid w:val="007E3B5D"/>
    <w:rsid w:val="007E4504"/>
    <w:rsid w:val="007E46E5"/>
    <w:rsid w:val="007E557A"/>
    <w:rsid w:val="007E5C6D"/>
    <w:rsid w:val="007E65A4"/>
    <w:rsid w:val="007E6FCE"/>
    <w:rsid w:val="007E70C6"/>
    <w:rsid w:val="007E746B"/>
    <w:rsid w:val="007E77E5"/>
    <w:rsid w:val="007E78D7"/>
    <w:rsid w:val="007E7C95"/>
    <w:rsid w:val="007F18A0"/>
    <w:rsid w:val="007F2FF7"/>
    <w:rsid w:val="007F431D"/>
    <w:rsid w:val="007F468A"/>
    <w:rsid w:val="007F4ADE"/>
    <w:rsid w:val="007F5A76"/>
    <w:rsid w:val="007F5BFE"/>
    <w:rsid w:val="007F5E39"/>
    <w:rsid w:val="007F5ECD"/>
    <w:rsid w:val="007F668A"/>
    <w:rsid w:val="007F673E"/>
    <w:rsid w:val="007F75BC"/>
    <w:rsid w:val="007F75F0"/>
    <w:rsid w:val="007F7652"/>
    <w:rsid w:val="007F7E34"/>
    <w:rsid w:val="008002BF"/>
    <w:rsid w:val="00801379"/>
    <w:rsid w:val="008017AB"/>
    <w:rsid w:val="008017B0"/>
    <w:rsid w:val="00801FF9"/>
    <w:rsid w:val="008020AE"/>
    <w:rsid w:val="00802474"/>
    <w:rsid w:val="0080275E"/>
    <w:rsid w:val="008032A0"/>
    <w:rsid w:val="00804EAF"/>
    <w:rsid w:val="00805A33"/>
    <w:rsid w:val="0080654A"/>
    <w:rsid w:val="0080746D"/>
    <w:rsid w:val="00807CF2"/>
    <w:rsid w:val="0081035C"/>
    <w:rsid w:val="008110A8"/>
    <w:rsid w:val="0081222C"/>
    <w:rsid w:val="00813237"/>
    <w:rsid w:val="0081436D"/>
    <w:rsid w:val="00814F0A"/>
    <w:rsid w:val="0081748E"/>
    <w:rsid w:val="0081773A"/>
    <w:rsid w:val="0081792F"/>
    <w:rsid w:val="008218E6"/>
    <w:rsid w:val="00822964"/>
    <w:rsid w:val="008238D5"/>
    <w:rsid w:val="00823C58"/>
    <w:rsid w:val="008241DE"/>
    <w:rsid w:val="00824657"/>
    <w:rsid w:val="00824E5D"/>
    <w:rsid w:val="008257F0"/>
    <w:rsid w:val="00825E46"/>
    <w:rsid w:val="00825F00"/>
    <w:rsid w:val="0082748B"/>
    <w:rsid w:val="0082776E"/>
    <w:rsid w:val="00827FF8"/>
    <w:rsid w:val="008305B8"/>
    <w:rsid w:val="00830697"/>
    <w:rsid w:val="008307D0"/>
    <w:rsid w:val="00831CCC"/>
    <w:rsid w:val="00831FC5"/>
    <w:rsid w:val="00832FA4"/>
    <w:rsid w:val="00833A8A"/>
    <w:rsid w:val="00834094"/>
    <w:rsid w:val="008343F2"/>
    <w:rsid w:val="00834DC3"/>
    <w:rsid w:val="008352E9"/>
    <w:rsid w:val="008353BE"/>
    <w:rsid w:val="00836FAB"/>
    <w:rsid w:val="00837AA9"/>
    <w:rsid w:val="00840681"/>
    <w:rsid w:val="008408C8"/>
    <w:rsid w:val="0084251B"/>
    <w:rsid w:val="008425A0"/>
    <w:rsid w:val="008429A7"/>
    <w:rsid w:val="00842BE5"/>
    <w:rsid w:val="008433C5"/>
    <w:rsid w:val="00843B4D"/>
    <w:rsid w:val="0084404C"/>
    <w:rsid w:val="00844291"/>
    <w:rsid w:val="00844509"/>
    <w:rsid w:val="0084503C"/>
    <w:rsid w:val="0084507C"/>
    <w:rsid w:val="008458EE"/>
    <w:rsid w:val="00847572"/>
    <w:rsid w:val="00847628"/>
    <w:rsid w:val="00847CA4"/>
    <w:rsid w:val="00847E4B"/>
    <w:rsid w:val="008500F6"/>
    <w:rsid w:val="008501BB"/>
    <w:rsid w:val="00850330"/>
    <w:rsid w:val="0085144D"/>
    <w:rsid w:val="00851F2F"/>
    <w:rsid w:val="00852868"/>
    <w:rsid w:val="00853314"/>
    <w:rsid w:val="00855DF6"/>
    <w:rsid w:val="00856C6C"/>
    <w:rsid w:val="00856D37"/>
    <w:rsid w:val="00860D4E"/>
    <w:rsid w:val="008622BF"/>
    <w:rsid w:val="00863413"/>
    <w:rsid w:val="00864252"/>
    <w:rsid w:val="00864870"/>
    <w:rsid w:val="008649F7"/>
    <w:rsid w:val="00864DDC"/>
    <w:rsid w:val="0086556A"/>
    <w:rsid w:val="00865F96"/>
    <w:rsid w:val="00866536"/>
    <w:rsid w:val="008671D2"/>
    <w:rsid w:val="00867499"/>
    <w:rsid w:val="00867CAD"/>
    <w:rsid w:val="00867D64"/>
    <w:rsid w:val="00867E48"/>
    <w:rsid w:val="00870FF0"/>
    <w:rsid w:val="0087207D"/>
    <w:rsid w:val="008728ED"/>
    <w:rsid w:val="00872B4D"/>
    <w:rsid w:val="008736D3"/>
    <w:rsid w:val="00875258"/>
    <w:rsid w:val="008768DB"/>
    <w:rsid w:val="00877682"/>
    <w:rsid w:val="00877C40"/>
    <w:rsid w:val="008807BF"/>
    <w:rsid w:val="00880CF3"/>
    <w:rsid w:val="008814A1"/>
    <w:rsid w:val="00881A61"/>
    <w:rsid w:val="00881AF4"/>
    <w:rsid w:val="00882B25"/>
    <w:rsid w:val="00882FA5"/>
    <w:rsid w:val="00883CE7"/>
    <w:rsid w:val="008848BD"/>
    <w:rsid w:val="00884F3F"/>
    <w:rsid w:val="008850D5"/>
    <w:rsid w:val="0088641B"/>
    <w:rsid w:val="00886C13"/>
    <w:rsid w:val="008873FE"/>
    <w:rsid w:val="00887B1E"/>
    <w:rsid w:val="00890D78"/>
    <w:rsid w:val="00890E5D"/>
    <w:rsid w:val="00891083"/>
    <w:rsid w:val="00892199"/>
    <w:rsid w:val="00892478"/>
    <w:rsid w:val="0089282F"/>
    <w:rsid w:val="00892B46"/>
    <w:rsid w:val="00893AB1"/>
    <w:rsid w:val="00893B8D"/>
    <w:rsid w:val="00894012"/>
    <w:rsid w:val="0089576E"/>
    <w:rsid w:val="008958D2"/>
    <w:rsid w:val="00895ECE"/>
    <w:rsid w:val="008964F0"/>
    <w:rsid w:val="008972AF"/>
    <w:rsid w:val="00897A97"/>
    <w:rsid w:val="008A090A"/>
    <w:rsid w:val="008A125A"/>
    <w:rsid w:val="008A16AE"/>
    <w:rsid w:val="008A490B"/>
    <w:rsid w:val="008A5299"/>
    <w:rsid w:val="008A57C1"/>
    <w:rsid w:val="008A57C7"/>
    <w:rsid w:val="008A5DC5"/>
    <w:rsid w:val="008A5F71"/>
    <w:rsid w:val="008A66F7"/>
    <w:rsid w:val="008A676B"/>
    <w:rsid w:val="008A68A1"/>
    <w:rsid w:val="008A7C89"/>
    <w:rsid w:val="008B109F"/>
    <w:rsid w:val="008B12FA"/>
    <w:rsid w:val="008B1D17"/>
    <w:rsid w:val="008B3AA1"/>
    <w:rsid w:val="008B46C5"/>
    <w:rsid w:val="008B4751"/>
    <w:rsid w:val="008B61B3"/>
    <w:rsid w:val="008B64E8"/>
    <w:rsid w:val="008B67BB"/>
    <w:rsid w:val="008C0A6E"/>
    <w:rsid w:val="008C1884"/>
    <w:rsid w:val="008C2F34"/>
    <w:rsid w:val="008C41A7"/>
    <w:rsid w:val="008C41B6"/>
    <w:rsid w:val="008C464D"/>
    <w:rsid w:val="008C64A0"/>
    <w:rsid w:val="008C7073"/>
    <w:rsid w:val="008C7306"/>
    <w:rsid w:val="008C7650"/>
    <w:rsid w:val="008D09CD"/>
    <w:rsid w:val="008D0A52"/>
    <w:rsid w:val="008D0D0B"/>
    <w:rsid w:val="008D1608"/>
    <w:rsid w:val="008D1A38"/>
    <w:rsid w:val="008D1BD1"/>
    <w:rsid w:val="008D1F97"/>
    <w:rsid w:val="008D245B"/>
    <w:rsid w:val="008D34BF"/>
    <w:rsid w:val="008D357E"/>
    <w:rsid w:val="008D36DA"/>
    <w:rsid w:val="008D3AAC"/>
    <w:rsid w:val="008D3CFA"/>
    <w:rsid w:val="008D403C"/>
    <w:rsid w:val="008D4822"/>
    <w:rsid w:val="008D4866"/>
    <w:rsid w:val="008D4D79"/>
    <w:rsid w:val="008D4F26"/>
    <w:rsid w:val="008D5DB5"/>
    <w:rsid w:val="008D613B"/>
    <w:rsid w:val="008D654E"/>
    <w:rsid w:val="008D6CE8"/>
    <w:rsid w:val="008D71FA"/>
    <w:rsid w:val="008D7470"/>
    <w:rsid w:val="008D7D6A"/>
    <w:rsid w:val="008E10DB"/>
    <w:rsid w:val="008E1B11"/>
    <w:rsid w:val="008E29E3"/>
    <w:rsid w:val="008E2EBC"/>
    <w:rsid w:val="008E31E7"/>
    <w:rsid w:val="008E5189"/>
    <w:rsid w:val="008E5997"/>
    <w:rsid w:val="008E5E55"/>
    <w:rsid w:val="008E6EB8"/>
    <w:rsid w:val="008F07A6"/>
    <w:rsid w:val="008F1D3E"/>
    <w:rsid w:val="008F2D5A"/>
    <w:rsid w:val="008F3566"/>
    <w:rsid w:val="008F4815"/>
    <w:rsid w:val="008F50C1"/>
    <w:rsid w:val="008F5423"/>
    <w:rsid w:val="008F5A0B"/>
    <w:rsid w:val="008F66BA"/>
    <w:rsid w:val="008F6C83"/>
    <w:rsid w:val="008F6D78"/>
    <w:rsid w:val="008F737A"/>
    <w:rsid w:val="008F746B"/>
    <w:rsid w:val="008F7A66"/>
    <w:rsid w:val="008F7E82"/>
    <w:rsid w:val="00900719"/>
    <w:rsid w:val="00901111"/>
    <w:rsid w:val="0090113C"/>
    <w:rsid w:val="009027CF"/>
    <w:rsid w:val="009031F4"/>
    <w:rsid w:val="0090330A"/>
    <w:rsid w:val="0090334A"/>
    <w:rsid w:val="00903595"/>
    <w:rsid w:val="00903CAD"/>
    <w:rsid w:val="00905361"/>
    <w:rsid w:val="0090587D"/>
    <w:rsid w:val="00906398"/>
    <w:rsid w:val="00906531"/>
    <w:rsid w:val="00906651"/>
    <w:rsid w:val="00906D0C"/>
    <w:rsid w:val="00906E1B"/>
    <w:rsid w:val="0090717B"/>
    <w:rsid w:val="00907A4A"/>
    <w:rsid w:val="00907F59"/>
    <w:rsid w:val="009105CD"/>
    <w:rsid w:val="0091084B"/>
    <w:rsid w:val="00910DE4"/>
    <w:rsid w:val="00911564"/>
    <w:rsid w:val="009130CE"/>
    <w:rsid w:val="00913504"/>
    <w:rsid w:val="009138EB"/>
    <w:rsid w:val="00915549"/>
    <w:rsid w:val="009160A4"/>
    <w:rsid w:val="00916448"/>
    <w:rsid w:val="00916C2D"/>
    <w:rsid w:val="0092016E"/>
    <w:rsid w:val="00920624"/>
    <w:rsid w:val="00920E05"/>
    <w:rsid w:val="00920EBA"/>
    <w:rsid w:val="009217E0"/>
    <w:rsid w:val="00921934"/>
    <w:rsid w:val="00921ADE"/>
    <w:rsid w:val="00921F53"/>
    <w:rsid w:val="00922D22"/>
    <w:rsid w:val="00923687"/>
    <w:rsid w:val="00923FFA"/>
    <w:rsid w:val="00925274"/>
    <w:rsid w:val="0092628A"/>
    <w:rsid w:val="00927136"/>
    <w:rsid w:val="00927B39"/>
    <w:rsid w:val="00927FA9"/>
    <w:rsid w:val="00930FE4"/>
    <w:rsid w:val="009310AC"/>
    <w:rsid w:val="009334E3"/>
    <w:rsid w:val="0093434B"/>
    <w:rsid w:val="009343C6"/>
    <w:rsid w:val="00934744"/>
    <w:rsid w:val="009347C2"/>
    <w:rsid w:val="009347CD"/>
    <w:rsid w:val="00934AB7"/>
    <w:rsid w:val="00935F1E"/>
    <w:rsid w:val="00937179"/>
    <w:rsid w:val="00937A8A"/>
    <w:rsid w:val="00937ABA"/>
    <w:rsid w:val="00940F7F"/>
    <w:rsid w:val="0094129D"/>
    <w:rsid w:val="009416A0"/>
    <w:rsid w:val="009417DF"/>
    <w:rsid w:val="00941DEC"/>
    <w:rsid w:val="0094217E"/>
    <w:rsid w:val="00942803"/>
    <w:rsid w:val="00942ABB"/>
    <w:rsid w:val="00943ADD"/>
    <w:rsid w:val="0094450F"/>
    <w:rsid w:val="009445C8"/>
    <w:rsid w:val="009449DF"/>
    <w:rsid w:val="00944FCC"/>
    <w:rsid w:val="00945599"/>
    <w:rsid w:val="009462E8"/>
    <w:rsid w:val="009472B6"/>
    <w:rsid w:val="009477C0"/>
    <w:rsid w:val="00951D1D"/>
    <w:rsid w:val="00951F10"/>
    <w:rsid w:val="00952338"/>
    <w:rsid w:val="00952343"/>
    <w:rsid w:val="009526DF"/>
    <w:rsid w:val="00952A0B"/>
    <w:rsid w:val="009532F7"/>
    <w:rsid w:val="009536EA"/>
    <w:rsid w:val="00953785"/>
    <w:rsid w:val="00954772"/>
    <w:rsid w:val="00954A31"/>
    <w:rsid w:val="00955FC4"/>
    <w:rsid w:val="00956FF7"/>
    <w:rsid w:val="00957E45"/>
    <w:rsid w:val="009606C2"/>
    <w:rsid w:val="0096076F"/>
    <w:rsid w:val="009612AC"/>
    <w:rsid w:val="009614AB"/>
    <w:rsid w:val="0096173D"/>
    <w:rsid w:val="00962815"/>
    <w:rsid w:val="00962D3F"/>
    <w:rsid w:val="00963D7C"/>
    <w:rsid w:val="009657C5"/>
    <w:rsid w:val="0096582F"/>
    <w:rsid w:val="00965A40"/>
    <w:rsid w:val="0096629D"/>
    <w:rsid w:val="009669BF"/>
    <w:rsid w:val="00966A11"/>
    <w:rsid w:val="00966BA2"/>
    <w:rsid w:val="00966DAC"/>
    <w:rsid w:val="009711F6"/>
    <w:rsid w:val="00971294"/>
    <w:rsid w:val="00971507"/>
    <w:rsid w:val="00972375"/>
    <w:rsid w:val="00972637"/>
    <w:rsid w:val="009732A3"/>
    <w:rsid w:val="00973A4E"/>
    <w:rsid w:val="009745DB"/>
    <w:rsid w:val="009747B1"/>
    <w:rsid w:val="00974D66"/>
    <w:rsid w:val="00975539"/>
    <w:rsid w:val="00975B8E"/>
    <w:rsid w:val="00976338"/>
    <w:rsid w:val="0097763B"/>
    <w:rsid w:val="00981207"/>
    <w:rsid w:val="009815BF"/>
    <w:rsid w:val="00981A13"/>
    <w:rsid w:val="00981A80"/>
    <w:rsid w:val="00981E65"/>
    <w:rsid w:val="0098205E"/>
    <w:rsid w:val="00983AED"/>
    <w:rsid w:val="00983D61"/>
    <w:rsid w:val="00985181"/>
    <w:rsid w:val="00985267"/>
    <w:rsid w:val="00986F67"/>
    <w:rsid w:val="009871E4"/>
    <w:rsid w:val="009875F6"/>
    <w:rsid w:val="00987AB8"/>
    <w:rsid w:val="00990248"/>
    <w:rsid w:val="009902B3"/>
    <w:rsid w:val="00990BD3"/>
    <w:rsid w:val="009912B3"/>
    <w:rsid w:val="009917AD"/>
    <w:rsid w:val="00991A3C"/>
    <w:rsid w:val="00991AAC"/>
    <w:rsid w:val="00991B82"/>
    <w:rsid w:val="00991CFA"/>
    <w:rsid w:val="00994406"/>
    <w:rsid w:val="00995308"/>
    <w:rsid w:val="00995D38"/>
    <w:rsid w:val="009960A1"/>
    <w:rsid w:val="009962F3"/>
    <w:rsid w:val="009A000D"/>
    <w:rsid w:val="009A084D"/>
    <w:rsid w:val="009A0BE6"/>
    <w:rsid w:val="009A14BB"/>
    <w:rsid w:val="009A21E4"/>
    <w:rsid w:val="009A2512"/>
    <w:rsid w:val="009A2984"/>
    <w:rsid w:val="009A3249"/>
    <w:rsid w:val="009A38F6"/>
    <w:rsid w:val="009A4249"/>
    <w:rsid w:val="009A4696"/>
    <w:rsid w:val="009A4852"/>
    <w:rsid w:val="009A4C47"/>
    <w:rsid w:val="009A5159"/>
    <w:rsid w:val="009A5780"/>
    <w:rsid w:val="009A66AB"/>
    <w:rsid w:val="009A6F29"/>
    <w:rsid w:val="009A72E9"/>
    <w:rsid w:val="009A7355"/>
    <w:rsid w:val="009B0296"/>
    <w:rsid w:val="009B03D9"/>
    <w:rsid w:val="009B0565"/>
    <w:rsid w:val="009B0CF6"/>
    <w:rsid w:val="009B2195"/>
    <w:rsid w:val="009B3B31"/>
    <w:rsid w:val="009B3F95"/>
    <w:rsid w:val="009B4584"/>
    <w:rsid w:val="009B47E2"/>
    <w:rsid w:val="009B6116"/>
    <w:rsid w:val="009B6502"/>
    <w:rsid w:val="009B657A"/>
    <w:rsid w:val="009B6694"/>
    <w:rsid w:val="009B6F6F"/>
    <w:rsid w:val="009B7555"/>
    <w:rsid w:val="009C03CB"/>
    <w:rsid w:val="009C0C11"/>
    <w:rsid w:val="009C182C"/>
    <w:rsid w:val="009C25F6"/>
    <w:rsid w:val="009C2605"/>
    <w:rsid w:val="009C2632"/>
    <w:rsid w:val="009C2B62"/>
    <w:rsid w:val="009C31C8"/>
    <w:rsid w:val="009C360D"/>
    <w:rsid w:val="009C3B88"/>
    <w:rsid w:val="009C3EEF"/>
    <w:rsid w:val="009C7E23"/>
    <w:rsid w:val="009D03F4"/>
    <w:rsid w:val="009D0459"/>
    <w:rsid w:val="009D0706"/>
    <w:rsid w:val="009D1BDC"/>
    <w:rsid w:val="009D1C58"/>
    <w:rsid w:val="009D1EA7"/>
    <w:rsid w:val="009D1F35"/>
    <w:rsid w:val="009D318A"/>
    <w:rsid w:val="009D318F"/>
    <w:rsid w:val="009D3F83"/>
    <w:rsid w:val="009D3FDB"/>
    <w:rsid w:val="009D5826"/>
    <w:rsid w:val="009D5880"/>
    <w:rsid w:val="009D66BA"/>
    <w:rsid w:val="009E0353"/>
    <w:rsid w:val="009E1BB9"/>
    <w:rsid w:val="009E3161"/>
    <w:rsid w:val="009E4CD1"/>
    <w:rsid w:val="009E5748"/>
    <w:rsid w:val="009E5D18"/>
    <w:rsid w:val="009E5EED"/>
    <w:rsid w:val="009E6E73"/>
    <w:rsid w:val="009E78CB"/>
    <w:rsid w:val="009E7EF9"/>
    <w:rsid w:val="009F0365"/>
    <w:rsid w:val="009F0689"/>
    <w:rsid w:val="009F0B6D"/>
    <w:rsid w:val="009F0BC5"/>
    <w:rsid w:val="009F0D85"/>
    <w:rsid w:val="009F1717"/>
    <w:rsid w:val="009F1DFF"/>
    <w:rsid w:val="009F23F9"/>
    <w:rsid w:val="009F2946"/>
    <w:rsid w:val="009F2BBD"/>
    <w:rsid w:val="009F3226"/>
    <w:rsid w:val="009F485F"/>
    <w:rsid w:val="009F4CF4"/>
    <w:rsid w:val="009F505F"/>
    <w:rsid w:val="009F547D"/>
    <w:rsid w:val="009F5CA3"/>
    <w:rsid w:val="009F6191"/>
    <w:rsid w:val="009F6B99"/>
    <w:rsid w:val="009F733D"/>
    <w:rsid w:val="009F74F4"/>
    <w:rsid w:val="009F7A3B"/>
    <w:rsid w:val="00A00023"/>
    <w:rsid w:val="00A00BEB"/>
    <w:rsid w:val="00A00E11"/>
    <w:rsid w:val="00A010D0"/>
    <w:rsid w:val="00A026E1"/>
    <w:rsid w:val="00A03A06"/>
    <w:rsid w:val="00A03CBA"/>
    <w:rsid w:val="00A04862"/>
    <w:rsid w:val="00A050FF"/>
    <w:rsid w:val="00A070E4"/>
    <w:rsid w:val="00A07A69"/>
    <w:rsid w:val="00A07B0D"/>
    <w:rsid w:val="00A07B4D"/>
    <w:rsid w:val="00A1119C"/>
    <w:rsid w:val="00A112B0"/>
    <w:rsid w:val="00A1136D"/>
    <w:rsid w:val="00A11D6A"/>
    <w:rsid w:val="00A11E8F"/>
    <w:rsid w:val="00A122FC"/>
    <w:rsid w:val="00A12DA0"/>
    <w:rsid w:val="00A1300C"/>
    <w:rsid w:val="00A136D7"/>
    <w:rsid w:val="00A13809"/>
    <w:rsid w:val="00A13909"/>
    <w:rsid w:val="00A14215"/>
    <w:rsid w:val="00A163E8"/>
    <w:rsid w:val="00A16FAD"/>
    <w:rsid w:val="00A1746F"/>
    <w:rsid w:val="00A206A9"/>
    <w:rsid w:val="00A20776"/>
    <w:rsid w:val="00A227E4"/>
    <w:rsid w:val="00A22F0C"/>
    <w:rsid w:val="00A22F25"/>
    <w:rsid w:val="00A232C3"/>
    <w:rsid w:val="00A2336B"/>
    <w:rsid w:val="00A241E1"/>
    <w:rsid w:val="00A246BD"/>
    <w:rsid w:val="00A251A3"/>
    <w:rsid w:val="00A25879"/>
    <w:rsid w:val="00A27DAF"/>
    <w:rsid w:val="00A3052A"/>
    <w:rsid w:val="00A30A4F"/>
    <w:rsid w:val="00A30FC6"/>
    <w:rsid w:val="00A31502"/>
    <w:rsid w:val="00A31FA7"/>
    <w:rsid w:val="00A320DD"/>
    <w:rsid w:val="00A324C2"/>
    <w:rsid w:val="00A327DC"/>
    <w:rsid w:val="00A32E67"/>
    <w:rsid w:val="00A32F8D"/>
    <w:rsid w:val="00A33204"/>
    <w:rsid w:val="00A33779"/>
    <w:rsid w:val="00A3393A"/>
    <w:rsid w:val="00A33EEB"/>
    <w:rsid w:val="00A33F40"/>
    <w:rsid w:val="00A34456"/>
    <w:rsid w:val="00A344CB"/>
    <w:rsid w:val="00A34FB3"/>
    <w:rsid w:val="00A355C7"/>
    <w:rsid w:val="00A361C9"/>
    <w:rsid w:val="00A36368"/>
    <w:rsid w:val="00A370A6"/>
    <w:rsid w:val="00A3763C"/>
    <w:rsid w:val="00A37FBC"/>
    <w:rsid w:val="00A4000F"/>
    <w:rsid w:val="00A40B85"/>
    <w:rsid w:val="00A40C31"/>
    <w:rsid w:val="00A411AE"/>
    <w:rsid w:val="00A4172C"/>
    <w:rsid w:val="00A41BFE"/>
    <w:rsid w:val="00A4225C"/>
    <w:rsid w:val="00A42755"/>
    <w:rsid w:val="00A4277A"/>
    <w:rsid w:val="00A42F9D"/>
    <w:rsid w:val="00A43D1D"/>
    <w:rsid w:val="00A44184"/>
    <w:rsid w:val="00A44294"/>
    <w:rsid w:val="00A446C5"/>
    <w:rsid w:val="00A44B0D"/>
    <w:rsid w:val="00A44BBB"/>
    <w:rsid w:val="00A45750"/>
    <w:rsid w:val="00A45980"/>
    <w:rsid w:val="00A45DC2"/>
    <w:rsid w:val="00A46EC3"/>
    <w:rsid w:val="00A47728"/>
    <w:rsid w:val="00A5073C"/>
    <w:rsid w:val="00A50898"/>
    <w:rsid w:val="00A50F63"/>
    <w:rsid w:val="00A513C0"/>
    <w:rsid w:val="00A51483"/>
    <w:rsid w:val="00A51A38"/>
    <w:rsid w:val="00A51B5A"/>
    <w:rsid w:val="00A52688"/>
    <w:rsid w:val="00A53A12"/>
    <w:rsid w:val="00A53C9D"/>
    <w:rsid w:val="00A54217"/>
    <w:rsid w:val="00A547D5"/>
    <w:rsid w:val="00A549F0"/>
    <w:rsid w:val="00A54D22"/>
    <w:rsid w:val="00A5570E"/>
    <w:rsid w:val="00A55A2D"/>
    <w:rsid w:val="00A60502"/>
    <w:rsid w:val="00A60EA7"/>
    <w:rsid w:val="00A60FD1"/>
    <w:rsid w:val="00A6130E"/>
    <w:rsid w:val="00A6152F"/>
    <w:rsid w:val="00A616F7"/>
    <w:rsid w:val="00A619AE"/>
    <w:rsid w:val="00A621B6"/>
    <w:rsid w:val="00A62233"/>
    <w:rsid w:val="00A626F3"/>
    <w:rsid w:val="00A62EA8"/>
    <w:rsid w:val="00A63590"/>
    <w:rsid w:val="00A636FF"/>
    <w:rsid w:val="00A63F40"/>
    <w:rsid w:val="00A641BD"/>
    <w:rsid w:val="00A65174"/>
    <w:rsid w:val="00A654F4"/>
    <w:rsid w:val="00A65507"/>
    <w:rsid w:val="00A661D9"/>
    <w:rsid w:val="00A6620D"/>
    <w:rsid w:val="00A66BB5"/>
    <w:rsid w:val="00A67852"/>
    <w:rsid w:val="00A7005D"/>
    <w:rsid w:val="00A70809"/>
    <w:rsid w:val="00A713E1"/>
    <w:rsid w:val="00A71541"/>
    <w:rsid w:val="00A71890"/>
    <w:rsid w:val="00A71CF7"/>
    <w:rsid w:val="00A72459"/>
    <w:rsid w:val="00A72C3D"/>
    <w:rsid w:val="00A731FB"/>
    <w:rsid w:val="00A73285"/>
    <w:rsid w:val="00A736FC"/>
    <w:rsid w:val="00A73D8E"/>
    <w:rsid w:val="00A753BB"/>
    <w:rsid w:val="00A7540B"/>
    <w:rsid w:val="00A75FD7"/>
    <w:rsid w:val="00A76816"/>
    <w:rsid w:val="00A779EF"/>
    <w:rsid w:val="00A816A9"/>
    <w:rsid w:val="00A81B82"/>
    <w:rsid w:val="00A8228D"/>
    <w:rsid w:val="00A82D09"/>
    <w:rsid w:val="00A82F60"/>
    <w:rsid w:val="00A8332D"/>
    <w:rsid w:val="00A8360B"/>
    <w:rsid w:val="00A83AA3"/>
    <w:rsid w:val="00A84028"/>
    <w:rsid w:val="00A85457"/>
    <w:rsid w:val="00A85602"/>
    <w:rsid w:val="00A856F0"/>
    <w:rsid w:val="00A85A51"/>
    <w:rsid w:val="00A86011"/>
    <w:rsid w:val="00A865AA"/>
    <w:rsid w:val="00A8670F"/>
    <w:rsid w:val="00A86A8B"/>
    <w:rsid w:val="00A8763E"/>
    <w:rsid w:val="00A87AD1"/>
    <w:rsid w:val="00A87CFB"/>
    <w:rsid w:val="00A90BF4"/>
    <w:rsid w:val="00A91702"/>
    <w:rsid w:val="00A92BAB"/>
    <w:rsid w:val="00A9301A"/>
    <w:rsid w:val="00A93483"/>
    <w:rsid w:val="00A93649"/>
    <w:rsid w:val="00A9375C"/>
    <w:rsid w:val="00A93AAC"/>
    <w:rsid w:val="00A93B38"/>
    <w:rsid w:val="00A93BCC"/>
    <w:rsid w:val="00A93BDE"/>
    <w:rsid w:val="00A948AB"/>
    <w:rsid w:val="00A95003"/>
    <w:rsid w:val="00A954BA"/>
    <w:rsid w:val="00A957CE"/>
    <w:rsid w:val="00A95B4F"/>
    <w:rsid w:val="00A9672A"/>
    <w:rsid w:val="00A968F2"/>
    <w:rsid w:val="00A969B7"/>
    <w:rsid w:val="00A96A21"/>
    <w:rsid w:val="00A97051"/>
    <w:rsid w:val="00A970B8"/>
    <w:rsid w:val="00A9769D"/>
    <w:rsid w:val="00A9771D"/>
    <w:rsid w:val="00A979B4"/>
    <w:rsid w:val="00AA051C"/>
    <w:rsid w:val="00AA094C"/>
    <w:rsid w:val="00AA10D2"/>
    <w:rsid w:val="00AA1DA6"/>
    <w:rsid w:val="00AA324A"/>
    <w:rsid w:val="00AA3662"/>
    <w:rsid w:val="00AA3CB2"/>
    <w:rsid w:val="00AA4D25"/>
    <w:rsid w:val="00AA5293"/>
    <w:rsid w:val="00AA5CAD"/>
    <w:rsid w:val="00AA5FE1"/>
    <w:rsid w:val="00AA6536"/>
    <w:rsid w:val="00AA6837"/>
    <w:rsid w:val="00AA6FFE"/>
    <w:rsid w:val="00AB0CCC"/>
    <w:rsid w:val="00AB0DCE"/>
    <w:rsid w:val="00AB1E55"/>
    <w:rsid w:val="00AB2213"/>
    <w:rsid w:val="00AB2229"/>
    <w:rsid w:val="00AB2469"/>
    <w:rsid w:val="00AB299B"/>
    <w:rsid w:val="00AB3306"/>
    <w:rsid w:val="00AB4E58"/>
    <w:rsid w:val="00AB5152"/>
    <w:rsid w:val="00AB57F7"/>
    <w:rsid w:val="00AB59A2"/>
    <w:rsid w:val="00AB5CE0"/>
    <w:rsid w:val="00AB5D08"/>
    <w:rsid w:val="00AB6769"/>
    <w:rsid w:val="00AB6CEA"/>
    <w:rsid w:val="00AB7302"/>
    <w:rsid w:val="00AB7391"/>
    <w:rsid w:val="00AB7B55"/>
    <w:rsid w:val="00AB7EE1"/>
    <w:rsid w:val="00AC0678"/>
    <w:rsid w:val="00AC1723"/>
    <w:rsid w:val="00AC1E9F"/>
    <w:rsid w:val="00AC29AB"/>
    <w:rsid w:val="00AC2B7C"/>
    <w:rsid w:val="00AC2FFB"/>
    <w:rsid w:val="00AC367B"/>
    <w:rsid w:val="00AC3D13"/>
    <w:rsid w:val="00AC4257"/>
    <w:rsid w:val="00AC53C7"/>
    <w:rsid w:val="00AC56A2"/>
    <w:rsid w:val="00AC6174"/>
    <w:rsid w:val="00AC6761"/>
    <w:rsid w:val="00AC6AA1"/>
    <w:rsid w:val="00AC6FC5"/>
    <w:rsid w:val="00AC7D08"/>
    <w:rsid w:val="00AC7E4C"/>
    <w:rsid w:val="00AD0F83"/>
    <w:rsid w:val="00AD1894"/>
    <w:rsid w:val="00AD1D23"/>
    <w:rsid w:val="00AD2420"/>
    <w:rsid w:val="00AD2CC2"/>
    <w:rsid w:val="00AD3321"/>
    <w:rsid w:val="00AD42D4"/>
    <w:rsid w:val="00AD4ACD"/>
    <w:rsid w:val="00AD4E0F"/>
    <w:rsid w:val="00AD58C5"/>
    <w:rsid w:val="00AD5CC1"/>
    <w:rsid w:val="00AD605F"/>
    <w:rsid w:val="00AD6201"/>
    <w:rsid w:val="00AD6248"/>
    <w:rsid w:val="00AD6D16"/>
    <w:rsid w:val="00AD736E"/>
    <w:rsid w:val="00AD755A"/>
    <w:rsid w:val="00AE00EB"/>
    <w:rsid w:val="00AE0787"/>
    <w:rsid w:val="00AE0AD4"/>
    <w:rsid w:val="00AE1021"/>
    <w:rsid w:val="00AE13F8"/>
    <w:rsid w:val="00AE1B6F"/>
    <w:rsid w:val="00AE1C3B"/>
    <w:rsid w:val="00AE2492"/>
    <w:rsid w:val="00AE255B"/>
    <w:rsid w:val="00AE2F1D"/>
    <w:rsid w:val="00AE3555"/>
    <w:rsid w:val="00AE40B5"/>
    <w:rsid w:val="00AE4143"/>
    <w:rsid w:val="00AE4446"/>
    <w:rsid w:val="00AE56E7"/>
    <w:rsid w:val="00AE5EC8"/>
    <w:rsid w:val="00AE68FA"/>
    <w:rsid w:val="00AE7883"/>
    <w:rsid w:val="00AF0354"/>
    <w:rsid w:val="00AF0BDC"/>
    <w:rsid w:val="00AF1D92"/>
    <w:rsid w:val="00AF2118"/>
    <w:rsid w:val="00AF2C25"/>
    <w:rsid w:val="00AF3520"/>
    <w:rsid w:val="00AF379F"/>
    <w:rsid w:val="00AF3972"/>
    <w:rsid w:val="00AF45A1"/>
    <w:rsid w:val="00AF48FA"/>
    <w:rsid w:val="00AF4982"/>
    <w:rsid w:val="00AF4ACD"/>
    <w:rsid w:val="00AF50EF"/>
    <w:rsid w:val="00AF5701"/>
    <w:rsid w:val="00AF5939"/>
    <w:rsid w:val="00AF6057"/>
    <w:rsid w:val="00AF668D"/>
    <w:rsid w:val="00AF7F66"/>
    <w:rsid w:val="00B000AF"/>
    <w:rsid w:val="00B004B9"/>
    <w:rsid w:val="00B008CD"/>
    <w:rsid w:val="00B00E0F"/>
    <w:rsid w:val="00B00F99"/>
    <w:rsid w:val="00B01299"/>
    <w:rsid w:val="00B012A0"/>
    <w:rsid w:val="00B013DB"/>
    <w:rsid w:val="00B01572"/>
    <w:rsid w:val="00B01C24"/>
    <w:rsid w:val="00B0209B"/>
    <w:rsid w:val="00B02735"/>
    <w:rsid w:val="00B03619"/>
    <w:rsid w:val="00B0364C"/>
    <w:rsid w:val="00B046D6"/>
    <w:rsid w:val="00B04736"/>
    <w:rsid w:val="00B04E97"/>
    <w:rsid w:val="00B05547"/>
    <w:rsid w:val="00B05CA5"/>
    <w:rsid w:val="00B05E2D"/>
    <w:rsid w:val="00B061BF"/>
    <w:rsid w:val="00B0695C"/>
    <w:rsid w:val="00B06FCA"/>
    <w:rsid w:val="00B07469"/>
    <w:rsid w:val="00B07738"/>
    <w:rsid w:val="00B07C0C"/>
    <w:rsid w:val="00B10889"/>
    <w:rsid w:val="00B11013"/>
    <w:rsid w:val="00B11390"/>
    <w:rsid w:val="00B128CF"/>
    <w:rsid w:val="00B128D6"/>
    <w:rsid w:val="00B1291C"/>
    <w:rsid w:val="00B13002"/>
    <w:rsid w:val="00B1396A"/>
    <w:rsid w:val="00B1402D"/>
    <w:rsid w:val="00B150B8"/>
    <w:rsid w:val="00B15132"/>
    <w:rsid w:val="00B1566E"/>
    <w:rsid w:val="00B15E4D"/>
    <w:rsid w:val="00B16273"/>
    <w:rsid w:val="00B171E7"/>
    <w:rsid w:val="00B17469"/>
    <w:rsid w:val="00B2049D"/>
    <w:rsid w:val="00B2193A"/>
    <w:rsid w:val="00B22459"/>
    <w:rsid w:val="00B23454"/>
    <w:rsid w:val="00B2424B"/>
    <w:rsid w:val="00B2499C"/>
    <w:rsid w:val="00B25314"/>
    <w:rsid w:val="00B25933"/>
    <w:rsid w:val="00B25B67"/>
    <w:rsid w:val="00B25BFE"/>
    <w:rsid w:val="00B26B25"/>
    <w:rsid w:val="00B26BD3"/>
    <w:rsid w:val="00B26C62"/>
    <w:rsid w:val="00B30F2D"/>
    <w:rsid w:val="00B31DEF"/>
    <w:rsid w:val="00B32327"/>
    <w:rsid w:val="00B325AA"/>
    <w:rsid w:val="00B32702"/>
    <w:rsid w:val="00B341EB"/>
    <w:rsid w:val="00B34212"/>
    <w:rsid w:val="00B342D5"/>
    <w:rsid w:val="00B342EB"/>
    <w:rsid w:val="00B348A4"/>
    <w:rsid w:val="00B36C32"/>
    <w:rsid w:val="00B37394"/>
    <w:rsid w:val="00B37777"/>
    <w:rsid w:val="00B403A4"/>
    <w:rsid w:val="00B40D70"/>
    <w:rsid w:val="00B419F9"/>
    <w:rsid w:val="00B41A8E"/>
    <w:rsid w:val="00B42420"/>
    <w:rsid w:val="00B428A7"/>
    <w:rsid w:val="00B43367"/>
    <w:rsid w:val="00B43F89"/>
    <w:rsid w:val="00B44D8B"/>
    <w:rsid w:val="00B44F74"/>
    <w:rsid w:val="00B45184"/>
    <w:rsid w:val="00B451AB"/>
    <w:rsid w:val="00B46928"/>
    <w:rsid w:val="00B46A6F"/>
    <w:rsid w:val="00B46BC5"/>
    <w:rsid w:val="00B46C7D"/>
    <w:rsid w:val="00B473E6"/>
    <w:rsid w:val="00B47660"/>
    <w:rsid w:val="00B47A6B"/>
    <w:rsid w:val="00B47D6E"/>
    <w:rsid w:val="00B50F62"/>
    <w:rsid w:val="00B51B86"/>
    <w:rsid w:val="00B52E17"/>
    <w:rsid w:val="00B53360"/>
    <w:rsid w:val="00B55150"/>
    <w:rsid w:val="00B56393"/>
    <w:rsid w:val="00B56B3B"/>
    <w:rsid w:val="00B56D89"/>
    <w:rsid w:val="00B57E60"/>
    <w:rsid w:val="00B60531"/>
    <w:rsid w:val="00B605E3"/>
    <w:rsid w:val="00B607C2"/>
    <w:rsid w:val="00B6110F"/>
    <w:rsid w:val="00B61181"/>
    <w:rsid w:val="00B611EB"/>
    <w:rsid w:val="00B63494"/>
    <w:rsid w:val="00B638BF"/>
    <w:rsid w:val="00B638F9"/>
    <w:rsid w:val="00B63D0B"/>
    <w:rsid w:val="00B6411C"/>
    <w:rsid w:val="00B64278"/>
    <w:rsid w:val="00B64E96"/>
    <w:rsid w:val="00B65069"/>
    <w:rsid w:val="00B653C3"/>
    <w:rsid w:val="00B65844"/>
    <w:rsid w:val="00B65A1F"/>
    <w:rsid w:val="00B66B4E"/>
    <w:rsid w:val="00B66DBD"/>
    <w:rsid w:val="00B66EE3"/>
    <w:rsid w:val="00B67436"/>
    <w:rsid w:val="00B67AFA"/>
    <w:rsid w:val="00B67D48"/>
    <w:rsid w:val="00B705C9"/>
    <w:rsid w:val="00B7086F"/>
    <w:rsid w:val="00B70939"/>
    <w:rsid w:val="00B70B2B"/>
    <w:rsid w:val="00B70BDA"/>
    <w:rsid w:val="00B70DA6"/>
    <w:rsid w:val="00B719C5"/>
    <w:rsid w:val="00B7241B"/>
    <w:rsid w:val="00B72734"/>
    <w:rsid w:val="00B728B1"/>
    <w:rsid w:val="00B72D31"/>
    <w:rsid w:val="00B72F02"/>
    <w:rsid w:val="00B73063"/>
    <w:rsid w:val="00B733A3"/>
    <w:rsid w:val="00B73738"/>
    <w:rsid w:val="00B7390D"/>
    <w:rsid w:val="00B73FC3"/>
    <w:rsid w:val="00B747FD"/>
    <w:rsid w:val="00B75550"/>
    <w:rsid w:val="00B75D3D"/>
    <w:rsid w:val="00B7653A"/>
    <w:rsid w:val="00B76722"/>
    <w:rsid w:val="00B77CBE"/>
    <w:rsid w:val="00B8112B"/>
    <w:rsid w:val="00B8115C"/>
    <w:rsid w:val="00B817B0"/>
    <w:rsid w:val="00B820B1"/>
    <w:rsid w:val="00B825EB"/>
    <w:rsid w:val="00B829E0"/>
    <w:rsid w:val="00B82CD7"/>
    <w:rsid w:val="00B82DD7"/>
    <w:rsid w:val="00B8302C"/>
    <w:rsid w:val="00B838CC"/>
    <w:rsid w:val="00B83D7C"/>
    <w:rsid w:val="00B83E0E"/>
    <w:rsid w:val="00B840BA"/>
    <w:rsid w:val="00B8416D"/>
    <w:rsid w:val="00B8424C"/>
    <w:rsid w:val="00B848FF"/>
    <w:rsid w:val="00B84A2A"/>
    <w:rsid w:val="00B85087"/>
    <w:rsid w:val="00B85798"/>
    <w:rsid w:val="00B85A44"/>
    <w:rsid w:val="00B86351"/>
    <w:rsid w:val="00B868DF"/>
    <w:rsid w:val="00B86D67"/>
    <w:rsid w:val="00B8700E"/>
    <w:rsid w:val="00B8733D"/>
    <w:rsid w:val="00B87C86"/>
    <w:rsid w:val="00B904A0"/>
    <w:rsid w:val="00B9199D"/>
    <w:rsid w:val="00B9264B"/>
    <w:rsid w:val="00B92CE6"/>
    <w:rsid w:val="00B94E2C"/>
    <w:rsid w:val="00B95956"/>
    <w:rsid w:val="00B96438"/>
    <w:rsid w:val="00B96D62"/>
    <w:rsid w:val="00B976BA"/>
    <w:rsid w:val="00B977C3"/>
    <w:rsid w:val="00BA1079"/>
    <w:rsid w:val="00BA1FEB"/>
    <w:rsid w:val="00BA2878"/>
    <w:rsid w:val="00BA28C7"/>
    <w:rsid w:val="00BA4A47"/>
    <w:rsid w:val="00BA4F91"/>
    <w:rsid w:val="00BA561A"/>
    <w:rsid w:val="00BA66A3"/>
    <w:rsid w:val="00BA7722"/>
    <w:rsid w:val="00BA77B6"/>
    <w:rsid w:val="00BA7A9E"/>
    <w:rsid w:val="00BB04D8"/>
    <w:rsid w:val="00BB0BA0"/>
    <w:rsid w:val="00BB179F"/>
    <w:rsid w:val="00BB1887"/>
    <w:rsid w:val="00BB1B4F"/>
    <w:rsid w:val="00BB1E41"/>
    <w:rsid w:val="00BB21DB"/>
    <w:rsid w:val="00BB28C9"/>
    <w:rsid w:val="00BB410B"/>
    <w:rsid w:val="00BB5149"/>
    <w:rsid w:val="00BB52F5"/>
    <w:rsid w:val="00BB5D36"/>
    <w:rsid w:val="00BB64FE"/>
    <w:rsid w:val="00BB6906"/>
    <w:rsid w:val="00BB69E9"/>
    <w:rsid w:val="00BB6C32"/>
    <w:rsid w:val="00BB7088"/>
    <w:rsid w:val="00BB735F"/>
    <w:rsid w:val="00BB756D"/>
    <w:rsid w:val="00BB7AA4"/>
    <w:rsid w:val="00BC00A0"/>
    <w:rsid w:val="00BC11E0"/>
    <w:rsid w:val="00BC2173"/>
    <w:rsid w:val="00BC336B"/>
    <w:rsid w:val="00BC3AE1"/>
    <w:rsid w:val="00BC42EE"/>
    <w:rsid w:val="00BC5944"/>
    <w:rsid w:val="00BC63C3"/>
    <w:rsid w:val="00BC685F"/>
    <w:rsid w:val="00BC7F00"/>
    <w:rsid w:val="00BC7F79"/>
    <w:rsid w:val="00BD048A"/>
    <w:rsid w:val="00BD0C77"/>
    <w:rsid w:val="00BD0ECF"/>
    <w:rsid w:val="00BD0FD3"/>
    <w:rsid w:val="00BD12FD"/>
    <w:rsid w:val="00BD2A1F"/>
    <w:rsid w:val="00BD2CFB"/>
    <w:rsid w:val="00BD2DC2"/>
    <w:rsid w:val="00BD342E"/>
    <w:rsid w:val="00BD3A62"/>
    <w:rsid w:val="00BD3DF1"/>
    <w:rsid w:val="00BD54AE"/>
    <w:rsid w:val="00BD6096"/>
    <w:rsid w:val="00BD63EF"/>
    <w:rsid w:val="00BD6431"/>
    <w:rsid w:val="00BD6A15"/>
    <w:rsid w:val="00BD7074"/>
    <w:rsid w:val="00BE1046"/>
    <w:rsid w:val="00BE1400"/>
    <w:rsid w:val="00BE1756"/>
    <w:rsid w:val="00BE17FD"/>
    <w:rsid w:val="00BE2303"/>
    <w:rsid w:val="00BE2A73"/>
    <w:rsid w:val="00BE37F0"/>
    <w:rsid w:val="00BE3B7E"/>
    <w:rsid w:val="00BE433A"/>
    <w:rsid w:val="00BE43E1"/>
    <w:rsid w:val="00BE572F"/>
    <w:rsid w:val="00BE6462"/>
    <w:rsid w:val="00BE7869"/>
    <w:rsid w:val="00BF2FFB"/>
    <w:rsid w:val="00BF3F23"/>
    <w:rsid w:val="00BF4C86"/>
    <w:rsid w:val="00BF55B8"/>
    <w:rsid w:val="00BF5AC1"/>
    <w:rsid w:val="00BF5F7C"/>
    <w:rsid w:val="00BF613D"/>
    <w:rsid w:val="00BF7515"/>
    <w:rsid w:val="00BF78F0"/>
    <w:rsid w:val="00BF7B54"/>
    <w:rsid w:val="00BF7FB1"/>
    <w:rsid w:val="00C0088D"/>
    <w:rsid w:val="00C01488"/>
    <w:rsid w:val="00C0298D"/>
    <w:rsid w:val="00C02B63"/>
    <w:rsid w:val="00C02D6A"/>
    <w:rsid w:val="00C03B97"/>
    <w:rsid w:val="00C04E60"/>
    <w:rsid w:val="00C0597A"/>
    <w:rsid w:val="00C059C8"/>
    <w:rsid w:val="00C06331"/>
    <w:rsid w:val="00C0666C"/>
    <w:rsid w:val="00C06849"/>
    <w:rsid w:val="00C075C9"/>
    <w:rsid w:val="00C075D0"/>
    <w:rsid w:val="00C079F9"/>
    <w:rsid w:val="00C10535"/>
    <w:rsid w:val="00C1085C"/>
    <w:rsid w:val="00C10DBF"/>
    <w:rsid w:val="00C1129C"/>
    <w:rsid w:val="00C1208F"/>
    <w:rsid w:val="00C12858"/>
    <w:rsid w:val="00C13B35"/>
    <w:rsid w:val="00C1400D"/>
    <w:rsid w:val="00C14246"/>
    <w:rsid w:val="00C16965"/>
    <w:rsid w:val="00C174B9"/>
    <w:rsid w:val="00C2081A"/>
    <w:rsid w:val="00C21140"/>
    <w:rsid w:val="00C22BD3"/>
    <w:rsid w:val="00C22C16"/>
    <w:rsid w:val="00C22E97"/>
    <w:rsid w:val="00C2316B"/>
    <w:rsid w:val="00C23663"/>
    <w:rsid w:val="00C24992"/>
    <w:rsid w:val="00C25A6B"/>
    <w:rsid w:val="00C26EC9"/>
    <w:rsid w:val="00C271CB"/>
    <w:rsid w:val="00C27EAC"/>
    <w:rsid w:val="00C3103D"/>
    <w:rsid w:val="00C319FF"/>
    <w:rsid w:val="00C3240E"/>
    <w:rsid w:val="00C32B1C"/>
    <w:rsid w:val="00C32EB9"/>
    <w:rsid w:val="00C33118"/>
    <w:rsid w:val="00C33AFE"/>
    <w:rsid w:val="00C355C1"/>
    <w:rsid w:val="00C37427"/>
    <w:rsid w:val="00C40B48"/>
    <w:rsid w:val="00C40B74"/>
    <w:rsid w:val="00C4116E"/>
    <w:rsid w:val="00C411F0"/>
    <w:rsid w:val="00C41CD7"/>
    <w:rsid w:val="00C431F4"/>
    <w:rsid w:val="00C4339D"/>
    <w:rsid w:val="00C43988"/>
    <w:rsid w:val="00C44F6E"/>
    <w:rsid w:val="00C45062"/>
    <w:rsid w:val="00C47553"/>
    <w:rsid w:val="00C50452"/>
    <w:rsid w:val="00C50DC4"/>
    <w:rsid w:val="00C50F92"/>
    <w:rsid w:val="00C5195A"/>
    <w:rsid w:val="00C519E7"/>
    <w:rsid w:val="00C51FEB"/>
    <w:rsid w:val="00C52718"/>
    <w:rsid w:val="00C530BF"/>
    <w:rsid w:val="00C538D3"/>
    <w:rsid w:val="00C54967"/>
    <w:rsid w:val="00C54E9D"/>
    <w:rsid w:val="00C57C18"/>
    <w:rsid w:val="00C60166"/>
    <w:rsid w:val="00C60A15"/>
    <w:rsid w:val="00C62247"/>
    <w:rsid w:val="00C62697"/>
    <w:rsid w:val="00C62C7E"/>
    <w:rsid w:val="00C63A28"/>
    <w:rsid w:val="00C64191"/>
    <w:rsid w:val="00C64E24"/>
    <w:rsid w:val="00C6541C"/>
    <w:rsid w:val="00C6569D"/>
    <w:rsid w:val="00C657C4"/>
    <w:rsid w:val="00C66640"/>
    <w:rsid w:val="00C66CEF"/>
    <w:rsid w:val="00C66FF1"/>
    <w:rsid w:val="00C6732B"/>
    <w:rsid w:val="00C67E94"/>
    <w:rsid w:val="00C7101C"/>
    <w:rsid w:val="00C7138D"/>
    <w:rsid w:val="00C75298"/>
    <w:rsid w:val="00C75412"/>
    <w:rsid w:val="00C7563E"/>
    <w:rsid w:val="00C75886"/>
    <w:rsid w:val="00C75A0D"/>
    <w:rsid w:val="00C76595"/>
    <w:rsid w:val="00C769BB"/>
    <w:rsid w:val="00C77422"/>
    <w:rsid w:val="00C77B93"/>
    <w:rsid w:val="00C80874"/>
    <w:rsid w:val="00C80893"/>
    <w:rsid w:val="00C80B2C"/>
    <w:rsid w:val="00C80F45"/>
    <w:rsid w:val="00C814A6"/>
    <w:rsid w:val="00C819C6"/>
    <w:rsid w:val="00C81EF8"/>
    <w:rsid w:val="00C81F87"/>
    <w:rsid w:val="00C82A7F"/>
    <w:rsid w:val="00C84129"/>
    <w:rsid w:val="00C84308"/>
    <w:rsid w:val="00C843D5"/>
    <w:rsid w:val="00C84562"/>
    <w:rsid w:val="00C8476E"/>
    <w:rsid w:val="00C847DA"/>
    <w:rsid w:val="00C84C36"/>
    <w:rsid w:val="00C8515B"/>
    <w:rsid w:val="00C8531B"/>
    <w:rsid w:val="00C8707A"/>
    <w:rsid w:val="00C871D6"/>
    <w:rsid w:val="00C87FA9"/>
    <w:rsid w:val="00C90AB6"/>
    <w:rsid w:val="00C90BAB"/>
    <w:rsid w:val="00C91783"/>
    <w:rsid w:val="00C91921"/>
    <w:rsid w:val="00C91CF9"/>
    <w:rsid w:val="00C92673"/>
    <w:rsid w:val="00C92686"/>
    <w:rsid w:val="00C93229"/>
    <w:rsid w:val="00C93832"/>
    <w:rsid w:val="00C94435"/>
    <w:rsid w:val="00C951E4"/>
    <w:rsid w:val="00C957BC"/>
    <w:rsid w:val="00C9623F"/>
    <w:rsid w:val="00C96CB2"/>
    <w:rsid w:val="00C96D4D"/>
    <w:rsid w:val="00C96ED2"/>
    <w:rsid w:val="00C9720E"/>
    <w:rsid w:val="00C97907"/>
    <w:rsid w:val="00C97933"/>
    <w:rsid w:val="00CA132B"/>
    <w:rsid w:val="00CA1B0E"/>
    <w:rsid w:val="00CA4BE2"/>
    <w:rsid w:val="00CA57E5"/>
    <w:rsid w:val="00CA5804"/>
    <w:rsid w:val="00CA6014"/>
    <w:rsid w:val="00CA61E1"/>
    <w:rsid w:val="00CA6961"/>
    <w:rsid w:val="00CA6EDB"/>
    <w:rsid w:val="00CA75B3"/>
    <w:rsid w:val="00CB0178"/>
    <w:rsid w:val="00CB09EA"/>
    <w:rsid w:val="00CB1065"/>
    <w:rsid w:val="00CB16B8"/>
    <w:rsid w:val="00CB28E7"/>
    <w:rsid w:val="00CB34F2"/>
    <w:rsid w:val="00CB44E8"/>
    <w:rsid w:val="00CB67E7"/>
    <w:rsid w:val="00CB7623"/>
    <w:rsid w:val="00CB7D73"/>
    <w:rsid w:val="00CB7F7F"/>
    <w:rsid w:val="00CC03FC"/>
    <w:rsid w:val="00CC0401"/>
    <w:rsid w:val="00CC0706"/>
    <w:rsid w:val="00CC1F87"/>
    <w:rsid w:val="00CC1FC8"/>
    <w:rsid w:val="00CC2A62"/>
    <w:rsid w:val="00CC367B"/>
    <w:rsid w:val="00CC43FD"/>
    <w:rsid w:val="00CC47D4"/>
    <w:rsid w:val="00CC5877"/>
    <w:rsid w:val="00CC5AA1"/>
    <w:rsid w:val="00CC6476"/>
    <w:rsid w:val="00CC65AE"/>
    <w:rsid w:val="00CC7609"/>
    <w:rsid w:val="00CD11FA"/>
    <w:rsid w:val="00CD2103"/>
    <w:rsid w:val="00CD298C"/>
    <w:rsid w:val="00CD2CC8"/>
    <w:rsid w:val="00CD2E88"/>
    <w:rsid w:val="00CD358A"/>
    <w:rsid w:val="00CD4013"/>
    <w:rsid w:val="00CD4339"/>
    <w:rsid w:val="00CD43E1"/>
    <w:rsid w:val="00CD590C"/>
    <w:rsid w:val="00CD5CF1"/>
    <w:rsid w:val="00CD5DA9"/>
    <w:rsid w:val="00CD61AF"/>
    <w:rsid w:val="00CD6B26"/>
    <w:rsid w:val="00CD7358"/>
    <w:rsid w:val="00CD7812"/>
    <w:rsid w:val="00CD7B86"/>
    <w:rsid w:val="00CE0390"/>
    <w:rsid w:val="00CE0A17"/>
    <w:rsid w:val="00CE0DD7"/>
    <w:rsid w:val="00CE1BD7"/>
    <w:rsid w:val="00CE2175"/>
    <w:rsid w:val="00CE230E"/>
    <w:rsid w:val="00CE24E9"/>
    <w:rsid w:val="00CE2B0D"/>
    <w:rsid w:val="00CE2FB5"/>
    <w:rsid w:val="00CE4D76"/>
    <w:rsid w:val="00CE5263"/>
    <w:rsid w:val="00CE55B7"/>
    <w:rsid w:val="00CE593D"/>
    <w:rsid w:val="00CE5A51"/>
    <w:rsid w:val="00CE6184"/>
    <w:rsid w:val="00CE669D"/>
    <w:rsid w:val="00CE69C6"/>
    <w:rsid w:val="00CE6BE8"/>
    <w:rsid w:val="00CE7115"/>
    <w:rsid w:val="00CE7170"/>
    <w:rsid w:val="00CF10AB"/>
    <w:rsid w:val="00CF11B9"/>
    <w:rsid w:val="00CF1586"/>
    <w:rsid w:val="00CF1D8C"/>
    <w:rsid w:val="00CF25D9"/>
    <w:rsid w:val="00CF2EEF"/>
    <w:rsid w:val="00CF2F04"/>
    <w:rsid w:val="00CF3F39"/>
    <w:rsid w:val="00CF4B6E"/>
    <w:rsid w:val="00CF56EC"/>
    <w:rsid w:val="00CF5B9E"/>
    <w:rsid w:val="00CF6745"/>
    <w:rsid w:val="00CF6F1F"/>
    <w:rsid w:val="00CF7A77"/>
    <w:rsid w:val="00D01004"/>
    <w:rsid w:val="00D0158B"/>
    <w:rsid w:val="00D01C94"/>
    <w:rsid w:val="00D026FE"/>
    <w:rsid w:val="00D02AA3"/>
    <w:rsid w:val="00D04957"/>
    <w:rsid w:val="00D077F1"/>
    <w:rsid w:val="00D079AE"/>
    <w:rsid w:val="00D07C09"/>
    <w:rsid w:val="00D07F46"/>
    <w:rsid w:val="00D10DFF"/>
    <w:rsid w:val="00D10E56"/>
    <w:rsid w:val="00D1154F"/>
    <w:rsid w:val="00D11B6D"/>
    <w:rsid w:val="00D12722"/>
    <w:rsid w:val="00D12C2D"/>
    <w:rsid w:val="00D134BC"/>
    <w:rsid w:val="00D13582"/>
    <w:rsid w:val="00D13749"/>
    <w:rsid w:val="00D13FCF"/>
    <w:rsid w:val="00D1421B"/>
    <w:rsid w:val="00D1518E"/>
    <w:rsid w:val="00D15B39"/>
    <w:rsid w:val="00D16548"/>
    <w:rsid w:val="00D16A65"/>
    <w:rsid w:val="00D16AF1"/>
    <w:rsid w:val="00D16DD4"/>
    <w:rsid w:val="00D1772B"/>
    <w:rsid w:val="00D17750"/>
    <w:rsid w:val="00D17D34"/>
    <w:rsid w:val="00D203E1"/>
    <w:rsid w:val="00D209DF"/>
    <w:rsid w:val="00D210B9"/>
    <w:rsid w:val="00D2143F"/>
    <w:rsid w:val="00D21CC1"/>
    <w:rsid w:val="00D21FCD"/>
    <w:rsid w:val="00D21FD6"/>
    <w:rsid w:val="00D22363"/>
    <w:rsid w:val="00D22500"/>
    <w:rsid w:val="00D2255B"/>
    <w:rsid w:val="00D22D50"/>
    <w:rsid w:val="00D23672"/>
    <w:rsid w:val="00D241D4"/>
    <w:rsid w:val="00D244CC"/>
    <w:rsid w:val="00D24894"/>
    <w:rsid w:val="00D24AFF"/>
    <w:rsid w:val="00D2537A"/>
    <w:rsid w:val="00D25996"/>
    <w:rsid w:val="00D25A7D"/>
    <w:rsid w:val="00D26448"/>
    <w:rsid w:val="00D275D7"/>
    <w:rsid w:val="00D30652"/>
    <w:rsid w:val="00D30DEA"/>
    <w:rsid w:val="00D31B22"/>
    <w:rsid w:val="00D31BCB"/>
    <w:rsid w:val="00D31F03"/>
    <w:rsid w:val="00D32030"/>
    <w:rsid w:val="00D32183"/>
    <w:rsid w:val="00D32963"/>
    <w:rsid w:val="00D32BE3"/>
    <w:rsid w:val="00D32E6C"/>
    <w:rsid w:val="00D33714"/>
    <w:rsid w:val="00D3393E"/>
    <w:rsid w:val="00D34DAB"/>
    <w:rsid w:val="00D352C9"/>
    <w:rsid w:val="00D353B6"/>
    <w:rsid w:val="00D35ECC"/>
    <w:rsid w:val="00D35F7B"/>
    <w:rsid w:val="00D367B7"/>
    <w:rsid w:val="00D370FB"/>
    <w:rsid w:val="00D37D24"/>
    <w:rsid w:val="00D37F07"/>
    <w:rsid w:val="00D400D3"/>
    <w:rsid w:val="00D40591"/>
    <w:rsid w:val="00D4132A"/>
    <w:rsid w:val="00D41AC5"/>
    <w:rsid w:val="00D41BA3"/>
    <w:rsid w:val="00D423EF"/>
    <w:rsid w:val="00D427BE"/>
    <w:rsid w:val="00D43617"/>
    <w:rsid w:val="00D43D61"/>
    <w:rsid w:val="00D46738"/>
    <w:rsid w:val="00D46D04"/>
    <w:rsid w:val="00D4755B"/>
    <w:rsid w:val="00D47885"/>
    <w:rsid w:val="00D47896"/>
    <w:rsid w:val="00D51123"/>
    <w:rsid w:val="00D5127C"/>
    <w:rsid w:val="00D5366A"/>
    <w:rsid w:val="00D5376E"/>
    <w:rsid w:val="00D53EE5"/>
    <w:rsid w:val="00D54388"/>
    <w:rsid w:val="00D54536"/>
    <w:rsid w:val="00D5562A"/>
    <w:rsid w:val="00D55A19"/>
    <w:rsid w:val="00D55A86"/>
    <w:rsid w:val="00D5620F"/>
    <w:rsid w:val="00D5672E"/>
    <w:rsid w:val="00D56C7B"/>
    <w:rsid w:val="00D56C9B"/>
    <w:rsid w:val="00D572C0"/>
    <w:rsid w:val="00D578BC"/>
    <w:rsid w:val="00D57E44"/>
    <w:rsid w:val="00D60556"/>
    <w:rsid w:val="00D6075E"/>
    <w:rsid w:val="00D607BB"/>
    <w:rsid w:val="00D60D82"/>
    <w:rsid w:val="00D61E1E"/>
    <w:rsid w:val="00D61FD0"/>
    <w:rsid w:val="00D62101"/>
    <w:rsid w:val="00D6250F"/>
    <w:rsid w:val="00D62EDF"/>
    <w:rsid w:val="00D630CA"/>
    <w:rsid w:val="00D6443A"/>
    <w:rsid w:val="00D649E6"/>
    <w:rsid w:val="00D64CA8"/>
    <w:rsid w:val="00D64D2E"/>
    <w:rsid w:val="00D65487"/>
    <w:rsid w:val="00D657DF"/>
    <w:rsid w:val="00D66C84"/>
    <w:rsid w:val="00D670BA"/>
    <w:rsid w:val="00D67DEE"/>
    <w:rsid w:val="00D67E84"/>
    <w:rsid w:val="00D67E94"/>
    <w:rsid w:val="00D70808"/>
    <w:rsid w:val="00D7104C"/>
    <w:rsid w:val="00D71539"/>
    <w:rsid w:val="00D71B69"/>
    <w:rsid w:val="00D727C5"/>
    <w:rsid w:val="00D731B3"/>
    <w:rsid w:val="00D742FE"/>
    <w:rsid w:val="00D7463C"/>
    <w:rsid w:val="00D74EE7"/>
    <w:rsid w:val="00D76433"/>
    <w:rsid w:val="00D76C03"/>
    <w:rsid w:val="00D76D40"/>
    <w:rsid w:val="00D774D8"/>
    <w:rsid w:val="00D77DA7"/>
    <w:rsid w:val="00D80345"/>
    <w:rsid w:val="00D80843"/>
    <w:rsid w:val="00D808AF"/>
    <w:rsid w:val="00D811CC"/>
    <w:rsid w:val="00D81514"/>
    <w:rsid w:val="00D8205B"/>
    <w:rsid w:val="00D82778"/>
    <w:rsid w:val="00D82AE5"/>
    <w:rsid w:val="00D82E0C"/>
    <w:rsid w:val="00D82E1F"/>
    <w:rsid w:val="00D82F19"/>
    <w:rsid w:val="00D836A7"/>
    <w:rsid w:val="00D8375F"/>
    <w:rsid w:val="00D8382E"/>
    <w:rsid w:val="00D83EDB"/>
    <w:rsid w:val="00D84652"/>
    <w:rsid w:val="00D8481E"/>
    <w:rsid w:val="00D849EE"/>
    <w:rsid w:val="00D8617F"/>
    <w:rsid w:val="00D868EC"/>
    <w:rsid w:val="00D869A2"/>
    <w:rsid w:val="00D878FC"/>
    <w:rsid w:val="00D879D0"/>
    <w:rsid w:val="00D90031"/>
    <w:rsid w:val="00D900D1"/>
    <w:rsid w:val="00D91188"/>
    <w:rsid w:val="00D91F69"/>
    <w:rsid w:val="00D91FA4"/>
    <w:rsid w:val="00D921B1"/>
    <w:rsid w:val="00D92A29"/>
    <w:rsid w:val="00D92C1C"/>
    <w:rsid w:val="00D93778"/>
    <w:rsid w:val="00D9403B"/>
    <w:rsid w:val="00D94480"/>
    <w:rsid w:val="00D94516"/>
    <w:rsid w:val="00D94C21"/>
    <w:rsid w:val="00D94F14"/>
    <w:rsid w:val="00D951E8"/>
    <w:rsid w:val="00D970A6"/>
    <w:rsid w:val="00D97615"/>
    <w:rsid w:val="00DA0868"/>
    <w:rsid w:val="00DA096E"/>
    <w:rsid w:val="00DA09A3"/>
    <w:rsid w:val="00DA155D"/>
    <w:rsid w:val="00DA1902"/>
    <w:rsid w:val="00DA1A3F"/>
    <w:rsid w:val="00DA1E1D"/>
    <w:rsid w:val="00DA2632"/>
    <w:rsid w:val="00DA27DA"/>
    <w:rsid w:val="00DA288B"/>
    <w:rsid w:val="00DA377A"/>
    <w:rsid w:val="00DA3C0F"/>
    <w:rsid w:val="00DA4F95"/>
    <w:rsid w:val="00DA5040"/>
    <w:rsid w:val="00DA56DB"/>
    <w:rsid w:val="00DA6EAC"/>
    <w:rsid w:val="00DA7D98"/>
    <w:rsid w:val="00DA7E4C"/>
    <w:rsid w:val="00DB013A"/>
    <w:rsid w:val="00DB0D75"/>
    <w:rsid w:val="00DB11B6"/>
    <w:rsid w:val="00DB32C2"/>
    <w:rsid w:val="00DB36B9"/>
    <w:rsid w:val="00DB4AE5"/>
    <w:rsid w:val="00DB4BE1"/>
    <w:rsid w:val="00DB5477"/>
    <w:rsid w:val="00DB5611"/>
    <w:rsid w:val="00DB5E2D"/>
    <w:rsid w:val="00DB67DE"/>
    <w:rsid w:val="00DB7689"/>
    <w:rsid w:val="00DB7B7B"/>
    <w:rsid w:val="00DC18B9"/>
    <w:rsid w:val="00DC194A"/>
    <w:rsid w:val="00DC1E5D"/>
    <w:rsid w:val="00DC1FBA"/>
    <w:rsid w:val="00DC213E"/>
    <w:rsid w:val="00DC25B5"/>
    <w:rsid w:val="00DC3475"/>
    <w:rsid w:val="00DC35DB"/>
    <w:rsid w:val="00DC4299"/>
    <w:rsid w:val="00DC4C81"/>
    <w:rsid w:val="00DC5721"/>
    <w:rsid w:val="00DC5BD4"/>
    <w:rsid w:val="00DC6104"/>
    <w:rsid w:val="00DC6204"/>
    <w:rsid w:val="00DC6632"/>
    <w:rsid w:val="00DC6717"/>
    <w:rsid w:val="00DC6777"/>
    <w:rsid w:val="00DC6953"/>
    <w:rsid w:val="00DC7005"/>
    <w:rsid w:val="00DC738D"/>
    <w:rsid w:val="00DC7FEB"/>
    <w:rsid w:val="00DD006D"/>
    <w:rsid w:val="00DD0BEF"/>
    <w:rsid w:val="00DD0C19"/>
    <w:rsid w:val="00DD0F22"/>
    <w:rsid w:val="00DD14B5"/>
    <w:rsid w:val="00DD1A5F"/>
    <w:rsid w:val="00DD2146"/>
    <w:rsid w:val="00DD2339"/>
    <w:rsid w:val="00DD26EF"/>
    <w:rsid w:val="00DD31F6"/>
    <w:rsid w:val="00DD3AE0"/>
    <w:rsid w:val="00DD4147"/>
    <w:rsid w:val="00DD48AB"/>
    <w:rsid w:val="00DD4FF6"/>
    <w:rsid w:val="00DD63C8"/>
    <w:rsid w:val="00DD660B"/>
    <w:rsid w:val="00DD6A16"/>
    <w:rsid w:val="00DD7270"/>
    <w:rsid w:val="00DD7F3A"/>
    <w:rsid w:val="00DE0135"/>
    <w:rsid w:val="00DE01A6"/>
    <w:rsid w:val="00DE02CA"/>
    <w:rsid w:val="00DE064C"/>
    <w:rsid w:val="00DE068B"/>
    <w:rsid w:val="00DE0D57"/>
    <w:rsid w:val="00DE0F65"/>
    <w:rsid w:val="00DE1403"/>
    <w:rsid w:val="00DE177D"/>
    <w:rsid w:val="00DE1C24"/>
    <w:rsid w:val="00DE202B"/>
    <w:rsid w:val="00DE2378"/>
    <w:rsid w:val="00DE25E2"/>
    <w:rsid w:val="00DE2671"/>
    <w:rsid w:val="00DE274B"/>
    <w:rsid w:val="00DE288B"/>
    <w:rsid w:val="00DE2B26"/>
    <w:rsid w:val="00DE2E3B"/>
    <w:rsid w:val="00DE3492"/>
    <w:rsid w:val="00DE4A76"/>
    <w:rsid w:val="00DE522C"/>
    <w:rsid w:val="00DE52A1"/>
    <w:rsid w:val="00DE67EF"/>
    <w:rsid w:val="00DE67F8"/>
    <w:rsid w:val="00DE698D"/>
    <w:rsid w:val="00DE7154"/>
    <w:rsid w:val="00DE722C"/>
    <w:rsid w:val="00DE73B0"/>
    <w:rsid w:val="00DF012E"/>
    <w:rsid w:val="00DF099A"/>
    <w:rsid w:val="00DF0C06"/>
    <w:rsid w:val="00DF1387"/>
    <w:rsid w:val="00DF1D01"/>
    <w:rsid w:val="00DF1D37"/>
    <w:rsid w:val="00DF2DCC"/>
    <w:rsid w:val="00DF374D"/>
    <w:rsid w:val="00DF3AB0"/>
    <w:rsid w:val="00DF3D2D"/>
    <w:rsid w:val="00DF4070"/>
    <w:rsid w:val="00DF52A1"/>
    <w:rsid w:val="00DF57B2"/>
    <w:rsid w:val="00DF6063"/>
    <w:rsid w:val="00DF67B5"/>
    <w:rsid w:val="00DF6E9B"/>
    <w:rsid w:val="00DF75C1"/>
    <w:rsid w:val="00E008B1"/>
    <w:rsid w:val="00E019C9"/>
    <w:rsid w:val="00E01A2F"/>
    <w:rsid w:val="00E02073"/>
    <w:rsid w:val="00E0218E"/>
    <w:rsid w:val="00E0228C"/>
    <w:rsid w:val="00E02949"/>
    <w:rsid w:val="00E02A21"/>
    <w:rsid w:val="00E02D47"/>
    <w:rsid w:val="00E03266"/>
    <w:rsid w:val="00E03F5F"/>
    <w:rsid w:val="00E04248"/>
    <w:rsid w:val="00E05335"/>
    <w:rsid w:val="00E05B5B"/>
    <w:rsid w:val="00E06FE2"/>
    <w:rsid w:val="00E071D1"/>
    <w:rsid w:val="00E07341"/>
    <w:rsid w:val="00E10393"/>
    <w:rsid w:val="00E104B0"/>
    <w:rsid w:val="00E12913"/>
    <w:rsid w:val="00E12B6D"/>
    <w:rsid w:val="00E12E7D"/>
    <w:rsid w:val="00E133E7"/>
    <w:rsid w:val="00E139E5"/>
    <w:rsid w:val="00E13AD3"/>
    <w:rsid w:val="00E14CAA"/>
    <w:rsid w:val="00E152A9"/>
    <w:rsid w:val="00E154C0"/>
    <w:rsid w:val="00E164D5"/>
    <w:rsid w:val="00E17798"/>
    <w:rsid w:val="00E2042A"/>
    <w:rsid w:val="00E20D4A"/>
    <w:rsid w:val="00E21268"/>
    <w:rsid w:val="00E22109"/>
    <w:rsid w:val="00E22398"/>
    <w:rsid w:val="00E23303"/>
    <w:rsid w:val="00E23585"/>
    <w:rsid w:val="00E23A76"/>
    <w:rsid w:val="00E24170"/>
    <w:rsid w:val="00E24C87"/>
    <w:rsid w:val="00E24F88"/>
    <w:rsid w:val="00E25AEB"/>
    <w:rsid w:val="00E25F1B"/>
    <w:rsid w:val="00E2627A"/>
    <w:rsid w:val="00E26F07"/>
    <w:rsid w:val="00E30344"/>
    <w:rsid w:val="00E30392"/>
    <w:rsid w:val="00E306D8"/>
    <w:rsid w:val="00E31448"/>
    <w:rsid w:val="00E319CA"/>
    <w:rsid w:val="00E31D21"/>
    <w:rsid w:val="00E31F30"/>
    <w:rsid w:val="00E327B5"/>
    <w:rsid w:val="00E32D53"/>
    <w:rsid w:val="00E3315E"/>
    <w:rsid w:val="00E33196"/>
    <w:rsid w:val="00E33313"/>
    <w:rsid w:val="00E33617"/>
    <w:rsid w:val="00E33719"/>
    <w:rsid w:val="00E33D7B"/>
    <w:rsid w:val="00E34A5A"/>
    <w:rsid w:val="00E35DF7"/>
    <w:rsid w:val="00E367A5"/>
    <w:rsid w:val="00E368FC"/>
    <w:rsid w:val="00E372CF"/>
    <w:rsid w:val="00E377D9"/>
    <w:rsid w:val="00E37AB7"/>
    <w:rsid w:val="00E401F8"/>
    <w:rsid w:val="00E40581"/>
    <w:rsid w:val="00E40661"/>
    <w:rsid w:val="00E4084E"/>
    <w:rsid w:val="00E41981"/>
    <w:rsid w:val="00E422E4"/>
    <w:rsid w:val="00E42D3F"/>
    <w:rsid w:val="00E4326F"/>
    <w:rsid w:val="00E43A4F"/>
    <w:rsid w:val="00E44569"/>
    <w:rsid w:val="00E445A0"/>
    <w:rsid w:val="00E44BD2"/>
    <w:rsid w:val="00E44BEE"/>
    <w:rsid w:val="00E452D7"/>
    <w:rsid w:val="00E45819"/>
    <w:rsid w:val="00E4589E"/>
    <w:rsid w:val="00E459EC"/>
    <w:rsid w:val="00E45F2D"/>
    <w:rsid w:val="00E475CE"/>
    <w:rsid w:val="00E47D13"/>
    <w:rsid w:val="00E50045"/>
    <w:rsid w:val="00E5090A"/>
    <w:rsid w:val="00E516BB"/>
    <w:rsid w:val="00E5195D"/>
    <w:rsid w:val="00E52363"/>
    <w:rsid w:val="00E527AF"/>
    <w:rsid w:val="00E53215"/>
    <w:rsid w:val="00E5403D"/>
    <w:rsid w:val="00E54151"/>
    <w:rsid w:val="00E54810"/>
    <w:rsid w:val="00E55469"/>
    <w:rsid w:val="00E558A6"/>
    <w:rsid w:val="00E55979"/>
    <w:rsid w:val="00E57CDD"/>
    <w:rsid w:val="00E6156B"/>
    <w:rsid w:val="00E61B24"/>
    <w:rsid w:val="00E61BBD"/>
    <w:rsid w:val="00E629EE"/>
    <w:rsid w:val="00E64145"/>
    <w:rsid w:val="00E64589"/>
    <w:rsid w:val="00E64D46"/>
    <w:rsid w:val="00E652EE"/>
    <w:rsid w:val="00E6530F"/>
    <w:rsid w:val="00E67242"/>
    <w:rsid w:val="00E67394"/>
    <w:rsid w:val="00E67C95"/>
    <w:rsid w:val="00E700C2"/>
    <w:rsid w:val="00E70A15"/>
    <w:rsid w:val="00E7149F"/>
    <w:rsid w:val="00E71B50"/>
    <w:rsid w:val="00E71E48"/>
    <w:rsid w:val="00E72E6E"/>
    <w:rsid w:val="00E732EB"/>
    <w:rsid w:val="00E7412B"/>
    <w:rsid w:val="00E74A20"/>
    <w:rsid w:val="00E74ACE"/>
    <w:rsid w:val="00E753DB"/>
    <w:rsid w:val="00E75A6E"/>
    <w:rsid w:val="00E7741F"/>
    <w:rsid w:val="00E776A7"/>
    <w:rsid w:val="00E77CE4"/>
    <w:rsid w:val="00E80318"/>
    <w:rsid w:val="00E80E19"/>
    <w:rsid w:val="00E81069"/>
    <w:rsid w:val="00E8163E"/>
    <w:rsid w:val="00E83EB0"/>
    <w:rsid w:val="00E84011"/>
    <w:rsid w:val="00E84217"/>
    <w:rsid w:val="00E845BA"/>
    <w:rsid w:val="00E84D83"/>
    <w:rsid w:val="00E84E66"/>
    <w:rsid w:val="00E86741"/>
    <w:rsid w:val="00E867C7"/>
    <w:rsid w:val="00E8684F"/>
    <w:rsid w:val="00E92A1D"/>
    <w:rsid w:val="00E930CB"/>
    <w:rsid w:val="00E9373C"/>
    <w:rsid w:val="00E93ED5"/>
    <w:rsid w:val="00E9474A"/>
    <w:rsid w:val="00E96142"/>
    <w:rsid w:val="00E968AC"/>
    <w:rsid w:val="00E96C64"/>
    <w:rsid w:val="00EA0A31"/>
    <w:rsid w:val="00EA127F"/>
    <w:rsid w:val="00EA1C73"/>
    <w:rsid w:val="00EA3082"/>
    <w:rsid w:val="00EA3BB4"/>
    <w:rsid w:val="00EA3C15"/>
    <w:rsid w:val="00EA3F9A"/>
    <w:rsid w:val="00EA4002"/>
    <w:rsid w:val="00EA461E"/>
    <w:rsid w:val="00EA5067"/>
    <w:rsid w:val="00EA5274"/>
    <w:rsid w:val="00EA571E"/>
    <w:rsid w:val="00EA61DD"/>
    <w:rsid w:val="00EB02A2"/>
    <w:rsid w:val="00EB0A09"/>
    <w:rsid w:val="00EB0B20"/>
    <w:rsid w:val="00EB14D0"/>
    <w:rsid w:val="00EB1817"/>
    <w:rsid w:val="00EB1A82"/>
    <w:rsid w:val="00EB20B8"/>
    <w:rsid w:val="00EB218C"/>
    <w:rsid w:val="00EB2BBA"/>
    <w:rsid w:val="00EB34F1"/>
    <w:rsid w:val="00EB36E7"/>
    <w:rsid w:val="00EB4584"/>
    <w:rsid w:val="00EB485F"/>
    <w:rsid w:val="00EB49B2"/>
    <w:rsid w:val="00EB5F64"/>
    <w:rsid w:val="00EB63FE"/>
    <w:rsid w:val="00EB7AB6"/>
    <w:rsid w:val="00EC0339"/>
    <w:rsid w:val="00EC042D"/>
    <w:rsid w:val="00EC075A"/>
    <w:rsid w:val="00EC110F"/>
    <w:rsid w:val="00EC12A8"/>
    <w:rsid w:val="00EC2B25"/>
    <w:rsid w:val="00EC30C0"/>
    <w:rsid w:val="00EC3D57"/>
    <w:rsid w:val="00EC47FC"/>
    <w:rsid w:val="00EC54B1"/>
    <w:rsid w:val="00EC5F9F"/>
    <w:rsid w:val="00EC6258"/>
    <w:rsid w:val="00EC65FE"/>
    <w:rsid w:val="00EC6BC0"/>
    <w:rsid w:val="00EC6CEA"/>
    <w:rsid w:val="00EC7240"/>
    <w:rsid w:val="00EC7380"/>
    <w:rsid w:val="00EC772B"/>
    <w:rsid w:val="00EC7DAB"/>
    <w:rsid w:val="00ED06A2"/>
    <w:rsid w:val="00ED073B"/>
    <w:rsid w:val="00ED08E2"/>
    <w:rsid w:val="00ED0965"/>
    <w:rsid w:val="00ED10B0"/>
    <w:rsid w:val="00ED1257"/>
    <w:rsid w:val="00ED12E3"/>
    <w:rsid w:val="00ED1611"/>
    <w:rsid w:val="00ED17D4"/>
    <w:rsid w:val="00ED1933"/>
    <w:rsid w:val="00ED1E92"/>
    <w:rsid w:val="00ED21D8"/>
    <w:rsid w:val="00ED268D"/>
    <w:rsid w:val="00ED2CB7"/>
    <w:rsid w:val="00ED30E9"/>
    <w:rsid w:val="00ED3195"/>
    <w:rsid w:val="00ED342F"/>
    <w:rsid w:val="00ED36D5"/>
    <w:rsid w:val="00ED37F0"/>
    <w:rsid w:val="00ED39D3"/>
    <w:rsid w:val="00ED407D"/>
    <w:rsid w:val="00ED4585"/>
    <w:rsid w:val="00ED62E8"/>
    <w:rsid w:val="00ED6C0F"/>
    <w:rsid w:val="00ED6E65"/>
    <w:rsid w:val="00ED7EED"/>
    <w:rsid w:val="00EE10ED"/>
    <w:rsid w:val="00EE1A8E"/>
    <w:rsid w:val="00EE23D6"/>
    <w:rsid w:val="00EE24A3"/>
    <w:rsid w:val="00EE28B9"/>
    <w:rsid w:val="00EE3CE1"/>
    <w:rsid w:val="00EE3E4D"/>
    <w:rsid w:val="00EE5985"/>
    <w:rsid w:val="00EE5AFB"/>
    <w:rsid w:val="00EE60C3"/>
    <w:rsid w:val="00EE6272"/>
    <w:rsid w:val="00EE7032"/>
    <w:rsid w:val="00EE70B6"/>
    <w:rsid w:val="00EE748A"/>
    <w:rsid w:val="00EE7A43"/>
    <w:rsid w:val="00EF0595"/>
    <w:rsid w:val="00EF0D0F"/>
    <w:rsid w:val="00EF1392"/>
    <w:rsid w:val="00EF1A38"/>
    <w:rsid w:val="00EF2246"/>
    <w:rsid w:val="00EF4AAB"/>
    <w:rsid w:val="00EF4C94"/>
    <w:rsid w:val="00EF5216"/>
    <w:rsid w:val="00EF5563"/>
    <w:rsid w:val="00EF5590"/>
    <w:rsid w:val="00EF5AE3"/>
    <w:rsid w:val="00EF7209"/>
    <w:rsid w:val="00F0061B"/>
    <w:rsid w:val="00F0118C"/>
    <w:rsid w:val="00F0168F"/>
    <w:rsid w:val="00F0245C"/>
    <w:rsid w:val="00F028D1"/>
    <w:rsid w:val="00F03169"/>
    <w:rsid w:val="00F03696"/>
    <w:rsid w:val="00F0403E"/>
    <w:rsid w:val="00F047E4"/>
    <w:rsid w:val="00F04945"/>
    <w:rsid w:val="00F05C97"/>
    <w:rsid w:val="00F06628"/>
    <w:rsid w:val="00F07788"/>
    <w:rsid w:val="00F1082D"/>
    <w:rsid w:val="00F108EA"/>
    <w:rsid w:val="00F113DE"/>
    <w:rsid w:val="00F136CE"/>
    <w:rsid w:val="00F13A94"/>
    <w:rsid w:val="00F140E2"/>
    <w:rsid w:val="00F1587F"/>
    <w:rsid w:val="00F15F4C"/>
    <w:rsid w:val="00F1652D"/>
    <w:rsid w:val="00F16715"/>
    <w:rsid w:val="00F16915"/>
    <w:rsid w:val="00F16E48"/>
    <w:rsid w:val="00F170F8"/>
    <w:rsid w:val="00F17BD0"/>
    <w:rsid w:val="00F17D0B"/>
    <w:rsid w:val="00F2021F"/>
    <w:rsid w:val="00F203BC"/>
    <w:rsid w:val="00F2076D"/>
    <w:rsid w:val="00F20ABC"/>
    <w:rsid w:val="00F21362"/>
    <w:rsid w:val="00F218CA"/>
    <w:rsid w:val="00F21DD3"/>
    <w:rsid w:val="00F23560"/>
    <w:rsid w:val="00F24E16"/>
    <w:rsid w:val="00F25F3A"/>
    <w:rsid w:val="00F262DB"/>
    <w:rsid w:val="00F26CE9"/>
    <w:rsid w:val="00F30BB7"/>
    <w:rsid w:val="00F317EC"/>
    <w:rsid w:val="00F323F8"/>
    <w:rsid w:val="00F33440"/>
    <w:rsid w:val="00F34371"/>
    <w:rsid w:val="00F34431"/>
    <w:rsid w:val="00F34AED"/>
    <w:rsid w:val="00F34BE6"/>
    <w:rsid w:val="00F35CB0"/>
    <w:rsid w:val="00F37C28"/>
    <w:rsid w:val="00F40690"/>
    <w:rsid w:val="00F40F64"/>
    <w:rsid w:val="00F415DA"/>
    <w:rsid w:val="00F41DB0"/>
    <w:rsid w:val="00F41F7C"/>
    <w:rsid w:val="00F41F89"/>
    <w:rsid w:val="00F4235C"/>
    <w:rsid w:val="00F43A9F"/>
    <w:rsid w:val="00F4456F"/>
    <w:rsid w:val="00F44986"/>
    <w:rsid w:val="00F45342"/>
    <w:rsid w:val="00F46001"/>
    <w:rsid w:val="00F465EA"/>
    <w:rsid w:val="00F465F0"/>
    <w:rsid w:val="00F46AAC"/>
    <w:rsid w:val="00F4742D"/>
    <w:rsid w:val="00F47878"/>
    <w:rsid w:val="00F5054D"/>
    <w:rsid w:val="00F5091A"/>
    <w:rsid w:val="00F50DE3"/>
    <w:rsid w:val="00F520BB"/>
    <w:rsid w:val="00F528EA"/>
    <w:rsid w:val="00F52B66"/>
    <w:rsid w:val="00F52DD5"/>
    <w:rsid w:val="00F536BA"/>
    <w:rsid w:val="00F5410F"/>
    <w:rsid w:val="00F542FA"/>
    <w:rsid w:val="00F5451F"/>
    <w:rsid w:val="00F5466B"/>
    <w:rsid w:val="00F5582B"/>
    <w:rsid w:val="00F57CC0"/>
    <w:rsid w:val="00F57F1F"/>
    <w:rsid w:val="00F60F90"/>
    <w:rsid w:val="00F61254"/>
    <w:rsid w:val="00F61266"/>
    <w:rsid w:val="00F6192A"/>
    <w:rsid w:val="00F61D05"/>
    <w:rsid w:val="00F62CD5"/>
    <w:rsid w:val="00F632D8"/>
    <w:rsid w:val="00F63DB4"/>
    <w:rsid w:val="00F63FD2"/>
    <w:rsid w:val="00F64103"/>
    <w:rsid w:val="00F64371"/>
    <w:rsid w:val="00F64853"/>
    <w:rsid w:val="00F65908"/>
    <w:rsid w:val="00F65C7D"/>
    <w:rsid w:val="00F65CF6"/>
    <w:rsid w:val="00F6639A"/>
    <w:rsid w:val="00F66C07"/>
    <w:rsid w:val="00F6739D"/>
    <w:rsid w:val="00F67A25"/>
    <w:rsid w:val="00F700DE"/>
    <w:rsid w:val="00F701A2"/>
    <w:rsid w:val="00F70A2B"/>
    <w:rsid w:val="00F70B06"/>
    <w:rsid w:val="00F70E05"/>
    <w:rsid w:val="00F71C94"/>
    <w:rsid w:val="00F74225"/>
    <w:rsid w:val="00F74252"/>
    <w:rsid w:val="00F746AF"/>
    <w:rsid w:val="00F747AF"/>
    <w:rsid w:val="00F75324"/>
    <w:rsid w:val="00F75A48"/>
    <w:rsid w:val="00F76382"/>
    <w:rsid w:val="00F76D68"/>
    <w:rsid w:val="00F7707F"/>
    <w:rsid w:val="00F7719D"/>
    <w:rsid w:val="00F77DB1"/>
    <w:rsid w:val="00F807FA"/>
    <w:rsid w:val="00F80D65"/>
    <w:rsid w:val="00F81AAD"/>
    <w:rsid w:val="00F82144"/>
    <w:rsid w:val="00F823F1"/>
    <w:rsid w:val="00F82735"/>
    <w:rsid w:val="00F82A27"/>
    <w:rsid w:val="00F8340A"/>
    <w:rsid w:val="00F83CF1"/>
    <w:rsid w:val="00F84550"/>
    <w:rsid w:val="00F8461F"/>
    <w:rsid w:val="00F84D21"/>
    <w:rsid w:val="00F8503E"/>
    <w:rsid w:val="00F8521F"/>
    <w:rsid w:val="00F852A6"/>
    <w:rsid w:val="00F85479"/>
    <w:rsid w:val="00F854EB"/>
    <w:rsid w:val="00F85B90"/>
    <w:rsid w:val="00F860F8"/>
    <w:rsid w:val="00F865BC"/>
    <w:rsid w:val="00F86A75"/>
    <w:rsid w:val="00F87083"/>
    <w:rsid w:val="00F876E2"/>
    <w:rsid w:val="00F879E9"/>
    <w:rsid w:val="00F87D84"/>
    <w:rsid w:val="00F901B2"/>
    <w:rsid w:val="00F90337"/>
    <w:rsid w:val="00F90780"/>
    <w:rsid w:val="00F90A54"/>
    <w:rsid w:val="00F90B8F"/>
    <w:rsid w:val="00F920CB"/>
    <w:rsid w:val="00F92C16"/>
    <w:rsid w:val="00F94C58"/>
    <w:rsid w:val="00F963B9"/>
    <w:rsid w:val="00F96645"/>
    <w:rsid w:val="00F97D62"/>
    <w:rsid w:val="00FA0F21"/>
    <w:rsid w:val="00FA1837"/>
    <w:rsid w:val="00FA1B7D"/>
    <w:rsid w:val="00FA2244"/>
    <w:rsid w:val="00FA22D7"/>
    <w:rsid w:val="00FA235B"/>
    <w:rsid w:val="00FA2DF2"/>
    <w:rsid w:val="00FA338C"/>
    <w:rsid w:val="00FA33F3"/>
    <w:rsid w:val="00FA4AE8"/>
    <w:rsid w:val="00FA4B81"/>
    <w:rsid w:val="00FA5E91"/>
    <w:rsid w:val="00FA6448"/>
    <w:rsid w:val="00FA6B22"/>
    <w:rsid w:val="00FA6C3C"/>
    <w:rsid w:val="00FA7A34"/>
    <w:rsid w:val="00FA7B20"/>
    <w:rsid w:val="00FA7DBC"/>
    <w:rsid w:val="00FB14C6"/>
    <w:rsid w:val="00FB215B"/>
    <w:rsid w:val="00FB36E2"/>
    <w:rsid w:val="00FB3CD8"/>
    <w:rsid w:val="00FB4DD9"/>
    <w:rsid w:val="00FB555C"/>
    <w:rsid w:val="00FB693A"/>
    <w:rsid w:val="00FB6A1E"/>
    <w:rsid w:val="00FB7488"/>
    <w:rsid w:val="00FB760A"/>
    <w:rsid w:val="00FC1710"/>
    <w:rsid w:val="00FC1BDC"/>
    <w:rsid w:val="00FC20B4"/>
    <w:rsid w:val="00FC2804"/>
    <w:rsid w:val="00FC332A"/>
    <w:rsid w:val="00FC339F"/>
    <w:rsid w:val="00FC3C51"/>
    <w:rsid w:val="00FC3C9E"/>
    <w:rsid w:val="00FC3E01"/>
    <w:rsid w:val="00FC4F67"/>
    <w:rsid w:val="00FC50F2"/>
    <w:rsid w:val="00FC55B2"/>
    <w:rsid w:val="00FC597A"/>
    <w:rsid w:val="00FC678A"/>
    <w:rsid w:val="00FC6988"/>
    <w:rsid w:val="00FC7449"/>
    <w:rsid w:val="00FD09F2"/>
    <w:rsid w:val="00FD0C1D"/>
    <w:rsid w:val="00FD1F1D"/>
    <w:rsid w:val="00FD2847"/>
    <w:rsid w:val="00FD325C"/>
    <w:rsid w:val="00FD3764"/>
    <w:rsid w:val="00FD3995"/>
    <w:rsid w:val="00FD3D53"/>
    <w:rsid w:val="00FD3FCB"/>
    <w:rsid w:val="00FD4389"/>
    <w:rsid w:val="00FD4E17"/>
    <w:rsid w:val="00FD56FE"/>
    <w:rsid w:val="00FD5BA6"/>
    <w:rsid w:val="00FD63A2"/>
    <w:rsid w:val="00FD6506"/>
    <w:rsid w:val="00FD681F"/>
    <w:rsid w:val="00FD6D61"/>
    <w:rsid w:val="00FD728C"/>
    <w:rsid w:val="00FD73C5"/>
    <w:rsid w:val="00FD75B5"/>
    <w:rsid w:val="00FD76C2"/>
    <w:rsid w:val="00FD7710"/>
    <w:rsid w:val="00FD7C65"/>
    <w:rsid w:val="00FE00D1"/>
    <w:rsid w:val="00FE044D"/>
    <w:rsid w:val="00FE05C0"/>
    <w:rsid w:val="00FE0869"/>
    <w:rsid w:val="00FE0A4D"/>
    <w:rsid w:val="00FE0C51"/>
    <w:rsid w:val="00FE20E4"/>
    <w:rsid w:val="00FE4315"/>
    <w:rsid w:val="00FE479A"/>
    <w:rsid w:val="00FE489F"/>
    <w:rsid w:val="00FE4F0F"/>
    <w:rsid w:val="00FE55E6"/>
    <w:rsid w:val="00FE5CD3"/>
    <w:rsid w:val="00FE687D"/>
    <w:rsid w:val="00FE6CD6"/>
    <w:rsid w:val="00FE6F22"/>
    <w:rsid w:val="00FE743C"/>
    <w:rsid w:val="00FE7450"/>
    <w:rsid w:val="00FF0806"/>
    <w:rsid w:val="00FF0CBB"/>
    <w:rsid w:val="00FF1D74"/>
    <w:rsid w:val="00FF2188"/>
    <w:rsid w:val="00FF223E"/>
    <w:rsid w:val="00FF248A"/>
    <w:rsid w:val="00FF25CE"/>
    <w:rsid w:val="00FF34B0"/>
    <w:rsid w:val="00FF3C8C"/>
    <w:rsid w:val="00FF3D5F"/>
    <w:rsid w:val="00FF3F1C"/>
    <w:rsid w:val="00FF6008"/>
    <w:rsid w:val="00FF67CC"/>
    <w:rsid w:val="00FF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9CF"/>
  <w15:chartTrackingRefBased/>
  <w15:docId w15:val="{BFAC6A6E-AB98-1F4B-9C70-2AF82925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55FBA"/>
    <w:pPr>
      <w:numPr>
        <w:numId w:val="11"/>
      </w:numPr>
      <w:jc w:val="center"/>
      <w:outlineLvl w:val="0"/>
    </w:pPr>
    <w:rPr>
      <w:rFonts w:ascii="Garamond" w:hAnsi="Garamond"/>
      <w:smallCaps/>
    </w:rPr>
  </w:style>
  <w:style w:type="paragraph" w:styleId="Heading2">
    <w:name w:val="heading 2"/>
    <w:basedOn w:val="ListParagraph"/>
    <w:next w:val="Normal"/>
    <w:link w:val="Heading2Char"/>
    <w:uiPriority w:val="9"/>
    <w:unhideWhenUsed/>
    <w:qFormat/>
    <w:rsid w:val="00155FBA"/>
    <w:pPr>
      <w:numPr>
        <w:ilvl w:val="1"/>
        <w:numId w:val="11"/>
      </w:numPr>
      <w:ind w:left="360"/>
      <w:jc w:val="center"/>
      <w:outlineLvl w:val="1"/>
    </w:pPr>
    <w:rPr>
      <w:rFonts w:ascii="Garamond" w:hAnsi="Garamond"/>
    </w:rPr>
  </w:style>
  <w:style w:type="paragraph" w:styleId="Heading3">
    <w:name w:val="heading 3"/>
    <w:basedOn w:val="ListParagraph"/>
    <w:link w:val="Heading3Char"/>
    <w:uiPriority w:val="9"/>
    <w:qFormat/>
    <w:rsid w:val="00155FBA"/>
    <w:pPr>
      <w:numPr>
        <w:ilvl w:val="2"/>
        <w:numId w:val="11"/>
      </w:numPr>
      <w:ind w:left="360"/>
      <w:jc w:val="center"/>
      <w:outlineLvl w:val="2"/>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7E"/>
    <w:pPr>
      <w:tabs>
        <w:tab w:val="center" w:pos="4680"/>
        <w:tab w:val="right" w:pos="9360"/>
      </w:tabs>
    </w:pPr>
  </w:style>
  <w:style w:type="character" w:customStyle="1" w:styleId="HeaderChar">
    <w:name w:val="Header Char"/>
    <w:basedOn w:val="DefaultParagraphFont"/>
    <w:link w:val="Header"/>
    <w:uiPriority w:val="99"/>
    <w:rsid w:val="006C627E"/>
  </w:style>
  <w:style w:type="paragraph" w:styleId="Footer">
    <w:name w:val="footer"/>
    <w:basedOn w:val="Normal"/>
    <w:link w:val="FooterChar"/>
    <w:uiPriority w:val="99"/>
    <w:unhideWhenUsed/>
    <w:rsid w:val="006C627E"/>
    <w:pPr>
      <w:tabs>
        <w:tab w:val="center" w:pos="4680"/>
        <w:tab w:val="right" w:pos="9360"/>
      </w:tabs>
    </w:pPr>
  </w:style>
  <w:style w:type="character" w:customStyle="1" w:styleId="FooterChar">
    <w:name w:val="Footer Char"/>
    <w:basedOn w:val="DefaultParagraphFont"/>
    <w:link w:val="Footer"/>
    <w:uiPriority w:val="99"/>
    <w:rsid w:val="006C627E"/>
  </w:style>
  <w:style w:type="paragraph" w:customStyle="1" w:styleId="header0">
    <w:name w:val="_header"/>
    <w:basedOn w:val="Normal"/>
    <w:qFormat/>
    <w:rsid w:val="006C627E"/>
    <w:pPr>
      <w:pBdr>
        <w:top w:val="single" w:sz="6" w:space="1" w:color="auto"/>
        <w:bottom w:val="single" w:sz="6" w:space="1" w:color="auto"/>
      </w:pBdr>
      <w:tabs>
        <w:tab w:val="left" w:pos="1410"/>
        <w:tab w:val="right" w:pos="6720"/>
      </w:tabs>
      <w:ind w:left="1" w:firstLine="539"/>
      <w:jc w:val="both"/>
    </w:pPr>
    <w:rPr>
      <w:rFonts w:ascii="Century Schoolbook" w:eastAsia="Times New Roman" w:hAnsi="Century Schoolbook" w:cs="Times New Roman"/>
      <w:smallCaps/>
      <w:sz w:val="14"/>
      <w:szCs w:val="20"/>
    </w:rPr>
  </w:style>
  <w:style w:type="paragraph" w:styleId="ListParagraph">
    <w:name w:val="List Paragraph"/>
    <w:basedOn w:val="Normal"/>
    <w:uiPriority w:val="34"/>
    <w:qFormat/>
    <w:rsid w:val="002E4EF8"/>
    <w:pPr>
      <w:ind w:left="720"/>
      <w:contextualSpacing/>
    </w:pPr>
  </w:style>
  <w:style w:type="paragraph" w:styleId="FootnoteText">
    <w:name w:val="footnote text"/>
    <w:basedOn w:val="Normal"/>
    <w:link w:val="FootnoteTextChar"/>
    <w:uiPriority w:val="94"/>
    <w:unhideWhenUsed/>
    <w:rsid w:val="007A4C1B"/>
    <w:rPr>
      <w:rFonts w:ascii="Garamond" w:hAnsi="Garamond"/>
      <w:sz w:val="20"/>
      <w:szCs w:val="20"/>
    </w:rPr>
  </w:style>
  <w:style w:type="character" w:customStyle="1" w:styleId="FootnoteTextChar">
    <w:name w:val="Footnote Text Char"/>
    <w:basedOn w:val="DefaultParagraphFont"/>
    <w:link w:val="FootnoteText"/>
    <w:uiPriority w:val="94"/>
    <w:rsid w:val="007A4C1B"/>
    <w:rPr>
      <w:rFonts w:ascii="Garamond" w:hAnsi="Garamond"/>
      <w:sz w:val="20"/>
      <w:szCs w:val="20"/>
    </w:rPr>
  </w:style>
  <w:style w:type="character" w:styleId="FootnoteReference">
    <w:name w:val="footnote reference"/>
    <w:basedOn w:val="DefaultParagraphFont"/>
    <w:uiPriority w:val="99"/>
    <w:semiHidden/>
    <w:unhideWhenUsed/>
    <w:rsid w:val="007A4C1B"/>
    <w:rPr>
      <w:vertAlign w:val="superscript"/>
    </w:rPr>
  </w:style>
  <w:style w:type="character" w:styleId="Hyperlink">
    <w:name w:val="Hyperlink"/>
    <w:basedOn w:val="DefaultParagraphFont"/>
    <w:uiPriority w:val="99"/>
    <w:unhideWhenUsed/>
    <w:rsid w:val="007C5D11"/>
    <w:rPr>
      <w:color w:val="0563C1" w:themeColor="hyperlink"/>
      <w:u w:val="single"/>
    </w:rPr>
  </w:style>
  <w:style w:type="character" w:styleId="UnresolvedMention">
    <w:name w:val="Unresolved Mention"/>
    <w:basedOn w:val="DefaultParagraphFont"/>
    <w:uiPriority w:val="99"/>
    <w:semiHidden/>
    <w:unhideWhenUsed/>
    <w:rsid w:val="007C5D11"/>
    <w:rPr>
      <w:color w:val="605E5C"/>
      <w:shd w:val="clear" w:color="auto" w:fill="E1DFDD"/>
    </w:rPr>
  </w:style>
  <w:style w:type="character" w:styleId="CommentReference">
    <w:name w:val="annotation reference"/>
    <w:basedOn w:val="DefaultParagraphFont"/>
    <w:uiPriority w:val="99"/>
    <w:semiHidden/>
    <w:unhideWhenUsed/>
    <w:rsid w:val="001A76AD"/>
    <w:rPr>
      <w:sz w:val="16"/>
      <w:szCs w:val="16"/>
    </w:rPr>
  </w:style>
  <w:style w:type="paragraph" w:styleId="CommentText">
    <w:name w:val="annotation text"/>
    <w:basedOn w:val="Normal"/>
    <w:link w:val="CommentTextChar"/>
    <w:uiPriority w:val="99"/>
    <w:semiHidden/>
    <w:unhideWhenUsed/>
    <w:rsid w:val="001A76AD"/>
    <w:rPr>
      <w:sz w:val="20"/>
      <w:szCs w:val="20"/>
    </w:rPr>
  </w:style>
  <w:style w:type="character" w:customStyle="1" w:styleId="CommentTextChar">
    <w:name w:val="Comment Text Char"/>
    <w:basedOn w:val="DefaultParagraphFont"/>
    <w:link w:val="CommentText"/>
    <w:uiPriority w:val="99"/>
    <w:semiHidden/>
    <w:rsid w:val="001A76AD"/>
    <w:rPr>
      <w:sz w:val="20"/>
      <w:szCs w:val="20"/>
    </w:rPr>
  </w:style>
  <w:style w:type="paragraph" w:styleId="CommentSubject">
    <w:name w:val="annotation subject"/>
    <w:basedOn w:val="CommentText"/>
    <w:next w:val="CommentText"/>
    <w:link w:val="CommentSubjectChar"/>
    <w:uiPriority w:val="99"/>
    <w:semiHidden/>
    <w:unhideWhenUsed/>
    <w:rsid w:val="001A76AD"/>
    <w:rPr>
      <w:b/>
      <w:bCs/>
    </w:rPr>
  </w:style>
  <w:style w:type="character" w:customStyle="1" w:styleId="CommentSubjectChar">
    <w:name w:val="Comment Subject Char"/>
    <w:basedOn w:val="CommentTextChar"/>
    <w:link w:val="CommentSubject"/>
    <w:uiPriority w:val="99"/>
    <w:semiHidden/>
    <w:rsid w:val="001A76AD"/>
    <w:rPr>
      <w:b/>
      <w:bCs/>
      <w:sz w:val="20"/>
      <w:szCs w:val="20"/>
    </w:rPr>
  </w:style>
  <w:style w:type="paragraph" w:styleId="EndnoteText">
    <w:name w:val="endnote text"/>
    <w:basedOn w:val="Normal"/>
    <w:link w:val="EndnoteTextChar"/>
    <w:uiPriority w:val="99"/>
    <w:semiHidden/>
    <w:unhideWhenUsed/>
    <w:rsid w:val="00F6739D"/>
    <w:rPr>
      <w:sz w:val="20"/>
      <w:szCs w:val="20"/>
    </w:rPr>
  </w:style>
  <w:style w:type="character" w:customStyle="1" w:styleId="EndnoteTextChar">
    <w:name w:val="Endnote Text Char"/>
    <w:basedOn w:val="DefaultParagraphFont"/>
    <w:link w:val="EndnoteText"/>
    <w:uiPriority w:val="99"/>
    <w:semiHidden/>
    <w:rsid w:val="00F6739D"/>
    <w:rPr>
      <w:sz w:val="20"/>
      <w:szCs w:val="20"/>
    </w:rPr>
  </w:style>
  <w:style w:type="character" w:styleId="EndnoteReference">
    <w:name w:val="endnote reference"/>
    <w:basedOn w:val="DefaultParagraphFont"/>
    <w:uiPriority w:val="99"/>
    <w:semiHidden/>
    <w:unhideWhenUsed/>
    <w:rsid w:val="00F6739D"/>
    <w:rPr>
      <w:vertAlign w:val="superscript"/>
    </w:rPr>
  </w:style>
  <w:style w:type="character" w:customStyle="1" w:styleId="Heading3Char">
    <w:name w:val="Heading 3 Char"/>
    <w:basedOn w:val="DefaultParagraphFont"/>
    <w:link w:val="Heading3"/>
    <w:uiPriority w:val="9"/>
    <w:rsid w:val="00155FBA"/>
    <w:rPr>
      <w:rFonts w:ascii="Garamond" w:hAnsi="Garamond"/>
    </w:rPr>
  </w:style>
  <w:style w:type="numbering" w:customStyle="1" w:styleId="CurrentList1">
    <w:name w:val="Current List1"/>
    <w:uiPriority w:val="99"/>
    <w:rsid w:val="00DE722C"/>
    <w:pPr>
      <w:numPr>
        <w:numId w:val="12"/>
      </w:numPr>
    </w:pPr>
  </w:style>
  <w:style w:type="numbering" w:customStyle="1" w:styleId="CurrentList2">
    <w:name w:val="Current List2"/>
    <w:uiPriority w:val="99"/>
    <w:rsid w:val="00DE722C"/>
    <w:pPr>
      <w:numPr>
        <w:numId w:val="13"/>
      </w:numPr>
    </w:pPr>
  </w:style>
  <w:style w:type="numbering" w:customStyle="1" w:styleId="CurrentList3">
    <w:name w:val="Current List3"/>
    <w:uiPriority w:val="99"/>
    <w:rsid w:val="00DE722C"/>
    <w:pPr>
      <w:numPr>
        <w:numId w:val="14"/>
      </w:numPr>
    </w:pPr>
  </w:style>
  <w:style w:type="numbering" w:customStyle="1" w:styleId="CurrentList4">
    <w:name w:val="Current List4"/>
    <w:uiPriority w:val="99"/>
    <w:rsid w:val="00DE722C"/>
    <w:pPr>
      <w:numPr>
        <w:numId w:val="15"/>
      </w:numPr>
    </w:pPr>
  </w:style>
  <w:style w:type="numbering" w:customStyle="1" w:styleId="CurrentList5">
    <w:name w:val="Current List5"/>
    <w:uiPriority w:val="99"/>
    <w:rsid w:val="00DE722C"/>
    <w:pPr>
      <w:numPr>
        <w:numId w:val="16"/>
      </w:numPr>
    </w:pPr>
  </w:style>
  <w:style w:type="numbering" w:customStyle="1" w:styleId="CurrentList6">
    <w:name w:val="Current List6"/>
    <w:uiPriority w:val="99"/>
    <w:rsid w:val="00DE722C"/>
    <w:pPr>
      <w:numPr>
        <w:numId w:val="17"/>
      </w:numPr>
    </w:pPr>
  </w:style>
  <w:style w:type="numbering" w:customStyle="1" w:styleId="CurrentList7">
    <w:name w:val="Current List7"/>
    <w:uiPriority w:val="99"/>
    <w:rsid w:val="00DE722C"/>
    <w:pPr>
      <w:numPr>
        <w:numId w:val="23"/>
      </w:numPr>
    </w:pPr>
  </w:style>
  <w:style w:type="paragraph" w:styleId="NormalWeb">
    <w:name w:val="Normal (Web)"/>
    <w:basedOn w:val="Normal"/>
    <w:uiPriority w:val="99"/>
    <w:semiHidden/>
    <w:unhideWhenUsed/>
    <w:rsid w:val="00DE722C"/>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DefaultParagraphFont"/>
    <w:rsid w:val="00DE722C"/>
  </w:style>
  <w:style w:type="character" w:customStyle="1" w:styleId="citation">
    <w:name w:val="citation"/>
    <w:basedOn w:val="DefaultParagraphFont"/>
    <w:rsid w:val="00DE722C"/>
  </w:style>
  <w:style w:type="character" w:customStyle="1" w:styleId="citation-item">
    <w:name w:val="citation-item"/>
    <w:basedOn w:val="DefaultParagraphFont"/>
    <w:rsid w:val="00DE722C"/>
  </w:style>
  <w:style w:type="paragraph" w:customStyle="1" w:styleId="O-BodyText1">
    <w:name w:val="O-Body Text 1&quot;"/>
    <w:aliases w:val="1Full,s3"/>
    <w:basedOn w:val="Normal"/>
    <w:uiPriority w:val="2"/>
    <w:qFormat/>
    <w:rsid w:val="00DE722C"/>
    <w:pPr>
      <w:spacing w:after="240" w:line="288" w:lineRule="auto"/>
      <w:ind w:firstLine="1440"/>
    </w:pPr>
    <w:rPr>
      <w:rFonts w:ascii="Times New Roman" w:eastAsia="Times New Roman" w:hAnsi="Times New Roman" w:cs="Times New Roman"/>
      <w:sz w:val="20"/>
      <w:szCs w:val="20"/>
    </w:rPr>
  </w:style>
  <w:style w:type="paragraph" w:customStyle="1" w:styleId="O-BodyText">
    <w:name w:val="O-Body Text ()"/>
    <w:aliases w:val="1Body,s1"/>
    <w:basedOn w:val="Normal"/>
    <w:link w:val="O-BodyTextChar"/>
    <w:qFormat/>
    <w:rsid w:val="00DE722C"/>
    <w:pPr>
      <w:spacing w:after="240" w:line="288" w:lineRule="auto"/>
    </w:pPr>
    <w:rPr>
      <w:rFonts w:ascii="Times New Roman" w:eastAsia="Times New Roman" w:hAnsi="Times New Roman" w:cs="Times New Roman"/>
      <w:sz w:val="20"/>
      <w:szCs w:val="20"/>
    </w:rPr>
  </w:style>
  <w:style w:type="character" w:customStyle="1" w:styleId="O-BodyTextChar">
    <w:name w:val="O-Body Text () Char"/>
    <w:aliases w:val="1Body Char,s1 Char"/>
    <w:basedOn w:val="DefaultParagraphFont"/>
    <w:link w:val="O-BodyText"/>
    <w:rsid w:val="00DE722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55FBA"/>
    <w:rPr>
      <w:rFonts w:ascii="Garamond" w:hAnsi="Garamond"/>
      <w:smallCaps/>
    </w:rPr>
  </w:style>
  <w:style w:type="character" w:customStyle="1" w:styleId="Heading2Char">
    <w:name w:val="Heading 2 Char"/>
    <w:basedOn w:val="DefaultParagraphFont"/>
    <w:link w:val="Heading2"/>
    <w:uiPriority w:val="9"/>
    <w:rsid w:val="00155FBA"/>
    <w:rPr>
      <w:rFonts w:ascii="Garamond" w:hAnsi="Garamond"/>
    </w:rPr>
  </w:style>
  <w:style w:type="paragraph" w:styleId="TOCHeading">
    <w:name w:val="TOC Heading"/>
    <w:basedOn w:val="Heading1"/>
    <w:next w:val="Normal"/>
    <w:uiPriority w:val="39"/>
    <w:unhideWhenUsed/>
    <w:qFormat/>
    <w:rsid w:val="000E53A4"/>
    <w:pPr>
      <w:keepNext/>
      <w:keepLines/>
      <w:numPr>
        <w:numId w:val="0"/>
      </w:numPr>
      <w:spacing w:before="480" w:line="276" w:lineRule="auto"/>
      <w:contextualSpacing w:val="0"/>
      <w:jc w:val="left"/>
      <w:outlineLvl w:val="9"/>
    </w:pPr>
    <w:rPr>
      <w:rFonts w:asciiTheme="majorHAnsi" w:eastAsiaTheme="majorEastAsia" w:hAnsiTheme="majorHAnsi" w:cstheme="majorBidi"/>
      <w:b/>
      <w:bCs/>
      <w:smallCaps w:val="0"/>
      <w:color w:val="2F5496" w:themeColor="accent1" w:themeShade="BF"/>
      <w:sz w:val="28"/>
      <w:szCs w:val="28"/>
    </w:rPr>
  </w:style>
  <w:style w:type="paragraph" w:styleId="TOC1">
    <w:name w:val="toc 1"/>
    <w:basedOn w:val="Normal"/>
    <w:next w:val="Normal"/>
    <w:autoRedefine/>
    <w:uiPriority w:val="39"/>
    <w:unhideWhenUsed/>
    <w:rsid w:val="00FB3CD8"/>
    <w:pPr>
      <w:tabs>
        <w:tab w:val="left" w:pos="360"/>
        <w:tab w:val="left" w:pos="480"/>
        <w:tab w:val="right" w:leader="dot" w:pos="7910"/>
      </w:tabs>
      <w:adjustRightInd w:val="0"/>
    </w:pPr>
    <w:rPr>
      <w:rFonts w:ascii="Garamond" w:hAnsi="Garamond" w:cs="Calibri (Body)"/>
      <w:bCs/>
      <w:iCs/>
      <w:smallCaps/>
      <w:noProof/>
    </w:rPr>
  </w:style>
  <w:style w:type="paragraph" w:styleId="TOC2">
    <w:name w:val="toc 2"/>
    <w:basedOn w:val="Normal"/>
    <w:next w:val="Normal"/>
    <w:autoRedefine/>
    <w:uiPriority w:val="39"/>
    <w:unhideWhenUsed/>
    <w:rsid w:val="0090334A"/>
    <w:pPr>
      <w:tabs>
        <w:tab w:val="left" w:pos="360"/>
        <w:tab w:val="left" w:pos="720"/>
        <w:tab w:val="right" w:leader="dot" w:pos="7910"/>
      </w:tabs>
      <w:ind w:left="360"/>
    </w:pPr>
    <w:rPr>
      <w:rFonts w:ascii="Garamond" w:hAnsi="Garamond" w:cstheme="minorHAnsi"/>
      <w:bCs/>
      <w:szCs w:val="22"/>
    </w:rPr>
  </w:style>
  <w:style w:type="paragraph" w:styleId="TOC3">
    <w:name w:val="toc 3"/>
    <w:basedOn w:val="Normal"/>
    <w:next w:val="Normal"/>
    <w:autoRedefine/>
    <w:uiPriority w:val="39"/>
    <w:unhideWhenUsed/>
    <w:rsid w:val="0090334A"/>
    <w:pPr>
      <w:tabs>
        <w:tab w:val="left" w:pos="720"/>
        <w:tab w:val="left" w:pos="960"/>
        <w:tab w:val="right" w:leader="dot" w:pos="7910"/>
      </w:tabs>
      <w:ind w:left="720"/>
    </w:pPr>
    <w:rPr>
      <w:rFonts w:ascii="Garamond" w:hAnsi="Garamond" w:cstheme="minorHAnsi"/>
      <w:szCs w:val="20"/>
    </w:rPr>
  </w:style>
  <w:style w:type="paragraph" w:styleId="TOC4">
    <w:name w:val="toc 4"/>
    <w:basedOn w:val="Normal"/>
    <w:next w:val="Normal"/>
    <w:autoRedefine/>
    <w:uiPriority w:val="39"/>
    <w:semiHidden/>
    <w:unhideWhenUsed/>
    <w:rsid w:val="000E53A4"/>
    <w:pPr>
      <w:ind w:left="720"/>
    </w:pPr>
    <w:rPr>
      <w:rFonts w:ascii="Garamond" w:hAnsi="Garamond" w:cstheme="minorHAnsi"/>
      <w:szCs w:val="20"/>
    </w:rPr>
  </w:style>
  <w:style w:type="paragraph" w:styleId="TOC5">
    <w:name w:val="toc 5"/>
    <w:basedOn w:val="Normal"/>
    <w:next w:val="Normal"/>
    <w:autoRedefine/>
    <w:uiPriority w:val="39"/>
    <w:semiHidden/>
    <w:unhideWhenUsed/>
    <w:rsid w:val="000E53A4"/>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E53A4"/>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E53A4"/>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E53A4"/>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E53A4"/>
    <w:pPr>
      <w:ind w:left="1920"/>
    </w:pPr>
    <w:rPr>
      <w:rFonts w:asciiTheme="minorHAnsi" w:hAnsiTheme="minorHAnsi" w:cstheme="minorHAnsi"/>
      <w:sz w:val="20"/>
      <w:szCs w:val="20"/>
    </w:rPr>
  </w:style>
  <w:style w:type="paragraph" w:styleId="ListBullet">
    <w:name w:val="List Bullet"/>
    <w:basedOn w:val="Normal"/>
    <w:uiPriority w:val="99"/>
    <w:unhideWhenUsed/>
    <w:rsid w:val="006133B5"/>
    <w:pPr>
      <w:numPr>
        <w:numId w:val="48"/>
      </w:numPr>
      <w:contextualSpacing/>
    </w:pPr>
  </w:style>
  <w:style w:type="character" w:styleId="FollowedHyperlink">
    <w:name w:val="FollowedHyperlink"/>
    <w:basedOn w:val="DefaultParagraphFont"/>
    <w:uiPriority w:val="99"/>
    <w:semiHidden/>
    <w:unhideWhenUsed/>
    <w:rsid w:val="007461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0042">
      <w:bodyDiv w:val="1"/>
      <w:marLeft w:val="0"/>
      <w:marRight w:val="0"/>
      <w:marTop w:val="0"/>
      <w:marBottom w:val="0"/>
      <w:divBdr>
        <w:top w:val="none" w:sz="0" w:space="0" w:color="auto"/>
        <w:left w:val="none" w:sz="0" w:space="0" w:color="auto"/>
        <w:bottom w:val="none" w:sz="0" w:space="0" w:color="auto"/>
        <w:right w:val="none" w:sz="0" w:space="0" w:color="auto"/>
      </w:divBdr>
      <w:divsChild>
        <w:div w:id="1580288402">
          <w:marLeft w:val="0"/>
          <w:marRight w:val="0"/>
          <w:marTop w:val="0"/>
          <w:marBottom w:val="0"/>
          <w:divBdr>
            <w:top w:val="none" w:sz="0" w:space="0" w:color="3D3D3D"/>
            <w:left w:val="none" w:sz="0" w:space="0" w:color="3D3D3D"/>
            <w:bottom w:val="none" w:sz="0" w:space="0" w:color="3D3D3D"/>
            <w:right w:val="none" w:sz="0" w:space="0" w:color="3D3D3D"/>
          </w:divBdr>
          <w:divsChild>
            <w:div w:id="2695103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1515853">
      <w:bodyDiv w:val="1"/>
      <w:marLeft w:val="0"/>
      <w:marRight w:val="0"/>
      <w:marTop w:val="0"/>
      <w:marBottom w:val="0"/>
      <w:divBdr>
        <w:top w:val="none" w:sz="0" w:space="0" w:color="auto"/>
        <w:left w:val="none" w:sz="0" w:space="0" w:color="auto"/>
        <w:bottom w:val="none" w:sz="0" w:space="0" w:color="auto"/>
        <w:right w:val="none" w:sz="0" w:space="0" w:color="auto"/>
      </w:divBdr>
      <w:divsChild>
        <w:div w:id="1172984868">
          <w:marLeft w:val="0"/>
          <w:marRight w:val="0"/>
          <w:marTop w:val="0"/>
          <w:marBottom w:val="0"/>
          <w:divBdr>
            <w:top w:val="none" w:sz="0" w:space="0" w:color="3D3D3D"/>
            <w:left w:val="none" w:sz="0" w:space="0" w:color="3D3D3D"/>
            <w:bottom w:val="none" w:sz="0" w:space="0" w:color="3D3D3D"/>
            <w:right w:val="none" w:sz="0" w:space="0" w:color="3D3D3D"/>
          </w:divBdr>
          <w:divsChild>
            <w:div w:id="156672183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6965998">
      <w:bodyDiv w:val="1"/>
      <w:marLeft w:val="0"/>
      <w:marRight w:val="0"/>
      <w:marTop w:val="0"/>
      <w:marBottom w:val="0"/>
      <w:divBdr>
        <w:top w:val="none" w:sz="0" w:space="0" w:color="auto"/>
        <w:left w:val="none" w:sz="0" w:space="0" w:color="auto"/>
        <w:bottom w:val="none" w:sz="0" w:space="0" w:color="auto"/>
        <w:right w:val="none" w:sz="0" w:space="0" w:color="auto"/>
      </w:divBdr>
      <w:divsChild>
        <w:div w:id="872840611">
          <w:marLeft w:val="0"/>
          <w:marRight w:val="0"/>
          <w:marTop w:val="0"/>
          <w:marBottom w:val="0"/>
          <w:divBdr>
            <w:top w:val="none" w:sz="0" w:space="0" w:color="3D3D3D"/>
            <w:left w:val="none" w:sz="0" w:space="0" w:color="3D3D3D"/>
            <w:bottom w:val="none" w:sz="0" w:space="0" w:color="3D3D3D"/>
            <w:right w:val="none" w:sz="0" w:space="0" w:color="3D3D3D"/>
          </w:divBdr>
          <w:divsChild>
            <w:div w:id="91698174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06391612">
      <w:bodyDiv w:val="1"/>
      <w:marLeft w:val="0"/>
      <w:marRight w:val="0"/>
      <w:marTop w:val="0"/>
      <w:marBottom w:val="0"/>
      <w:divBdr>
        <w:top w:val="none" w:sz="0" w:space="0" w:color="auto"/>
        <w:left w:val="none" w:sz="0" w:space="0" w:color="auto"/>
        <w:bottom w:val="none" w:sz="0" w:space="0" w:color="auto"/>
        <w:right w:val="none" w:sz="0" w:space="0" w:color="auto"/>
      </w:divBdr>
    </w:div>
    <w:div w:id="796417576">
      <w:bodyDiv w:val="1"/>
      <w:marLeft w:val="0"/>
      <w:marRight w:val="0"/>
      <w:marTop w:val="0"/>
      <w:marBottom w:val="0"/>
      <w:divBdr>
        <w:top w:val="none" w:sz="0" w:space="0" w:color="auto"/>
        <w:left w:val="none" w:sz="0" w:space="0" w:color="auto"/>
        <w:bottom w:val="none" w:sz="0" w:space="0" w:color="auto"/>
        <w:right w:val="none" w:sz="0" w:space="0" w:color="auto"/>
      </w:divBdr>
      <w:divsChild>
        <w:div w:id="24451892">
          <w:marLeft w:val="0"/>
          <w:marRight w:val="0"/>
          <w:marTop w:val="0"/>
          <w:marBottom w:val="0"/>
          <w:divBdr>
            <w:top w:val="none" w:sz="0" w:space="0" w:color="3D3D3D"/>
            <w:left w:val="none" w:sz="0" w:space="0" w:color="3D3D3D"/>
            <w:bottom w:val="none" w:sz="0" w:space="0" w:color="3D3D3D"/>
            <w:right w:val="none" w:sz="0" w:space="0" w:color="3D3D3D"/>
          </w:divBdr>
          <w:divsChild>
            <w:div w:id="42804231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79313438">
      <w:bodyDiv w:val="1"/>
      <w:marLeft w:val="0"/>
      <w:marRight w:val="0"/>
      <w:marTop w:val="0"/>
      <w:marBottom w:val="0"/>
      <w:divBdr>
        <w:top w:val="none" w:sz="0" w:space="0" w:color="auto"/>
        <w:left w:val="none" w:sz="0" w:space="0" w:color="auto"/>
        <w:bottom w:val="none" w:sz="0" w:space="0" w:color="auto"/>
        <w:right w:val="none" w:sz="0" w:space="0" w:color="auto"/>
      </w:divBdr>
      <w:divsChild>
        <w:div w:id="585113642">
          <w:marLeft w:val="0"/>
          <w:marRight w:val="0"/>
          <w:marTop w:val="0"/>
          <w:marBottom w:val="0"/>
          <w:divBdr>
            <w:top w:val="none" w:sz="0" w:space="0" w:color="3D3D3D"/>
            <w:left w:val="none" w:sz="0" w:space="0" w:color="3D3D3D"/>
            <w:bottom w:val="none" w:sz="0" w:space="0" w:color="3D3D3D"/>
            <w:right w:val="none" w:sz="0" w:space="0" w:color="3D3D3D"/>
          </w:divBdr>
          <w:divsChild>
            <w:div w:id="191643500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27759904">
      <w:bodyDiv w:val="1"/>
      <w:marLeft w:val="0"/>
      <w:marRight w:val="0"/>
      <w:marTop w:val="0"/>
      <w:marBottom w:val="0"/>
      <w:divBdr>
        <w:top w:val="none" w:sz="0" w:space="0" w:color="auto"/>
        <w:left w:val="none" w:sz="0" w:space="0" w:color="auto"/>
        <w:bottom w:val="none" w:sz="0" w:space="0" w:color="auto"/>
        <w:right w:val="none" w:sz="0" w:space="0" w:color="auto"/>
      </w:divBdr>
    </w:div>
    <w:div w:id="2036230990">
      <w:bodyDiv w:val="1"/>
      <w:marLeft w:val="0"/>
      <w:marRight w:val="0"/>
      <w:marTop w:val="0"/>
      <w:marBottom w:val="0"/>
      <w:divBdr>
        <w:top w:val="none" w:sz="0" w:space="0" w:color="auto"/>
        <w:left w:val="none" w:sz="0" w:space="0" w:color="auto"/>
        <w:bottom w:val="none" w:sz="0" w:space="0" w:color="auto"/>
        <w:right w:val="none" w:sz="0" w:space="0" w:color="auto"/>
      </w:divBdr>
      <w:divsChild>
        <w:div w:id="1492135098">
          <w:marLeft w:val="0"/>
          <w:marRight w:val="0"/>
          <w:marTop w:val="0"/>
          <w:marBottom w:val="0"/>
          <w:divBdr>
            <w:top w:val="none" w:sz="0" w:space="0" w:color="3D3D3D"/>
            <w:left w:val="none" w:sz="0" w:space="0" w:color="3D3D3D"/>
            <w:bottom w:val="none" w:sz="0" w:space="0" w:color="3D3D3D"/>
            <w:right w:val="none" w:sz="0" w:space="0" w:color="3D3D3D"/>
          </w:divBdr>
          <w:divsChild>
            <w:div w:id="203326624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10587337">
      <w:bodyDiv w:val="1"/>
      <w:marLeft w:val="0"/>
      <w:marRight w:val="0"/>
      <w:marTop w:val="0"/>
      <w:marBottom w:val="0"/>
      <w:divBdr>
        <w:top w:val="none" w:sz="0" w:space="0" w:color="auto"/>
        <w:left w:val="none" w:sz="0" w:space="0" w:color="auto"/>
        <w:bottom w:val="none" w:sz="0" w:space="0" w:color="auto"/>
        <w:right w:val="none" w:sz="0" w:space="0" w:color="auto"/>
      </w:divBdr>
      <w:divsChild>
        <w:div w:id="157501209">
          <w:marLeft w:val="0"/>
          <w:marRight w:val="0"/>
          <w:marTop w:val="0"/>
          <w:marBottom w:val="0"/>
          <w:divBdr>
            <w:top w:val="none" w:sz="0" w:space="0" w:color="auto"/>
            <w:left w:val="none" w:sz="0" w:space="0" w:color="auto"/>
            <w:bottom w:val="none" w:sz="0" w:space="0" w:color="auto"/>
            <w:right w:val="none" w:sz="0" w:space="0" w:color="auto"/>
          </w:divBdr>
          <w:divsChild>
            <w:div w:id="1533373815">
              <w:marLeft w:val="225"/>
              <w:marRight w:val="225"/>
              <w:marTop w:val="0"/>
              <w:marBottom w:val="180"/>
              <w:divBdr>
                <w:top w:val="none" w:sz="0" w:space="0" w:color="auto"/>
                <w:left w:val="none" w:sz="0" w:space="0" w:color="auto"/>
                <w:bottom w:val="none" w:sz="0" w:space="0" w:color="auto"/>
                <w:right w:val="none" w:sz="0" w:space="0" w:color="auto"/>
              </w:divBdr>
              <w:divsChild>
                <w:div w:id="2127462204">
                  <w:marLeft w:val="0"/>
                  <w:marRight w:val="0"/>
                  <w:marTop w:val="0"/>
                  <w:marBottom w:val="0"/>
                  <w:divBdr>
                    <w:top w:val="none" w:sz="0" w:space="0" w:color="auto"/>
                    <w:left w:val="none" w:sz="0" w:space="0" w:color="auto"/>
                    <w:bottom w:val="none" w:sz="0" w:space="0" w:color="auto"/>
                    <w:right w:val="none" w:sz="0" w:space="0" w:color="auto"/>
                  </w:divBdr>
                  <w:divsChild>
                    <w:div w:id="20664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3419">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ccu.org/advocacy/" TargetMode="External"/><Relationship Id="rId2" Type="http://schemas.openxmlformats.org/officeDocument/2006/relationships/hyperlink" Target="https://www.raicestexas.org/2021/02/24/biden-must-confront-texas-white-supremacist-agenda-led-by-extremist-ken-paxton/" TargetMode="External"/><Relationship Id="rId1" Type="http://schemas.openxmlformats.org/officeDocument/2006/relationships/hyperlink" Target="https://www.washingtonpost.com/news/volokh-conspiracy/wp/2017/10/14/finally-a-court-defends-the-national-injunction/" TargetMode="External"/><Relationship Id="rId5" Type="http://schemas.openxmlformats.org/officeDocument/2006/relationships/hyperlink" Target="https://www.theatlantic.com/ideas/archive/2023/04/mifepristone-case-problem-federal-judiciary/673724/" TargetMode="External"/><Relationship Id="rId4" Type="http://schemas.openxmlformats.org/officeDocument/2006/relationships/hyperlink" Target="https://www.uscourts.gov/rules-policies/archives/meeting-minutes/advisory-committee-appellate-rules-march-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D603-8C71-3841-A1E6-BA188340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69</Pages>
  <Words>21250</Words>
  <Characters>121130</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Haymond</dc:creator>
  <cp:keywords/>
  <dc:description/>
  <cp:lastModifiedBy>Haymond, Monica</cp:lastModifiedBy>
  <cp:revision>15</cp:revision>
  <cp:lastPrinted>2023-09-05T16:01:00Z</cp:lastPrinted>
  <dcterms:created xsi:type="dcterms:W3CDTF">2023-10-03T15:57:00Z</dcterms:created>
  <dcterms:modified xsi:type="dcterms:W3CDTF">2023-12-29T18:19:00Z</dcterms:modified>
</cp:coreProperties>
</file>